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ARNZEN APRIL S</w:t>
              </w:r>
            </w:hyperlink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MICRON TECHNOLOGY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MU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09/30/2025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5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and Chief People Officer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2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83716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09/30/2025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164.04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131,580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sales reported on this Form 4 were effected pursuant to a Rule 10b5-1 trading plan adopted by the Reporting Person on October 17, 2024.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Mai Lan Bui, Attorney-in-fact 10/02/2025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632063" TargetMode="External"/><Relationship Id="rId14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2025-10-02T17:14:33Z</dcterms:created>
  <dcterms:modified xsi:type="dcterms:W3CDTF">2025-10-02T17:14:33Z</dcterms:modified>
</cp:coreProperties>
</file>