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ectPr>
          <w:pgSz w:w="11900" w:h="16855"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63,000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1,592,170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1,592,170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3.97%</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5"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595112103</w:t>
      </w:r>
    </w:p>
    <w:p>
      <w:pPr>
        <w:sectPr>
          <w:pgSz w:w="11900" w:h="16855"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1,592,170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1,592,170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3.97%</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7" w:lineRule="exact"/>
        <w:rPr>
          <w:sz w:val="24"/>
          <w:szCs w:val="24"/>
          <w:color w:val="auto"/>
        </w:rPr>
      </w:pPr>
    </w:p>
    <w:p>
      <w:pPr>
        <w:sectPr>
          <w:pgSz w:w="11900" w:h="16855" w:orient="portrait"/>
          <w:cols w:equalWidth="0" w:num="2">
            <w:col w:w="6320" w:space="220"/>
            <w:col w:w="367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2805 East Columbia Road</w:t>
      </w: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1,592,170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3.97%</w:t>
      </w:r>
    </w:p>
    <w:p>
      <w:pPr>
        <w:sectPr>
          <w:pgSz w:w="11900" w:h="16855"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63,000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1,592,170</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039" w:firstLine="948"/>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948"/>
        <w:spacing w:after="0" w:line="268" w:lineRule="auto"/>
        <w:rPr>
          <w:sz w:val="20"/>
          <w:szCs w:val="20"/>
          <w:color w:val="auto"/>
        </w:rPr>
      </w:pPr>
      <w:r>
        <w:rPr>
          <w:rFonts w:ascii="Courier New" w:cs="Courier New" w:eastAsia="Courier New" w:hAnsi="Courier New"/>
          <w:sz w:val="16"/>
          <w:szCs w:val="16"/>
          <w:color w:val="auto"/>
        </w:rPr>
        <w:t>Inasmuch as the reporting persons are no longer the beneficial owners of more than 5% of the number of shares outstanding, the reporting persons have no further reporting obligation under</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section 13(d) of the Securities and Exchange Commission thereunder, and the reporting persons have no obligation to amend this Statement if any material change occurs in the facts set forth herein.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Pursuant to the instructions in Item 7 of Schedule 13G, Fidelity</w:t>
      </w:r>
    </w:p>
    <w:p>
      <w:pPr>
        <w:sectPr>
          <w:pgSz w:w="11900" w:h="16838" w:orient="portrait"/>
          <w:cols w:equalWidth="0" w:num="1">
            <w:col w:w="10219"/>
          </w:cols>
          <w:pgMar w:left="240" w:top="339" w:right="1440" w:bottom="0" w:gutter="0" w:footer="0" w:header="0"/>
        </w:sectPr>
      </w:pPr>
    </w:p>
    <w:bookmarkStart w:id="2" w:name="page3"/>
    <w:bookmarkEnd w:id="2"/>
    <w:p>
      <w:pPr>
        <w:ind w:right="2319"/>
        <w:spacing w:after="0" w:line="271" w:lineRule="auto"/>
        <w:rPr>
          <w:sz w:val="20"/>
          <w:szCs w:val="20"/>
          <w:color w:val="auto"/>
        </w:rPr>
      </w:pPr>
      <w:r>
        <w:rPr>
          <w:rFonts w:ascii="Courier New" w:cs="Courier New" w:eastAsia="Courier New" w:hAnsi="Courier New"/>
          <w:sz w:val="16"/>
          <w:szCs w:val="16"/>
          <w:color w:val="auto"/>
        </w:rPr>
        <w:t>Management &amp; Research Company ("Fidelity"), 82 Devonshire Street, Boston, Massachusetts 02109, a wholly-owned subsidiary of FMR Corp. and an investment adviser registered under Section 203 of the Investment Advisers Act of 1940, is the beneficial owner of 1,489,970 shares or 3.72% of the common stock outstanding of Micron Technology Incorporated ("the Company") as a result of acting as investment adviser to several investment companies registered under Section 8 of the Investment Company Act of 1940.</w:t>
      </w:r>
    </w:p>
    <w:p>
      <w:pPr>
        <w:spacing w:after="0" w:line="188" w:lineRule="exact"/>
        <w:rPr>
          <w:sz w:val="20"/>
          <w:szCs w:val="20"/>
          <w:color w:val="auto"/>
        </w:rPr>
      </w:pPr>
    </w:p>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1,489,970 shares owned by the Funds.</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45,800 shares or 0.11% of the common stock outstanding of the company as a result of its serving as investment manager of the institutional account(s).</w:t>
      </w:r>
    </w:p>
    <w:p>
      <w:pPr>
        <w:spacing w:after="0" w:line="210"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45,800 Shares and sole power to vote or to direct the voting of 6,600 shares, and no power to vote or to direct the voting of 39,200 Shares of common stock owned by the institutional account(s) as reported above.</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56,400 shares or 0.14% of the common stock outstanding of the company. Additional information with respect to the beneficial ownership of Fidelity International Limited is shown on Exhibit B, page 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56,400 shares or 0.14% of the common stock outstanding of Micron Technology Incorporated.</w:t>
      </w:r>
    </w:p>
    <w:p>
      <w:pPr>
        <w:spacing w:after="0" w:line="212"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48.879%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212"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FMR Corp. and FIL are of the view that they are not acting as a "group" for purposes of Section 13(d) under the Securities Exchange Act of 1934 (the "1934" Act) and that they are not otherwise required to attribute</w:t>
      </w:r>
    </w:p>
    <w:p>
      <w:pPr>
        <w:sectPr>
          <w:pgSz w:w="11900" w:h="16838" w:orient="portrait"/>
          <w:cols w:equalWidth="0" w:num="1">
            <w:col w:w="10219"/>
          </w:cols>
          <w:pgMar w:left="240" w:top="142" w:right="1440" w:bottom="0" w:gutter="0" w:footer="0" w:header="0"/>
        </w:sectPr>
      </w:pPr>
    </w:p>
    <w:bookmarkStart w:id="3" w:name="page4"/>
    <w:bookmarkEnd w:id="3"/>
    <w:p>
      <w:pPr>
        <w:ind w:right="2319"/>
        <w:spacing w:after="0" w:line="272" w:lineRule="auto"/>
        <w:rPr>
          <w:sz w:val="20"/>
          <w:szCs w:val="20"/>
          <w:color w:val="auto"/>
        </w:rPr>
      </w:pPr>
      <w:r>
        <w:rPr>
          <w:rFonts w:ascii="Courier New" w:cs="Courier New" w:eastAsia="Courier New" w:hAnsi="Courier New"/>
          <w:sz w:val="16"/>
          <w:szCs w:val="16"/>
          <w:color w:val="auto"/>
        </w:rPr>
        <w:t>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86"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2319" w:firstLine="421"/>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w:t>
      </w:r>
    </w:p>
    <w:p>
      <w:pPr>
        <w:spacing w:after="0" w:line="1" w:lineRule="exact"/>
        <w:rPr>
          <w:sz w:val="20"/>
          <w:szCs w:val="20"/>
          <w:color w:val="auto"/>
        </w:rPr>
      </w:pPr>
    </w:p>
    <w:p>
      <w:pPr>
        <w:ind w:right="2319" w:firstLine="8"/>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FIL has the sole power to vote and the sole power to dispose of the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The undersigned persons, on February 11, 1994, agree and consent to the joint filing on their behalf of this Schedule 13G in connection with their beneficial ownership of the common stock of Micron Technology Incorporated at December 31, 1993.</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 13G</w:t>
      </w:r>
    </w:p>
    <w:p>
      <w:pPr>
        <w:spacing w:after="0" w:line="237" w:lineRule="auto"/>
        <w:rPr>
          <w:sz w:val="20"/>
          <w:szCs w:val="20"/>
          <w:color w:val="auto"/>
        </w:rPr>
      </w:pPr>
      <w:r>
        <w:rPr>
          <w:rFonts w:ascii="Courier New" w:cs="Courier New" w:eastAsia="Courier New" w:hAnsi="Courier New"/>
          <w:sz w:val="18"/>
          <w:szCs w:val="18"/>
          <w:color w:val="auto"/>
        </w:rPr>
        <w:t>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 Company</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pacing w:after="0" w:line="237"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lvl w:ilvl="1">
      <w:lvlJc w:val="left"/>
      <w:lvlText w:val="(%2)"/>
      <w:numFmt w:val="lowerRoman"/>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2019-12-13T13:19:09Z</dcterms:created>
  <dcterms:modified xsi:type="dcterms:W3CDTF">2019-12-13T13:19:09Z</dcterms:modified>
</cp:coreProperties>
</file>