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color w:val="000000"/>
          <w:sz w:val="32"/>
        </w:rPr>
      </w:pPr>
      <w:r>
        <w:rPr>
          <w:rFonts w:ascii="Arial Narrow;sans-serif" w:hAnsi="Arial Narrow;sans-serif"/>
          <w:b/>
          <w:color w:val="000000"/>
          <w:sz w:val="32"/>
        </w:rPr>
        <w:t>UNITED STATES</w:t>
      </w:r>
    </w:p>
    <w:p>
      <w:pPr>
        <w:pStyle w:val="TextBody"/>
        <w:bidi w:val="0"/>
        <w:spacing w:lineRule="auto" w:line="288" w:before="0" w:after="0"/>
        <w:jc w:val="center"/>
        <w:rPr>
          <w:rFonts w:ascii="Arial Narrow;sans-serif" w:hAnsi="Arial Narrow;sans-serif"/>
          <w:b/>
          <w:color w:val="000000"/>
          <w:sz w:val="32"/>
        </w:rPr>
      </w:pPr>
      <w:r>
        <w:rPr>
          <w:rFonts w:ascii="Arial Narrow;sans-serif" w:hAnsi="Arial Narrow;sans-serif"/>
          <w:b/>
          <w:color w:val="000000"/>
          <w:sz w:val="32"/>
        </w:rPr>
        <w:t>SECURITIES AND EXCHANGE COMMISSION</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Washington, D.C. 20549</w:t>
      </w:r>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color w:val="000000"/>
          <w:sz w:val="32"/>
        </w:rPr>
      </w:pPr>
      <w:r>
        <w:rPr>
          <w:rFonts w:ascii="Arial Narrow;sans-serif" w:hAnsi="Arial Narrow;sans-serif"/>
          <w:b/>
          <w:color w:val="000000"/>
          <w:sz w:val="32"/>
        </w:rPr>
        <w:t>FORM 8-K</w:t>
      </w:r>
    </w:p>
    <w:p>
      <w:pPr>
        <w:pStyle w:val="TextBody"/>
        <w:bidi w:val="0"/>
        <w:spacing w:lineRule="auto" w:line="288" w:before="240" w:after="283"/>
        <w:jc w:val="center"/>
        <w:rPr>
          <w:rFonts w:ascii="Arial Narrow;sans-serif" w:hAnsi="Arial Narrow;sans-serif"/>
          <w:b/>
          <w:color w:val="000000"/>
          <w:sz w:val="24"/>
        </w:rPr>
      </w:pPr>
      <w:r>
        <w:rPr>
          <w:rFonts w:ascii="Arial Narrow;sans-serif" w:hAnsi="Arial Narrow;sans-serif"/>
          <w:b/>
          <w:color w:val="000000"/>
          <w:sz w:val="24"/>
        </w:rPr>
        <w:t>CURRENT REPORT</w:t>
      </w:r>
    </w:p>
    <w:p>
      <w:pPr>
        <w:pStyle w:val="TextBody"/>
        <w:bidi w:val="0"/>
        <w:spacing w:lineRule="auto" w:line="288" w:before="0" w:after="240"/>
        <w:jc w:val="center"/>
        <w:rPr>
          <w:rFonts w:ascii="Arial Narrow;sans-serif" w:hAnsi="Arial Narrow;sans-serif"/>
          <w:b/>
          <w:color w:val="000000"/>
          <w:sz w:val="20"/>
        </w:rPr>
      </w:pPr>
      <w:r>
        <w:rPr>
          <w:rFonts w:ascii="Arial Narrow;sans-serif" w:hAnsi="Arial Narrow;sans-serif"/>
          <w:b/>
          <w:color w:val="000000"/>
          <w:sz w:val="20"/>
        </w:rPr>
        <w:t>Pursuant to Section 13 or 15(d) of The Securities Exchange Act of 1934</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May 22, 2023</w:t>
      </w:r>
    </w:p>
    <w:p>
      <w:pPr>
        <w:pStyle w:val="TextBody"/>
        <w:bidi w:val="0"/>
        <w:spacing w:lineRule="auto" w:line="288" w:before="0" w:after="240"/>
        <w:jc w:val="center"/>
        <w:rPr>
          <w:rFonts w:ascii="Arial Narrow;sans-serif" w:hAnsi="Arial Narrow;sans-serif"/>
          <w:b w:val="false"/>
          <w:color w:val="000000"/>
          <w:sz w:val="20"/>
        </w:rPr>
      </w:pPr>
      <w:r>
        <w:rPr>
          <w:rFonts w:ascii="Arial Narrow;sans-serif" w:hAnsi="Arial Narrow;sans-serif"/>
          <w:b w:val="false"/>
          <w:color w:val="000000"/>
          <w:sz w:val="20"/>
        </w:rPr>
        <w:t>Date of Report (date of earliest event reported)</w:t>
      </w:r>
    </w:p>
    <w:p>
      <w:pPr>
        <w:pStyle w:val="TextBody"/>
        <w:bidi w:val="0"/>
        <w:spacing w:before="0" w:after="0"/>
        <w:jc w:val="center"/>
        <w:rPr/>
      </w:pPr>
      <w:r>
        <w:rPr/>
        <w:drawing>
          <wp:inline distT="0" distB="0" distL="0" distR="0">
            <wp:extent cx="1724025" cy="4667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24025" cy="466725"/>
                    </a:xfrm>
                    <a:prstGeom prst="rect">
                      <a:avLst/>
                    </a:prstGeom>
                  </pic:spPr>
                </pic:pic>
              </a:graphicData>
            </a:graphic>
          </wp:inline>
        </w:drawing>
      </w:r>
    </w:p>
    <w:tbl>
      <w:tblPr>
        <w:tblW w:w="3809" w:type="dxa"/>
        <w:jc w:val="center"/>
        <w:tblInd w:w="0" w:type="dxa"/>
        <w:tblLayout w:type="fixed"/>
        <w:tblCellMar>
          <w:top w:w="28" w:type="dxa"/>
          <w:left w:w="28" w:type="dxa"/>
          <w:bottom w:w="28" w:type="dxa"/>
          <w:right w:w="28" w:type="dxa"/>
        </w:tblCellMar>
      </w:tblPr>
      <w:tblGrid>
        <w:gridCol w:w="1220"/>
        <w:gridCol w:w="1071"/>
        <w:gridCol w:w="1518"/>
      </w:tblGrid>
      <w:tr>
        <w:trPr/>
        <w:tc>
          <w:tcPr>
            <w:tcW w:w="1220"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32"/>
              </w:rPr>
            </w:pPr>
            <w:r>
              <w:rPr>
                <w:rFonts w:ascii="Arial Narrow;sans-serif" w:hAnsi="Arial Narrow;sans-serif"/>
                <w:b/>
                <w:color w:val="000000"/>
                <w:sz w:val="32"/>
              </w:rPr>
              <w:t>MICRON TECHNOLOGY, INC.</w:t>
            </w:r>
          </w:p>
        </w:tc>
      </w:tr>
      <w:tr>
        <w:trPr/>
        <w:tc>
          <w:tcPr>
            <w:tcW w:w="38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(Exact name of registrant as specified in its charter)</w:t>
            </w:r>
          </w:p>
        </w:tc>
      </w:tr>
    </w:tbl>
    <w:tbl>
      <w:tblPr>
        <w:tblW w:w="8333" w:type="dxa"/>
        <w:jc w:val="center"/>
        <w:tblInd w:w="0" w:type="dxa"/>
        <w:tblLayout w:type="fixed"/>
        <w:tblCellMar>
          <w:top w:w="28" w:type="dxa"/>
          <w:left w:w="28" w:type="dxa"/>
          <w:bottom w:w="28" w:type="dxa"/>
          <w:right w:w="28" w:type="dxa"/>
        </w:tblCellMar>
      </w:tblPr>
      <w:tblGrid>
        <w:gridCol w:w="1144"/>
        <w:gridCol w:w="1006"/>
        <w:gridCol w:w="1015"/>
        <w:gridCol w:w="109"/>
        <w:gridCol w:w="109"/>
        <w:gridCol w:w="109"/>
        <w:gridCol w:w="672"/>
        <w:gridCol w:w="672"/>
        <w:gridCol w:w="680"/>
        <w:gridCol w:w="109"/>
        <w:gridCol w:w="109"/>
        <w:gridCol w:w="109"/>
        <w:gridCol w:w="726"/>
        <w:gridCol w:w="726"/>
        <w:gridCol w:w="1038"/>
      </w:tblGrid>
      <w:tr>
        <w:trPr/>
        <w:tc>
          <w:tcPr>
            <w:tcW w:w="1144"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1-10658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75-1618004</w:t>
            </w:r>
          </w:p>
        </w:tc>
      </w:tr>
      <w:tr>
        <w:trPr/>
        <w:tc>
          <w:tcPr>
            <w:tcW w:w="3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(State or other jurisdiction of incorporation)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(Commission File Number)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(IRS Employer Identification No.)</w:t>
            </w:r>
          </w:p>
        </w:tc>
      </w:tr>
    </w:tbl>
    <w:tbl>
      <w:tblPr>
        <w:tblW w:w="3899" w:type="dxa"/>
        <w:jc w:val="center"/>
        <w:tblInd w:w="0" w:type="dxa"/>
        <w:tblLayout w:type="fixed"/>
        <w:tblCellMar>
          <w:top w:w="28" w:type="dxa"/>
          <w:left w:w="28" w:type="dxa"/>
          <w:bottom w:w="28" w:type="dxa"/>
          <w:right w:w="28" w:type="dxa"/>
        </w:tblCellMar>
      </w:tblPr>
      <w:tblGrid>
        <w:gridCol w:w="1247"/>
        <w:gridCol w:w="1094"/>
        <w:gridCol w:w="1558"/>
      </w:tblGrid>
      <w:tr>
        <w:trPr/>
        <w:tc>
          <w:tcPr>
            <w:tcW w:w="1247"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8000 South Federal Way</w:t>
            </w:r>
          </w:p>
        </w:tc>
      </w:tr>
      <w:tr>
        <w:trPr/>
        <w:tc>
          <w:tcPr>
            <w:tcW w:w="38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20"/>
              </w:rPr>
            </w:pPr>
            <w:r>
              <w:rPr>
                <w:rFonts w:ascii="Arial Narrow;sans-serif" w:hAnsi="Arial Narrow;sans-serif"/>
                <w:b/>
                <w:color w:val="000000"/>
                <w:sz w:val="20"/>
              </w:rPr>
              <w:t>Boise, Idaho 83716-9632</w:t>
            </w:r>
          </w:p>
        </w:tc>
      </w:tr>
      <w:tr>
        <w:trPr/>
        <w:tc>
          <w:tcPr>
            <w:tcW w:w="38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(Address of principal executive offices and Zip Code)</w:t>
            </w:r>
          </w:p>
        </w:tc>
      </w:tr>
    </w:tbl>
    <w:tbl>
      <w:tblPr>
        <w:tblW w:w="3945" w:type="dxa"/>
        <w:jc w:val="center"/>
        <w:tblInd w:w="0" w:type="dxa"/>
        <w:tblLayout w:type="fixed"/>
        <w:tblCellMar>
          <w:top w:w="28" w:type="dxa"/>
          <w:left w:w="28" w:type="dxa"/>
          <w:bottom w:w="28" w:type="dxa"/>
          <w:right w:w="28" w:type="dxa"/>
        </w:tblCellMar>
      </w:tblPr>
      <w:tblGrid>
        <w:gridCol w:w="1263"/>
        <w:gridCol w:w="1107"/>
        <w:gridCol w:w="1575"/>
      </w:tblGrid>
      <w:tr>
        <w:trPr/>
        <w:tc>
          <w:tcPr>
            <w:tcW w:w="1263"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575"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20"/>
              </w:rPr>
            </w:pPr>
            <w:r>
              <w:rPr>
                <w:rFonts w:ascii="Arial Narrow;sans-serif" w:hAnsi="Arial Narrow;sans-serif"/>
                <w:b/>
                <w:color w:val="000000"/>
                <w:sz w:val="20"/>
              </w:rPr>
              <w:t>(208) 368-4000</w:t>
            </w:r>
          </w:p>
        </w:tc>
      </w:tr>
      <w:tr>
        <w:trPr/>
        <w:tc>
          <w:tcPr>
            <w:tcW w:w="3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(Registrant’s telephone number, including area code)</w:t>
            </w:r>
          </w:p>
        </w:tc>
      </w:tr>
    </w:tbl>
    <w:p>
      <w:pPr>
        <w:pStyle w:val="TextBody"/>
        <w:bidi w:val="0"/>
        <w:spacing w:before="0" w:after="0"/>
        <w:jc w:val="center"/>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0" w:after="0"/>
        <w:jc w:val="left"/>
        <w:rPr/>
      </w:pPr>
      <w:r>
        <w:rPr>
          <w:color w:val="000000"/>
        </w:rPr>
        <w:t xml:space="preserve">☐ </w:t>
      </w:r>
      <w:r>
        <w:rPr>
          <w:rFonts w:ascii="Arial Narrow;sans-serif" w:hAnsi="Arial Narrow;sans-serif"/>
          <w:b w:val="false"/>
          <w:color w:val="000000"/>
          <w:sz w:val="20"/>
        </w:rPr>
        <w:t>Written communications pursuant to Rule 425 under the Securities Act (17 CFR 230.425)</w:t>
      </w:r>
    </w:p>
    <w:p>
      <w:pPr>
        <w:pStyle w:val="TextBody"/>
        <w:bidi w:val="0"/>
        <w:spacing w:lineRule="auto" w:line="288" w:before="0" w:after="0"/>
        <w:jc w:val="left"/>
        <w:rPr/>
      </w:pPr>
      <w:r>
        <w:rPr>
          <w:color w:val="000000"/>
        </w:rPr>
        <w:t xml:space="preserve">☐ </w:t>
      </w:r>
      <w:r>
        <w:rPr>
          <w:rFonts w:ascii="Arial Narrow;sans-serif" w:hAnsi="Arial Narrow;sans-serif"/>
          <w:b w:val="false"/>
          <w:color w:val="000000"/>
          <w:sz w:val="20"/>
        </w:rPr>
        <w:t>Soliciting material pursuant to Rule 14a-12 under the Exchange Act (17 CFR 240.14a-12)</w:t>
      </w:r>
    </w:p>
    <w:p>
      <w:pPr>
        <w:pStyle w:val="TextBody"/>
        <w:bidi w:val="0"/>
        <w:spacing w:lineRule="auto" w:line="288" w:before="0" w:after="0"/>
        <w:jc w:val="left"/>
        <w:rPr/>
      </w:pPr>
      <w:r>
        <w:rPr>
          <w:color w:val="000000"/>
        </w:rPr>
        <w:t xml:space="preserve">☐ </w:t>
      </w:r>
      <w:r>
        <w:rPr>
          <w:rFonts w:ascii="Arial Narrow;sans-serif" w:hAnsi="Arial Narrow;sans-serif"/>
          <w:b w:val="false"/>
          <w:color w:val="000000"/>
          <w:sz w:val="20"/>
        </w:rPr>
        <w:t>Pre-commencement communications pursuant to Rule 14d-2(b) under the Exchange Act (17 CFR 240.14d-2(b))</w:t>
      </w:r>
    </w:p>
    <w:p>
      <w:pPr>
        <w:pStyle w:val="TextBody"/>
        <w:bidi w:val="0"/>
        <w:spacing w:lineRule="auto" w:line="288" w:before="0" w:after="0"/>
        <w:jc w:val="left"/>
        <w:rPr/>
      </w:pPr>
      <w:r>
        <w:rPr>
          <w:color w:val="000000"/>
        </w:rPr>
        <w:t xml:space="preserve">☐ </w:t>
      </w:r>
      <w:r>
        <w:rPr>
          <w:rFonts w:ascii="Arial Narrow;sans-serif" w:hAnsi="Arial Narrow;sans-serif"/>
          <w:b w:val="false"/>
          <w:color w:val="000000"/>
          <w:sz w:val="20"/>
        </w:rPr>
        <w:t xml:space="preserve">Pre-commencement communications pursuant to Rule 13e-4(c) under the Exchange Act (17 CFR 240.13e-4(c)) </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Securities registered pursuant to Section 12(b) of the Act:</w:t>
      </w:r>
    </w:p>
    <w:tbl>
      <w:tblPr>
        <w:tblW w:w="8767" w:type="dxa"/>
        <w:jc w:val="left"/>
        <w:tblInd w:w="0" w:type="dxa"/>
        <w:tblLayout w:type="fixed"/>
        <w:tblCellMar>
          <w:top w:w="28" w:type="dxa"/>
          <w:left w:w="28" w:type="dxa"/>
          <w:bottom w:w="28" w:type="dxa"/>
          <w:right w:w="28" w:type="dxa"/>
        </w:tblCellMar>
      </w:tblPr>
      <w:tblGrid>
        <w:gridCol w:w="1138"/>
        <w:gridCol w:w="999"/>
        <w:gridCol w:w="1012"/>
        <w:gridCol w:w="109"/>
        <w:gridCol w:w="109"/>
        <w:gridCol w:w="109"/>
        <w:gridCol w:w="444"/>
        <w:gridCol w:w="444"/>
        <w:gridCol w:w="446"/>
        <w:gridCol w:w="109"/>
        <w:gridCol w:w="109"/>
        <w:gridCol w:w="109"/>
        <w:gridCol w:w="1063"/>
        <w:gridCol w:w="1063"/>
        <w:gridCol w:w="1504"/>
      </w:tblGrid>
      <w:tr>
        <w:trPr/>
        <w:tc>
          <w:tcPr>
            <w:tcW w:w="1138"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Name of each exchange on which registered</w:t>
            </w:r>
          </w:p>
        </w:tc>
      </w:tr>
      <w:tr>
        <w:trPr/>
        <w:tc>
          <w:tcPr>
            <w:tcW w:w="3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Common Stock, par value $0.10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MU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Nasdaq Global Select Market</w:t>
            </w:r>
          </w:p>
        </w:tc>
      </w:tr>
    </w:tbl>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right"/>
        <w:rPr/>
      </w:pPr>
      <w:r>
        <w:rPr>
          <w:rFonts w:ascii="Arial Narrow;sans-serif" w:hAnsi="Arial Narrow;sans-serif"/>
          <w:b w:val="false"/>
          <w:color w:val="000000"/>
          <w:sz w:val="20"/>
        </w:rPr>
        <w:t xml:space="preserve">Emerging growth company </w:t>
      </w:r>
      <w:r>
        <w:rPr>
          <w:color w:val="000000"/>
        </w:rPr>
        <w:t>☐</w:t>
      </w:r>
    </w:p>
    <w:p>
      <w:pPr>
        <w:pStyle w:val="TextBody"/>
        <w:bidi w:val="0"/>
        <w:spacing w:lineRule="auto" w:line="288" w:before="0" w:after="0"/>
        <w:jc w:val="left"/>
        <w:rPr/>
      </w:pPr>
      <w:r>
        <w:rPr>
          <w:rFonts w:ascii="Arial Narrow;sans-serif" w:hAnsi="Arial Narrow;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3600" w:type="dxa"/>
        <w:jc w:val="left"/>
        <w:tblInd w:w="0" w:type="dxa"/>
        <w:tblLayout w:type="fixed"/>
        <w:tblCellMar>
          <w:top w:w="28" w:type="dxa"/>
          <w:left w:w="28" w:type="dxa"/>
          <w:bottom w:w="28" w:type="dxa"/>
          <w:right w:w="28" w:type="dxa"/>
        </w:tblCellMar>
      </w:tblPr>
      <w:tblGrid>
        <w:gridCol w:w="368"/>
        <w:gridCol w:w="324"/>
        <w:gridCol w:w="328"/>
        <w:gridCol w:w="754"/>
        <w:gridCol w:w="754"/>
        <w:gridCol w:w="1072"/>
      </w:tblGrid>
      <w:tr>
        <w:trPr/>
        <w:tc>
          <w:tcPr>
            <w:tcW w:w="368"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r>
      <w:tr>
        <w:trPr/>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7.01.</w:t>
            </w:r>
          </w:p>
        </w:tc>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Regulation FD Disclosure.</w:t>
            </w:r>
          </w:p>
        </w:tc>
      </w:tr>
    </w:tbl>
    <w:p>
      <w:pPr>
        <w:pStyle w:val="TextBody"/>
        <w:bidi w:val="0"/>
        <w:spacing w:before="0" w:after="0"/>
        <w:jc w:val="left"/>
        <w:rPr/>
      </w:pPr>
      <w:r>
        <w:rPr/>
      </w:r>
    </w:p>
    <w:p>
      <w:pPr>
        <w:pStyle w:val="TextBody"/>
        <w:bidi w:val="0"/>
        <w:spacing w:lineRule="auto" w:line="252" w:before="0" w:after="0"/>
        <w:jc w:val="left"/>
        <w:rPr>
          <w:rFonts w:ascii="Arial;sans-serif" w:hAnsi="Arial;sans-serif"/>
          <w:b w:val="false"/>
          <w:color w:val="000000"/>
          <w:sz w:val="20"/>
        </w:rPr>
      </w:pPr>
      <w:r>
        <w:rPr>
          <w:rFonts w:ascii="Arial;sans-serif" w:hAnsi="Arial;sans-serif"/>
          <w:b w:val="false"/>
          <w:color w:val="000000"/>
          <w:sz w:val="20"/>
        </w:rPr>
        <w:t>On May 21, 2023, Micron Technology, Inc. (“Micron”) received notice that the Cyberspace Administration of China (the “CAC”) concluded its review which commenced on March 31, 2023. In its review, the CAC concluded Micron products present a cybersecurity risk. As such, the CAC notified critical information infrastructure operators in China to stop using Micron products. We are evaluating what portion of our sales could be impacted by a “critical information infrastructure” ban.</w:t>
      </w:r>
    </w:p>
    <w:p>
      <w:pPr>
        <w:pStyle w:val="TextBody"/>
        <w:bidi w:val="0"/>
        <w:spacing w:before="0" w:after="0"/>
        <w:jc w:val="left"/>
        <w:rPr/>
      </w:pPr>
      <w:r>
        <w:rPr/>
      </w:r>
    </w:p>
    <w:p>
      <w:pPr>
        <w:pStyle w:val="TextBody"/>
        <w:bidi w:val="0"/>
        <w:spacing w:lineRule="auto" w:line="252" w:before="0" w:after="0"/>
        <w:jc w:val="left"/>
        <w:rPr>
          <w:rFonts w:ascii="Arial;sans-serif" w:hAnsi="Arial;sans-serif"/>
          <w:b w:val="false"/>
          <w:color w:val="000000"/>
          <w:sz w:val="20"/>
        </w:rPr>
      </w:pPr>
      <w:r>
        <w:rPr>
          <w:rFonts w:ascii="Arial;sans-serif" w:hAnsi="Arial;sans-serif"/>
          <w:b w:val="false"/>
          <w:color w:val="000000"/>
          <w:sz w:val="20"/>
        </w:rPr>
        <w:t>Mark Murphy, Chief Financial Officer of Micron, will be participating in a fireside chat at J.P. Morgan’s 51st Annual Global Technology, Media and Communications Conference in Boston on Monday, May 22 at 6:00 a.m. Mountain time. Mr. Murphy will be making additional comments pertaining to the CAC ruling during the fireside chat.</w:t>
      </w:r>
    </w:p>
    <w:p>
      <w:pPr>
        <w:pStyle w:val="TextBody"/>
        <w:bidi w:val="0"/>
        <w:spacing w:before="0" w:after="0"/>
        <w:jc w:val="left"/>
        <w:rPr/>
      </w:pPr>
      <w:r>
        <w:rPr/>
      </w:r>
    </w:p>
    <w:p>
      <w:pPr>
        <w:pStyle w:val="TextBody"/>
        <w:bidi w:val="0"/>
        <w:spacing w:lineRule="auto" w:line="252" w:before="0" w:after="0"/>
        <w:jc w:val="left"/>
        <w:rPr>
          <w:rFonts w:ascii="Arial;sans-serif" w:hAnsi="Arial;sans-serif"/>
          <w:b w:val="false"/>
          <w:color w:val="000000"/>
          <w:sz w:val="20"/>
        </w:rPr>
      </w:pPr>
      <w:r>
        <w:rPr>
          <w:rFonts w:ascii="Arial;sans-serif" w:hAnsi="Arial;sans-serif"/>
          <w:b w:val="false"/>
          <w:color w:val="000000"/>
          <w:sz w:val="20"/>
        </w:rPr>
        <w:t>Live webcasts and subsequent replays of this event can be accessed from Micron’s Investor Relations website at investors.micron.com.</w:t>
      </w:r>
    </w:p>
    <w:p>
      <w:pPr>
        <w:pStyle w:val="TextBody"/>
        <w:bidi w:val="0"/>
        <w:spacing w:before="0" w:after="0"/>
        <w:jc w:val="left"/>
        <w:rPr/>
      </w:pPr>
      <w:r>
        <w:rPr/>
      </w:r>
    </w:p>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 * * *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The information set forth in this Item 7.01 is intended to be furnished under Item 7.01 of Form 8-K (Regulation FD Disclosure). This information shall not be deemed “filed” for purposes of Section 18 of the Securities Exchange Act of 1934, as amended (the “Exchange Act”), or otherwise subject to the liabilities of that section. In addition, this information shall not be incorporated by reference into any registration statement filing under the Securities Act of 1933, as amended, or the Exchange Act, regardless of any general incorporation language in such filing, unless it is specifically incorporated by reference in such filing.</w: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SIGNATURE</w:t>
      </w:r>
    </w:p>
    <w:p>
      <w:pPr>
        <w:pStyle w:val="TextBody"/>
        <w:bidi w:val="0"/>
        <w:spacing w:before="0" w:after="0"/>
        <w:jc w:val="left"/>
        <w:rPr/>
      </w:pPr>
      <w:r>
        <w:rPr/>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hereunto duly authorized.</w:t>
      </w:r>
    </w:p>
    <w:tbl>
      <w:tblPr>
        <w:tblW w:w="7935" w:type="dxa"/>
        <w:jc w:val="left"/>
        <w:tblInd w:w="0" w:type="dxa"/>
        <w:tblLayout w:type="fixed"/>
        <w:tblCellMar>
          <w:top w:w="28" w:type="dxa"/>
          <w:left w:w="28" w:type="dxa"/>
          <w:bottom w:w="28" w:type="dxa"/>
          <w:right w:w="28" w:type="dxa"/>
        </w:tblCellMar>
      </w:tblPr>
      <w:tblGrid>
        <w:gridCol w:w="211"/>
        <w:gridCol w:w="186"/>
        <w:gridCol w:w="188"/>
        <w:gridCol w:w="429"/>
        <w:gridCol w:w="429"/>
        <w:gridCol w:w="432"/>
        <w:gridCol w:w="445"/>
        <w:gridCol w:w="445"/>
        <w:gridCol w:w="445"/>
        <w:gridCol w:w="1375"/>
        <w:gridCol w:w="1375"/>
        <w:gridCol w:w="1975"/>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975"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MICRON TECHNOLOGY, INC.</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May 22, 2023</w:t>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/s/ Mark Murphy</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w:t>
            </w:r>
          </w:p>
        </w:tc>
        <w:tc>
          <w:tcPr>
            <w:tcW w:w="4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Mark Murphy</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w:t>
            </w:r>
          </w:p>
        </w:tc>
        <w:tc>
          <w:tcPr>
            <w:tcW w:w="472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Executive Vice President and Chief Financial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Narrow">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597</Words>
  <Characters>3263</Characters>
  <CharactersWithSpaces>3808</CharactersWithSpaces>
  <Paragraphs>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