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CTO and Products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25,468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189,528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7,735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181,793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5,742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176,051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20,486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196,537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8,785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187,752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31,499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219,251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13,961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205,290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17,977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223,267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7,720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215,547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15,137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230,684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7,115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223,569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15,137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238,706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7,115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231,591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12,920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244,511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6,073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181.6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238,438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2,293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187.06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236,145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20,486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7,702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31,499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7,702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17,977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12,147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15,137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15,137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15,137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15,137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15,137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314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16236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162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12,921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12,921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12,921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DRAM revenue and Data Center NAND each at a level of 233%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4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128%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(which remained subject to vesting) vested upon certification of the achievement of performance goals at the end of year 3 of the performance period.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2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High Growth-Segments and HBM3E+ each at a level of 233%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60" w:hanging="3"/>
        <w:spacing w:after="0" w:line="252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Compensation Committee certified achievement of pre-established performance goals related to relative total shareholder return at a level of 111% of target under the performance-based restricted stock units ("PRSU") with a 3-year performance period previously awarded on October 13, 2023. The payout for the PRSUs (if earned) varies (starting at 0%) based on actual achievement of the goals, subject to a 200% aggregate limit on the total target shares that may be received under the PRSUs awarded on October 13, 2023. The reported shares represent the shares earned, 50% of which vested upon certification of the performance at the end of year 2 of the performance period and 50% remain subject to vesting until the certification of performance goals at the end of year 3 of the performance period.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10/15/2025</w:t>
            </w:r>
          </w:p>
        </w:tc>
      </w:tr>
      <w:tr>
        <w:trPr>
          <w:trHeight w:val="219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2025-10-15T16:37:43Z</dcterms:created>
  <dcterms:modified xsi:type="dcterms:W3CDTF">2025-10-15T16:37:43Z</dcterms:modified>
</cp:coreProperties>
</file>