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FORM 10-K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(Mark One)</w:t>
      </w:r>
    </w:p>
    <w:p>
      <w:pPr>
        <w:ind w:left="640" w:hanging="527"/>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13 OR 15(d) OF THE SECURITIES EXCHANGE</w:t>
      </w:r>
    </w:p>
    <w:p>
      <w:pPr>
        <w:ind w:left="1160"/>
        <w:spacing w:after="0"/>
        <w:tabs>
          <w:tab w:leader="none" w:pos="2620" w:val="left"/>
        </w:tabs>
        <w:rPr>
          <w:sz w:val="20"/>
          <w:szCs w:val="20"/>
          <w:color w:val="auto"/>
        </w:rPr>
      </w:pPr>
      <w:r>
        <w:rPr>
          <w:rFonts w:ascii="Courier New" w:cs="Courier New" w:eastAsia="Courier New" w:hAnsi="Courier New"/>
          <w:sz w:val="18"/>
          <w:szCs w:val="18"/>
          <w:color w:val="auto"/>
        </w:rPr>
        <w:t>ACT OF 1934</w:t>
      </w:r>
      <w:r>
        <w:rPr>
          <w:sz w:val="20"/>
          <w:szCs w:val="20"/>
          <w:color w:val="auto"/>
        </w:rPr>
        <w:tab/>
      </w:r>
      <w:r>
        <w:rPr>
          <w:rFonts w:ascii="Courier New" w:cs="Courier New" w:eastAsia="Courier New" w:hAnsi="Courier New"/>
          <w:sz w:val="16"/>
          <w:szCs w:val="16"/>
          <w:color w:val="auto"/>
        </w:rPr>
        <w:t>[FEE REQUIRED]</w:t>
      </w:r>
    </w:p>
    <w:p>
      <w:pPr>
        <w:spacing w:after="0" w:line="200" w:lineRule="exact"/>
        <w:rPr>
          <w:sz w:val="24"/>
          <w:szCs w:val="24"/>
          <w:color w:val="auto"/>
        </w:rPr>
      </w:pPr>
    </w:p>
    <w:p>
      <w:pPr>
        <w:ind w:left="120"/>
        <w:spacing w:after="0"/>
        <w:tabs>
          <w:tab w:leader="none" w:pos="3460" w:val="left"/>
        </w:tabs>
        <w:rPr>
          <w:sz w:val="20"/>
          <w:szCs w:val="20"/>
          <w:color w:val="auto"/>
        </w:rPr>
      </w:pPr>
      <w:r>
        <w:rPr>
          <w:rFonts w:ascii="Courier New" w:cs="Courier New" w:eastAsia="Courier New" w:hAnsi="Courier New"/>
          <w:sz w:val="18"/>
          <w:szCs w:val="18"/>
          <w:color w:val="auto"/>
        </w:rPr>
        <w:t>For the fiscal year ended</w:t>
      </w:r>
      <w:r>
        <w:rPr>
          <w:sz w:val="20"/>
          <w:szCs w:val="20"/>
          <w:color w:val="auto"/>
        </w:rPr>
        <w:tab/>
      </w:r>
      <w:r>
        <w:rPr>
          <w:rFonts w:ascii="Courier New" w:cs="Courier New" w:eastAsia="Courier New" w:hAnsi="Courier New"/>
          <w:sz w:val="16"/>
          <w:szCs w:val="16"/>
          <w:color w:val="auto"/>
        </w:rPr>
        <w:t>August 31, 1995</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4"/>
          <w:szCs w:val="24"/>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TRANSITION REPORT PURSUANT TO SECTION 13 OR 15(d) OF THE SECURITIES</w:t>
      </w:r>
    </w:p>
    <w:p>
      <w:pPr>
        <w:ind w:left="1160"/>
        <w:spacing w:after="0"/>
        <w:tabs>
          <w:tab w:leader="none" w:pos="3560" w:val="left"/>
        </w:tabs>
        <w:rPr>
          <w:sz w:val="20"/>
          <w:szCs w:val="20"/>
          <w:color w:val="auto"/>
        </w:rPr>
      </w:pPr>
      <w:r>
        <w:rPr>
          <w:rFonts w:ascii="Courier New" w:cs="Courier New" w:eastAsia="Courier New" w:hAnsi="Courier New"/>
          <w:sz w:val="18"/>
          <w:szCs w:val="18"/>
          <w:color w:val="auto"/>
        </w:rPr>
        <w:t>EXCHANGE ACT OF 1934</w:t>
      </w:r>
      <w:r>
        <w:rPr>
          <w:sz w:val="20"/>
          <w:szCs w:val="20"/>
          <w:color w:val="auto"/>
        </w:rPr>
        <w:tab/>
      </w:r>
      <w:r>
        <w:rPr>
          <w:rFonts w:ascii="Courier New" w:cs="Courier New" w:eastAsia="Courier New" w:hAnsi="Courier New"/>
          <w:sz w:val="16"/>
          <w:szCs w:val="16"/>
          <w:color w:val="auto"/>
        </w:rPr>
        <w:t>[NO FEE REQUIRED]</w:t>
      </w:r>
    </w:p>
    <w:p>
      <w:pPr>
        <w:spacing w:after="0" w:line="202" w:lineRule="exact"/>
        <w:rPr>
          <w:sz w:val="24"/>
          <w:szCs w:val="24"/>
          <w:color w:val="auto"/>
        </w:rPr>
      </w:pPr>
    </w:p>
    <w:p>
      <w:pPr>
        <w:ind w:left="120"/>
        <w:spacing w:after="0"/>
        <w:tabs>
          <w:tab w:leader="none" w:pos="5580" w:val="left"/>
        </w:tabs>
        <w:rPr>
          <w:sz w:val="20"/>
          <w:szCs w:val="20"/>
          <w:color w:val="auto"/>
        </w:rPr>
      </w:pPr>
      <w:r>
        <w:rPr>
          <w:rFonts w:ascii="Courier New" w:cs="Courier New" w:eastAsia="Courier New" w:hAnsi="Courier New"/>
          <w:sz w:val="18"/>
          <w:szCs w:val="18"/>
          <w:color w:val="auto"/>
        </w:rPr>
        <w:t>For the transition period from</w:t>
      </w:r>
      <w:r>
        <w:rPr>
          <w:sz w:val="20"/>
          <w:szCs w:val="20"/>
          <w:color w:val="auto"/>
        </w:rPr>
        <w:tab/>
      </w:r>
      <w:r>
        <w:rPr>
          <w:rFonts w:ascii="Courier New" w:cs="Courier New" w:eastAsia="Courier New" w:hAnsi="Courier New"/>
          <w:sz w:val="16"/>
          <w:szCs w:val="16"/>
          <w:color w:val="auto"/>
        </w:rPr>
        <w:t>to</w:t>
      </w:r>
    </w:p>
    <w:p>
      <w:pPr>
        <w:ind w:left="3280"/>
        <w:spacing w:after="0"/>
        <w:tabs>
          <w:tab w:leader="none" w:pos="57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ind w:left="120"/>
        <w:spacing w:after="0"/>
        <w:tabs>
          <w:tab w:leader="none" w:pos="4000" w:val="left"/>
        </w:tabs>
        <w:rPr>
          <w:sz w:val="20"/>
          <w:szCs w:val="20"/>
          <w:color w:val="auto"/>
        </w:rPr>
      </w:pPr>
      <w:r>
        <w:rPr>
          <w:rFonts w:ascii="Courier New" w:cs="Courier New" w:eastAsia="Courier New" w:hAnsi="Courier New"/>
          <w:sz w:val="18"/>
          <w:szCs w:val="18"/>
          <w:color w:val="auto"/>
        </w:rPr>
        <w:t>Commission file number</w:t>
      </w:r>
      <w:r>
        <w:rPr>
          <w:sz w:val="20"/>
          <w:szCs w:val="20"/>
          <w:color w:val="auto"/>
        </w:rPr>
        <w:tab/>
      </w:r>
      <w:r>
        <w:rPr>
          <w:rFonts w:ascii="Courier New" w:cs="Courier New" w:eastAsia="Courier New" w:hAnsi="Courier New"/>
          <w:sz w:val="16"/>
          <w:szCs w:val="16"/>
          <w:color w:val="auto"/>
        </w:rPr>
        <w:t>1-10658</w:t>
      </w:r>
    </w:p>
    <w:p>
      <w:pPr>
        <w:ind w:left="244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459"/>
        <w:spacing w:after="0"/>
        <w:rPr>
          <w:sz w:val="20"/>
          <w:szCs w:val="20"/>
          <w:color w:val="auto"/>
        </w:rPr>
      </w:pPr>
      <w:r>
        <w:rPr>
          <w:rFonts w:ascii="Courier New" w:cs="Courier New" w:eastAsia="Courier New" w:hAnsi="Courier New"/>
          <w:sz w:val="18"/>
          <w:szCs w:val="18"/>
          <w:color w:val="auto"/>
        </w:rPr>
        <w:t>Micron Technology, Inc.</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5260" w:type="dxa"/>
            <w:vAlign w:val="bottom"/>
          </w:tcPr>
          <w:p>
            <w:pPr>
              <w:ind w:left="1780"/>
              <w:spacing w:after="0"/>
              <w:rPr>
                <w:sz w:val="20"/>
                <w:szCs w:val="20"/>
                <w:color w:val="auto"/>
              </w:rPr>
            </w:pPr>
            <w:r>
              <w:rPr>
                <w:rFonts w:ascii="Courier New" w:cs="Courier New" w:eastAsia="Courier New" w:hAnsi="Courier New"/>
                <w:sz w:val="18"/>
                <w:szCs w:val="18"/>
                <w:color w:val="auto"/>
              </w:rPr>
              <w:t>Delaware</w:t>
            </w:r>
          </w:p>
        </w:tc>
        <w:tc>
          <w:tcPr>
            <w:tcW w:w="28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75-1618004</w:t>
            </w:r>
          </w:p>
        </w:tc>
      </w:tr>
      <w:tr>
        <w:trPr>
          <w:trHeight w:val="203"/>
        </w:trPr>
        <w:tc>
          <w:tcPr>
            <w:tcW w:w="52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6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5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405"/>
        </w:trPr>
        <w:tc>
          <w:tcPr>
            <w:tcW w:w="5260" w:type="dxa"/>
            <w:vAlign w:val="bottom"/>
          </w:tcPr>
          <w:p>
            <w:pPr>
              <w:spacing w:after="0"/>
              <w:rPr>
                <w:sz w:val="20"/>
                <w:szCs w:val="20"/>
                <w:color w:val="auto"/>
              </w:rPr>
            </w:pPr>
            <w:r>
              <w:rPr>
                <w:rFonts w:ascii="Courier New" w:cs="Courier New" w:eastAsia="Courier New" w:hAnsi="Courier New"/>
                <w:sz w:val="18"/>
                <w:szCs w:val="18"/>
                <w:color w:val="auto"/>
              </w:rPr>
              <w:t>8000 S. Federal Way, P.O. Box 6, Boise, Idaho</w:t>
            </w:r>
          </w:p>
        </w:tc>
        <w:tc>
          <w:tcPr>
            <w:tcW w:w="2840" w:type="dxa"/>
            <w:vAlign w:val="bottom"/>
          </w:tcPr>
          <w:p>
            <w:pPr>
              <w:jc w:val="right"/>
              <w:spacing w:after="0"/>
              <w:rPr>
                <w:sz w:val="20"/>
                <w:szCs w:val="20"/>
                <w:color w:val="auto"/>
              </w:rPr>
            </w:pPr>
            <w:r>
              <w:rPr>
                <w:rFonts w:ascii="Courier New" w:cs="Courier New" w:eastAsia="Courier New" w:hAnsi="Courier New"/>
                <w:sz w:val="18"/>
                <w:szCs w:val="18"/>
                <w:color w:val="auto"/>
              </w:rPr>
              <w:t>83707-0006</w:t>
            </w:r>
          </w:p>
        </w:tc>
      </w:tr>
      <w:tr>
        <w:trPr>
          <w:trHeight w:val="203"/>
        </w:trPr>
        <w:tc>
          <w:tcPr>
            <w:tcW w:w="52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405"/>
        </w:trPr>
        <w:tc>
          <w:tcPr>
            <w:tcW w:w="5260" w:type="dxa"/>
            <w:vAlign w:val="bottom"/>
          </w:tcPr>
          <w:p>
            <w:pPr>
              <w:spacing w:after="0"/>
              <w:rPr>
                <w:sz w:val="20"/>
                <w:szCs w:val="20"/>
                <w:color w:val="auto"/>
              </w:rPr>
            </w:pPr>
            <w:r>
              <w:rPr>
                <w:rFonts w:ascii="Courier New" w:cs="Courier New" w:eastAsia="Courier New" w:hAnsi="Courier New"/>
                <w:sz w:val="18"/>
                <w:szCs w:val="18"/>
                <w:color w:val="auto"/>
                <w:w w:val="97"/>
              </w:rPr>
              <w:t>Registrant's telephone number, including area code</w:t>
            </w:r>
          </w:p>
        </w:tc>
        <w:tc>
          <w:tcPr>
            <w:tcW w:w="28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(208) 368-4000</w:t>
            </w:r>
          </w:p>
        </w:tc>
      </w:tr>
      <w:tr>
        <w:trPr>
          <w:trHeight w:val="203"/>
        </w:trPr>
        <w:tc>
          <w:tcPr>
            <w:tcW w:w="5260" w:type="dxa"/>
            <w:vAlign w:val="bottom"/>
          </w:tcPr>
          <w:p>
            <w:pPr>
              <w:spacing w:after="0"/>
              <w:rPr>
                <w:sz w:val="17"/>
                <w:szCs w:val="17"/>
                <w:color w:val="auto"/>
              </w:rPr>
            </w:pPr>
          </w:p>
        </w:tc>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Securities registered pursuant to Section 12(b) of the Act:</w:t>
      </w:r>
    </w:p>
    <w:p>
      <w:pPr>
        <w:spacing w:after="0" w:line="201" w:lineRule="exact"/>
        <w:rPr>
          <w:sz w:val="24"/>
          <w:szCs w:val="24"/>
          <w:color w:val="auto"/>
        </w:rPr>
      </w:pPr>
    </w:p>
    <w:p>
      <w:pPr>
        <w:ind w:left="740"/>
        <w:spacing w:after="0"/>
        <w:tabs>
          <w:tab w:leader="none" w:pos="4100" w:val="left"/>
        </w:tabs>
        <w:rPr>
          <w:sz w:val="20"/>
          <w:szCs w:val="20"/>
          <w:color w:val="auto"/>
        </w:rPr>
      </w:pPr>
      <w:r>
        <w:rPr>
          <w:rFonts w:ascii="Courier New" w:cs="Courier New" w:eastAsia="Courier New" w:hAnsi="Courier New"/>
          <w:sz w:val="18"/>
          <w:szCs w:val="18"/>
          <w:color w:val="auto"/>
        </w:rPr>
        <w:t>Title of each class</w:t>
      </w:r>
      <w:r>
        <w:rPr>
          <w:sz w:val="20"/>
          <w:szCs w:val="20"/>
          <w:color w:val="auto"/>
        </w:rPr>
        <w:tab/>
      </w:r>
      <w:r>
        <w:rPr>
          <w:rFonts w:ascii="Courier New" w:cs="Courier New" w:eastAsia="Courier New" w:hAnsi="Courier New"/>
          <w:sz w:val="16"/>
          <w:szCs w:val="16"/>
          <w:color w:val="auto"/>
        </w:rPr>
        <w:t>Name of each exchange on which registered</w:t>
      </w:r>
    </w:p>
    <w:p>
      <w:pPr>
        <w:spacing w:after="0"/>
        <w:tabs>
          <w:tab w:leader="none" w:pos="4840" w:val="left"/>
        </w:tabs>
        <w:rPr>
          <w:sz w:val="20"/>
          <w:szCs w:val="20"/>
          <w:color w:val="auto"/>
        </w:rPr>
      </w:pPr>
      <w:r>
        <w:rPr>
          <w:rFonts w:ascii="Courier New" w:cs="Courier New" w:eastAsia="Courier New" w:hAnsi="Courier New"/>
          <w:sz w:val="18"/>
          <w:szCs w:val="18"/>
          <w:color w:val="auto"/>
        </w:rPr>
        <w:t>Common Stock, par value $.10 per share</w:t>
      </w:r>
      <w:r>
        <w:rPr>
          <w:sz w:val="20"/>
          <w:szCs w:val="20"/>
          <w:color w:val="auto"/>
        </w:rPr>
        <w:tab/>
      </w:r>
      <w:r>
        <w:rPr>
          <w:rFonts w:ascii="Courier New" w:cs="Courier New" w:eastAsia="Courier New" w:hAnsi="Courier New"/>
          <w:sz w:val="16"/>
          <w:szCs w:val="16"/>
          <w:color w:val="auto"/>
        </w:rPr>
        <w:t>New York Stock Exchange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218"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Securities registered pursuant to Section 12(g) of the Act:</w:t>
      </w:r>
    </w:p>
    <w:p>
      <w:pPr>
        <w:jc w:val="center"/>
        <w:ind w:right="1999"/>
        <w:spacing w:after="0" w:line="238" w:lineRule="auto"/>
        <w:rPr>
          <w:sz w:val="20"/>
          <w:szCs w:val="20"/>
          <w:color w:val="auto"/>
        </w:rPr>
      </w:pPr>
      <w:r>
        <w:rPr>
          <w:rFonts w:ascii="Courier New" w:cs="Courier New" w:eastAsia="Courier New" w:hAnsi="Courier New"/>
          <w:sz w:val="18"/>
          <w:szCs w:val="18"/>
          <w:color w:val="auto"/>
        </w:rPr>
        <w:t>None</w:t>
      </w:r>
    </w:p>
    <w:p>
      <w:pPr>
        <w:ind w:left="1060"/>
        <w:spacing w:after="0"/>
        <w:rPr>
          <w:sz w:val="20"/>
          <w:szCs w:val="20"/>
          <w:color w:val="auto"/>
        </w:rPr>
      </w:pPr>
      <w:r>
        <w:rPr>
          <w:rFonts w:ascii="Courier New" w:cs="Courier New" w:eastAsia="Courier New" w:hAnsi="Courier New"/>
          <w:sz w:val="18"/>
          <w:szCs w:val="18"/>
          <w:color w:val="auto"/>
        </w:rPr>
        <w:t>-----------------------------------------------------------</w:t>
      </w:r>
    </w:p>
    <w:p>
      <w:pPr>
        <w:ind w:left="3280"/>
        <w:spacing w:after="0" w:line="237" w:lineRule="auto"/>
        <w:rPr>
          <w:sz w:val="20"/>
          <w:szCs w:val="20"/>
          <w:color w:val="auto"/>
        </w:rPr>
      </w:pPr>
      <w:r>
        <w:rPr>
          <w:rFonts w:ascii="Courier New" w:cs="Courier New" w:eastAsia="Courier New" w:hAnsi="Courier New"/>
          <w:sz w:val="18"/>
          <w:szCs w:val="18"/>
          <w:color w:val="auto"/>
        </w:rPr>
        <w:t>(Title of Class)</w:t>
      </w:r>
    </w:p>
    <w:p>
      <w:pPr>
        <w:spacing w:after="0" w:line="207" w:lineRule="exact"/>
        <w:rPr>
          <w:sz w:val="24"/>
          <w:szCs w:val="24"/>
          <w:color w:val="auto"/>
        </w:rPr>
      </w:pPr>
    </w:p>
    <w:p>
      <w:pPr>
        <w:ind w:right="2199" w:firstLine="527"/>
        <w:spacing w:after="0" w:line="268"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w:t>
      </w:r>
    </w:p>
    <w:p>
      <w:pPr>
        <w:spacing w:after="0" w:line="234" w:lineRule="auto"/>
        <w:tabs>
          <w:tab w:leader="none" w:pos="5580" w:val="left"/>
          <w:tab w:leader="none" w:pos="6720" w:val="left"/>
        </w:tabs>
        <w:rPr>
          <w:sz w:val="20"/>
          <w:szCs w:val="20"/>
          <w:color w:val="auto"/>
        </w:rPr>
      </w:pPr>
      <w:r>
        <w:rPr>
          <w:rFonts w:ascii="Courier New" w:cs="Courier New" w:eastAsia="Courier New" w:hAnsi="Courier New"/>
          <w:sz w:val="18"/>
          <w:szCs w:val="18"/>
          <w:color w:val="auto"/>
        </w:rPr>
        <w:t>such filing requirements for the past 90 days.</w:t>
      </w:r>
      <w:r>
        <w:rPr>
          <w:sz w:val="20"/>
          <w:szCs w:val="20"/>
          <w:color w:val="auto"/>
        </w:rPr>
        <w:tab/>
      </w:r>
      <w:r>
        <w:rPr>
          <w:rFonts w:ascii="Courier New" w:cs="Courier New" w:eastAsia="Courier New" w:hAnsi="Courier New"/>
          <w:sz w:val="18"/>
          <w:szCs w:val="18"/>
          <w:color w:val="auto"/>
        </w:rPr>
        <w:t>Yes [X]</w:t>
      </w:r>
      <w:r>
        <w:rPr>
          <w:sz w:val="20"/>
          <w:szCs w:val="20"/>
          <w:color w:val="auto"/>
        </w:rPr>
        <w:tab/>
      </w:r>
      <w:r>
        <w:rPr>
          <w:rFonts w:ascii="Courier New" w:cs="Courier New" w:eastAsia="Courier New" w:hAnsi="Courier New"/>
          <w:sz w:val="18"/>
          <w:szCs w:val="18"/>
          <w:color w:val="auto"/>
        </w:rPr>
        <w:t>No</w:t>
      </w:r>
    </w:p>
    <w:p>
      <w:pPr>
        <w:spacing w:after="0" w:line="207" w:lineRule="exact"/>
        <w:rPr>
          <w:sz w:val="24"/>
          <w:szCs w:val="24"/>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p>
    <w:p>
      <w:pPr>
        <w:spacing w:after="0" w:line="209"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aggregate market value of the voting stock held by nonaffiliates of the registrant, based upon the closing price of such stock on August 31, 1995, as reported by the New York Stock Exchange, was approximately $11.1 billion. Shares of Common Stock held by each officer and director and by each person who owns 5% or more of the outstanding Common Stock have been excluded in that such persons may be deemed to be affiliates. This determination of affiliate status is not necessarily a conclusive determination for other purposes.</w:t>
      </w:r>
    </w:p>
    <w:p>
      <w:pPr>
        <w:spacing w:after="0" w:line="212" w:lineRule="exact"/>
        <w:rPr>
          <w:sz w:val="24"/>
          <w:szCs w:val="24"/>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The number of outstanding shares of the registrant's Common Stock on August 31, 1995 was 206,437,704.</w:t>
      </w:r>
    </w:p>
    <w:p>
      <w:pPr>
        <w:spacing w:after="0" w:line="203"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DOCUMENTS INCORPORATED BY REFERENCE</w:t>
      </w:r>
    </w:p>
    <w:p>
      <w:pPr>
        <w:spacing w:after="0" w:line="4" w:lineRule="exact"/>
        <w:rPr>
          <w:sz w:val="24"/>
          <w:szCs w:val="24"/>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Portions of the Proxy Statement for registrant's 1995 Annual Meeting of Shareholders to be held on January 29, 1996, are incorporated by reference to Part III of this Annual Report on Form 10-K.</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387" w:lineRule="exact"/>
        <w:rPr>
          <w:sz w:val="24"/>
          <w:szCs w:val="24"/>
          <w:color w:val="auto"/>
        </w:rPr>
      </w:pPr>
    </w:p>
    <w:p>
      <w:pPr>
        <w:ind w:left="3380"/>
        <w:spacing w:after="0"/>
        <w:rPr>
          <w:sz w:val="20"/>
          <w:szCs w:val="20"/>
          <w:color w:val="auto"/>
        </w:rPr>
      </w:pPr>
      <w:r>
        <w:rPr>
          <w:rFonts w:ascii="Courier New" w:cs="Courier New" w:eastAsia="Courier New" w:hAnsi="Courier New"/>
          <w:sz w:val="16"/>
          <w:szCs w:val="16"/>
          <w:color w:val="auto"/>
        </w:rPr>
        <w:t>PART I</w:t>
      </w:r>
    </w:p>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Business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Micron Technology, Inc. ("MTI") and its subsidiaries (hereinafter</w:t>
      </w:r>
    </w:p>
    <w:p>
      <w:pPr>
        <w:spacing w:after="0" w:line="238" w:lineRule="auto"/>
        <w:rPr>
          <w:sz w:val="20"/>
          <w:szCs w:val="20"/>
          <w:color w:val="auto"/>
        </w:rPr>
      </w:pPr>
      <w:r>
        <w:rPr>
          <w:rFonts w:ascii="Courier New" w:cs="Courier New" w:eastAsia="Courier New" w:hAnsi="Courier New"/>
          <w:sz w:val="18"/>
          <w:szCs w:val="18"/>
          <w:color w:val="auto"/>
        </w:rPr>
        <w:t>referred to collectively as "Micron" or the "Company") principally</w:t>
      </w:r>
    </w:p>
    <w:p>
      <w:pPr>
        <w:spacing w:after="0"/>
        <w:rPr>
          <w:sz w:val="20"/>
          <w:szCs w:val="20"/>
          <w:color w:val="auto"/>
        </w:rPr>
      </w:pPr>
      <w:r>
        <w:rPr>
          <w:rFonts w:ascii="Courier New" w:cs="Courier New" w:eastAsia="Courier New" w:hAnsi="Courier New"/>
          <w:sz w:val="18"/>
          <w:szCs w:val="18"/>
          <w:color w:val="auto"/>
        </w:rPr>
        <w:t>design, develop, manufacture and market semiconductor memory products,</w:t>
      </w:r>
    </w:p>
    <w:p>
      <w:pPr>
        <w:spacing w:after="0" w:line="237" w:lineRule="auto"/>
        <w:rPr>
          <w:sz w:val="20"/>
          <w:szCs w:val="20"/>
          <w:color w:val="auto"/>
        </w:rPr>
      </w:pPr>
      <w:r>
        <w:rPr>
          <w:rFonts w:ascii="Courier New" w:cs="Courier New" w:eastAsia="Courier New" w:hAnsi="Courier New"/>
          <w:sz w:val="18"/>
          <w:szCs w:val="18"/>
          <w:color w:val="auto"/>
        </w:rPr>
        <w:t>personal computers ("PCs") and custom complex printed circuit board</w:t>
      </w:r>
    </w:p>
    <w:p>
      <w:pPr>
        <w:spacing w:after="0"/>
        <w:tabs>
          <w:tab w:leader="none" w:pos="1360" w:val="left"/>
        </w:tabs>
        <w:rPr>
          <w:sz w:val="20"/>
          <w:szCs w:val="20"/>
          <w:color w:val="auto"/>
        </w:rPr>
      </w:pPr>
      <w:r>
        <w:rPr>
          <w:rFonts w:ascii="Courier New" w:cs="Courier New" w:eastAsia="Courier New" w:hAnsi="Courier New"/>
          <w:sz w:val="18"/>
          <w:szCs w:val="18"/>
          <w:color w:val="auto"/>
        </w:rPr>
        <w:t>assemblies.</w:t>
      </w:r>
      <w:r>
        <w:rPr>
          <w:sz w:val="20"/>
          <w:szCs w:val="20"/>
          <w:color w:val="auto"/>
        </w:rPr>
        <w:tab/>
      </w:r>
      <w:r>
        <w:rPr>
          <w:rFonts w:ascii="Courier New" w:cs="Courier New" w:eastAsia="Courier New" w:hAnsi="Courier New"/>
          <w:sz w:val="16"/>
          <w:szCs w:val="16"/>
          <w:color w:val="auto"/>
        </w:rPr>
        <w:t>During fiscal 1995, the Company consolidated the</w:t>
      </w:r>
    </w:p>
    <w:p>
      <w:pPr>
        <w:spacing w:after="0"/>
        <w:rPr>
          <w:sz w:val="20"/>
          <w:szCs w:val="20"/>
          <w:color w:val="auto"/>
        </w:rPr>
      </w:pPr>
      <w:r>
        <w:rPr>
          <w:rFonts w:ascii="Courier New" w:cs="Courier New" w:eastAsia="Courier New" w:hAnsi="Courier New"/>
          <w:sz w:val="18"/>
          <w:szCs w:val="18"/>
          <w:color w:val="auto"/>
        </w:rPr>
        <w:t>operations of Micron Semiconductor, Inc. and Micron Systems Integration,</w:t>
      </w:r>
    </w:p>
    <w:p>
      <w:pPr>
        <w:spacing w:after="0"/>
        <w:tabs>
          <w:tab w:leader="none" w:pos="1780" w:val="left"/>
        </w:tabs>
        <w:rPr>
          <w:sz w:val="20"/>
          <w:szCs w:val="20"/>
          <w:color w:val="auto"/>
        </w:rPr>
      </w:pPr>
      <w:r>
        <w:rPr>
          <w:rFonts w:ascii="Courier New" w:cs="Courier New" w:eastAsia="Courier New" w:hAnsi="Courier New"/>
          <w:sz w:val="18"/>
          <w:szCs w:val="18"/>
          <w:color w:val="auto"/>
        </w:rPr>
        <w:t>Inc., into MTI.</w:t>
      </w:r>
      <w:r>
        <w:rPr>
          <w:sz w:val="20"/>
          <w:szCs w:val="20"/>
          <w:color w:val="auto"/>
        </w:rPr>
        <w:tab/>
      </w:r>
      <w:r>
        <w:rPr>
          <w:rFonts w:ascii="Courier New" w:cs="Courier New" w:eastAsia="Courier New" w:hAnsi="Courier New"/>
          <w:sz w:val="16"/>
          <w:szCs w:val="16"/>
          <w:color w:val="auto"/>
        </w:rPr>
        <w:t>In addition, two other MTI subsidiaries, Micron</w:t>
      </w:r>
    </w:p>
    <w:p>
      <w:pPr>
        <w:spacing w:after="0"/>
        <w:rPr>
          <w:sz w:val="20"/>
          <w:szCs w:val="20"/>
          <w:color w:val="auto"/>
        </w:rPr>
      </w:pPr>
      <w:r>
        <w:rPr>
          <w:rFonts w:ascii="Courier New" w:cs="Courier New" w:eastAsia="Courier New" w:hAnsi="Courier New"/>
          <w:sz w:val="18"/>
          <w:szCs w:val="18"/>
          <w:color w:val="auto"/>
        </w:rPr>
        <w:t>Computer, Inc., and Micron Custom Manufacturing Services Inc., were</w:t>
      </w:r>
    </w:p>
    <w:p>
      <w:pPr>
        <w:spacing w:after="0" w:line="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merged on April 7, 1995, with and into ZEOS International, Ltd., a personal computer manufacturer. The newly merged company was renamed Micron Electronics, Inc. ("MEI"), and is a majority owned subsidiary of MTI.</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Micron's semiconductor operations focus on the design, manufacture, and marketing of semiconductor memory components primarily for use in computers. The Company's primary semiconductor products are Dynamic Random Access Memories ("DRAMs") and Static RAMs ("SRAMs"). The Company also manufactures and markets semiconductor testing equipment, including AMBYX(Registered Trademark) Intelligent Test and Burn-in systems, and high through-put device loading and unloading equipment. Micron Europe Limited and Micron Semiconductor Asia Pacific Pte., Ltd., wholly-owned subsidiaries of MTI, provide sales services in Europe and Asia</w:t>
      </w:r>
    </w:p>
    <w:p>
      <w:pPr>
        <w:spacing w:after="0" w:line="11"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Pacific. Additional MTI subsidiaries include Micron Communications, Inc., which designs and develops radio frequency identification systems; Micron Construction, Inc., which provides construction management and general contractor services for facility owners and developers; Micron Display Technology, Inc., which designs and develops new technologies relating to field emission flat panel displays; and Micron Quantum Devices, Inc., which designs and develops non-volatile semiconductor memory devices.</w:t>
      </w:r>
    </w:p>
    <w:p>
      <w:pPr>
        <w:spacing w:after="0" w:line="212" w:lineRule="exact"/>
        <w:rPr>
          <w:sz w:val="20"/>
          <w:szCs w:val="20"/>
          <w:color w:val="auto"/>
        </w:rPr>
      </w:pPr>
    </w:p>
    <w:p>
      <w:pPr>
        <w:ind w:right="2619" w:firstLine="527"/>
        <w:spacing w:after="0" w:line="271" w:lineRule="auto"/>
        <w:rPr>
          <w:sz w:val="20"/>
          <w:szCs w:val="20"/>
          <w:color w:val="auto"/>
        </w:rPr>
      </w:pPr>
      <w:r>
        <w:rPr>
          <w:rFonts w:ascii="Courier New" w:cs="Courier New" w:eastAsia="Courier New" w:hAnsi="Courier New"/>
          <w:sz w:val="16"/>
          <w:szCs w:val="16"/>
          <w:color w:val="auto"/>
        </w:rPr>
        <w:t>MEI's operations focus on the Company's PC, contract manufacturing, and component recovery operations. MEI's PC operations design, develop, market, manufacture and support two brand names of PC systems and related hardware incorporating third party operating systems and application software. MEI's contract manufacturing operation provides a full range of turnkey manufacturing services, including the assembly and test of complex printed circuit boards and memory modules, design layout and product engineering, materials procurement, inventory management, quality assurance and just-in-time delivery.</w:t>
      </w:r>
    </w:p>
    <w:p>
      <w:pPr>
        <w:spacing w:after="0" w:line="388" w:lineRule="exact"/>
        <w:rPr>
          <w:sz w:val="20"/>
          <w:szCs w:val="20"/>
          <w:color w:val="auto"/>
        </w:rPr>
      </w:pPr>
    </w:p>
    <w:p>
      <w:pPr>
        <w:ind w:right="2519" w:firstLine="527"/>
        <w:spacing w:after="0" w:line="275" w:lineRule="auto"/>
        <w:rPr>
          <w:sz w:val="20"/>
          <w:szCs w:val="20"/>
          <w:color w:val="auto"/>
        </w:rPr>
      </w:pPr>
      <w:r>
        <w:rPr>
          <w:rFonts w:ascii="Courier New" w:cs="Courier New" w:eastAsia="Courier New" w:hAnsi="Courier New"/>
          <w:sz w:val="16"/>
          <w:szCs w:val="16"/>
          <w:color w:val="auto"/>
        </w:rPr>
        <w:t>MTI was incorporated in Idaho in 1978 and reincorporated in Delaware in 1984. The Company's executive offices and principal manufacturing operations are located at 8000 South Federal Way, P.O. Box 6, Boise, Idaho, 83707-0006 and its telephone number is (208) 368-4000.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Products</w:t>
      </w:r>
    </w:p>
    <w:p>
      <w:pPr>
        <w:spacing w:after="0" w:line="207" w:lineRule="exact"/>
        <w:rPr>
          <w:sz w:val="20"/>
          <w:szCs w:val="20"/>
          <w:color w:val="auto"/>
        </w:rPr>
      </w:pPr>
    </w:p>
    <w:p>
      <w:pPr>
        <w:ind w:right="2619" w:firstLine="527"/>
        <w:spacing w:after="0" w:line="236" w:lineRule="auto"/>
        <w:rPr>
          <w:sz w:val="20"/>
          <w:szCs w:val="20"/>
          <w:color w:val="auto"/>
        </w:rPr>
      </w:pPr>
      <w:r>
        <w:rPr>
          <w:rFonts w:ascii="Courier New" w:cs="Courier New" w:eastAsia="Courier New" w:hAnsi="Courier New"/>
          <w:sz w:val="18"/>
          <w:szCs w:val="18"/>
          <w:color w:val="auto"/>
        </w:rPr>
        <w:t>The Company's principal product categories are semiconductor memory products, including DRAMs and SRAMs, PC systems, and contract manufactured board level products.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Semiconductor Memory Products</w:t>
      </w:r>
    </w:p>
    <w:p>
      <w:pPr>
        <w:spacing w:after="0" w:line="207"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The Company's semiconductor manufacturing operations focus primarily on the design, development, and manufacture of semiconductor memory products for standard and custom memory applications, with various packaging and configuration options, architectures, and performance characteristics.</w:t>
      </w:r>
    </w:p>
    <w:p>
      <w:pPr>
        <w:spacing w:after="0" w:line="209"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Dynamic Random Access Memory DRAMs are semiconductor devices which store digital information in the form of bits and provide high speed storage and retrieval of data. The Company is developing its 64 Meg DRAM and is in the design phase for its 256 Meg DRAM. DRAM sales represented approximately 68%, 73% and 70% of the Company's total net sales in fiscal 1995, 1994, and 1993, respectively. Manufacture of</w:t>
      </w:r>
    </w:p>
    <w:p>
      <w:pPr>
        <w:spacing w:after="0" w:line="7" w:lineRule="exact"/>
        <w:rPr>
          <w:sz w:val="20"/>
          <w:szCs w:val="20"/>
          <w:color w:val="auto"/>
        </w:rPr>
      </w:pPr>
    </w:p>
    <w:p>
      <w:pPr>
        <w:ind w:right="2839"/>
        <w:spacing w:after="0" w:line="271" w:lineRule="auto"/>
        <w:rPr>
          <w:sz w:val="20"/>
          <w:szCs w:val="20"/>
          <w:color w:val="auto"/>
        </w:rPr>
      </w:pPr>
      <w:r>
        <w:rPr>
          <w:rFonts w:ascii="Courier New" w:cs="Courier New" w:eastAsia="Courier New" w:hAnsi="Courier New"/>
          <w:sz w:val="16"/>
          <w:szCs w:val="16"/>
          <w:color w:val="auto"/>
        </w:rPr>
        <w:t>the Company's DRAM products utilizes proprietary advanced complimentary metal-oxide-semiconductor ("CMOS") silicon-gate process technology. DRAMs are the highest density, lowest cost per bit random access memory components available, and are the most widely used semiconductor memory components in most PC systems. Demand for the Company's products has recently benefited from strong market conditions for PC systems and increased utilization of more powerful microprocessors, more memory-intensive software applications and enhanced system architectures. The Company's primary product during</w:t>
      </w:r>
    </w:p>
    <w:p>
      <w:pPr>
        <w:sectPr>
          <w:pgSz w:w="11900" w:h="16838" w:orient="portrait"/>
          <w:cols w:equalWidth="0" w:num="1">
            <w:col w:w="10219"/>
          </w:cols>
          <w:pgMar w:left="240" w:top="339" w:right="1440" w:bottom="0" w:gutter="0" w:footer="0" w:header="0"/>
        </w:sectPr>
      </w:pPr>
    </w:p>
    <w:bookmarkStart w:id="2" w:name="page3"/>
    <w:bookmarkEnd w:id="2"/>
    <w:p>
      <w:pPr>
        <w:ind w:right="2839"/>
        <w:spacing w:after="0" w:line="275" w:lineRule="auto"/>
        <w:rPr>
          <w:sz w:val="20"/>
          <w:szCs w:val="20"/>
          <w:color w:val="auto"/>
        </w:rPr>
      </w:pPr>
      <w:r>
        <w:rPr>
          <w:rFonts w:ascii="Courier New" w:cs="Courier New" w:eastAsia="Courier New" w:hAnsi="Courier New"/>
          <w:sz w:val="16"/>
          <w:szCs w:val="16"/>
          <w:color w:val="auto"/>
        </w:rPr>
        <w:t>fiscal 1995 was the 4 Meg DRAM which sells in multiple configurations, speeds, and package types. The Company is limiting its production of 16 Meg DRAMs in order to maximize production of the 4 Meg DRAM which currently is the Company's most profitable memory product.</w:t>
      </w:r>
    </w:p>
    <w:p>
      <w:pPr>
        <w:sectPr>
          <w:pgSz w:w="11900" w:h="16838" w:orient="portrait"/>
          <w:cols w:equalWidth="0" w:num="1">
            <w:col w:w="10219"/>
          </w:cols>
          <w:pgMar w:left="240" w:top="142" w:right="1440" w:bottom="1440" w:gutter="0" w:footer="0" w:header="0"/>
        </w:sectPr>
      </w:pPr>
    </w:p>
    <w:bookmarkStart w:id="3" w:name="page4"/>
    <w:bookmarkEnd w:id="3"/>
    <w:p>
      <w:pPr>
        <w:ind w:right="2519" w:firstLine="527"/>
        <w:spacing w:after="0" w:line="238" w:lineRule="auto"/>
        <w:rPr>
          <w:sz w:val="20"/>
          <w:szCs w:val="20"/>
          <w:color w:val="auto"/>
        </w:rPr>
      </w:pPr>
      <w:r>
        <w:rPr>
          <w:rFonts w:ascii="Courier New" w:cs="Courier New" w:eastAsia="Courier New" w:hAnsi="Courier New"/>
          <w:sz w:val="18"/>
          <w:szCs w:val="18"/>
          <w:color w:val="auto"/>
        </w:rPr>
        <w:t>The Company believes the market transition to the 16 Meg DRAM as the primary DRAM product will be largely driven by the timing of increases in demand for main memory in PC systems and by the increasing market availability of the 1 Meg x 16 configuration of the 16 Meg DRAM. Currently, most PC systems are sold with between 8 and 12 megabytes of main memory. Such system requirements can be satisfied with memory modules comprised of either 1 Meg x 4 (4 Meg) DRAMs or 1 Meg x 16 (16 Meg) DRAMs. The present limited market availability of the 1 Meg x 16 configuration of the 16 Meg DRAM has made the 1 Meg x 4 DRAM module a more cost-effective solution and has resulted in continued demand for the 4 Meg DRAM. When typical PC system requirements exceed 16 megabytes, memory modules can no longer cost-effectively incorporate 4 Meg DRAMs. Either increasing availability of the 1 Meg x 16 configuration of the 16 Meg DRAM or PC main memory requirements increasing to in excess of 16 megabytes will likely cause an industry transition to the 16 Meg DRAM as its primary product.</w:t>
      </w:r>
    </w:p>
    <w:p>
      <w:pPr>
        <w:spacing w:after="0" w:line="208" w:lineRule="exact"/>
        <w:rPr>
          <w:sz w:val="20"/>
          <w:szCs w:val="20"/>
          <w:color w:val="auto"/>
        </w:rPr>
      </w:pPr>
    </w:p>
    <w:p>
      <w:pPr>
        <w:ind w:right="2739" w:firstLine="527"/>
        <w:spacing w:after="0" w:line="268" w:lineRule="auto"/>
        <w:rPr>
          <w:sz w:val="20"/>
          <w:szCs w:val="20"/>
          <w:color w:val="auto"/>
        </w:rPr>
      </w:pPr>
      <w:r>
        <w:rPr>
          <w:rFonts w:ascii="Courier New" w:cs="Courier New" w:eastAsia="Courier New" w:hAnsi="Courier New"/>
          <w:sz w:val="16"/>
          <w:szCs w:val="16"/>
          <w:color w:val="auto"/>
        </w:rPr>
        <w:t>Static Random Access Memory SRAMs are semiconductor devices which perform memory functions much the same as DRAMs; however, unlike DRAMs, SRAMs do not require their memory cells to be electronically refreshed which generally simplifies application system designs.</w:t>
      </w:r>
    </w:p>
    <w:p>
      <w:pPr>
        <w:spacing w:after="0" w:line="1" w:lineRule="exact"/>
        <w:rPr>
          <w:sz w:val="20"/>
          <w:szCs w:val="20"/>
          <w:color w:val="auto"/>
        </w:rPr>
      </w:pPr>
    </w:p>
    <w:p>
      <w:pPr>
        <w:ind w:right="2839"/>
        <w:spacing w:after="0" w:line="238" w:lineRule="auto"/>
        <w:rPr>
          <w:sz w:val="20"/>
          <w:szCs w:val="20"/>
          <w:color w:val="auto"/>
        </w:rPr>
      </w:pPr>
      <w:r>
        <w:rPr>
          <w:rFonts w:ascii="Courier New" w:cs="Courier New" w:eastAsia="Courier New" w:hAnsi="Courier New"/>
          <w:sz w:val="18"/>
          <w:szCs w:val="18"/>
          <w:color w:val="auto"/>
        </w:rPr>
        <w:t>SRAMs contain more complex electronic circuitry than DRAMs, and consequently have higher per bit production costs. The Company's SRAM family focuses on the high-performance, or "Very Fast", sector of the SRAM market which requires very high speed access to memory. Very Fast SRAMs provide access times approximately five times faster than that of DRAMs. The market for Very Fast SRAMs has grown with the number of applications that require a "buffer" or "cache" of high speed memory between the central processing unit and the main DRAM-based memory. The Company manufactures its current SRAM products utilizing CMOS silicon-gate process technology. The Company currently sells primarily synchronous 256K, and 1 Meg SRAMs in a variety of configurations, speeds, and package types, and has 4 Meg and 16 Meg SRAMs under development. SRAM sales represented 6%, 8%, and 14% of the Company's total net sales in fiscal 1995, 1994, and 1993, respectively.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Personal Computer Systems</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The Company develops, markets, manufactures and supports a broad line of memory intensive, high performance PC systems under the Micron and ZEOS brand names. The Company's PC product line includes: the Micron Millennia, targeted for high-end business users; the Micron PowerStation, targeted for general business users; the Micron Home</w:t>
      </w:r>
    </w:p>
    <w:p>
      <w:pPr>
        <w:spacing w:after="0" w:line="6"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MPC, targeted for home office and general consumers; the Micron PowerServer, a business network server; the ZEOS Pantera, targeted for mainstream business; and the ZEOS Meridian, a portable notebook.</w:t>
      </w:r>
    </w:p>
    <w:p>
      <w:pPr>
        <w:spacing w:after="0" w:line="209" w:lineRule="exact"/>
        <w:rPr>
          <w:sz w:val="20"/>
          <w:szCs w:val="20"/>
          <w:color w:val="auto"/>
        </w:rPr>
      </w:pPr>
    </w:p>
    <w:p>
      <w:pPr>
        <w:ind w:right="2839" w:firstLine="527"/>
        <w:spacing w:after="0" w:line="270" w:lineRule="auto"/>
        <w:rPr>
          <w:sz w:val="20"/>
          <w:szCs w:val="20"/>
          <w:color w:val="auto"/>
        </w:rPr>
      </w:pPr>
      <w:r>
        <w:rPr>
          <w:rFonts w:ascii="Courier New" w:cs="Courier New" w:eastAsia="Courier New" w:hAnsi="Courier New"/>
          <w:sz w:val="16"/>
          <w:szCs w:val="16"/>
          <w:color w:val="auto"/>
        </w:rPr>
        <w:t>The Company continues to evaluate the marketing strategy for its products to take advantage of both Micron and ZEOS brand names. Until the Company's PC product line strategies are fully implemented, including coordination of marketing strategies, the sharing of research and development efforts, and the coordination and potential integration of overall product lines. While it is not yet known whether the Company will undertake any such potential actions, any such action would involve a number of significant risks, could result in the recognition of unanticipated expenses and could otherwise have a material adverse effect on the Company's net sales.</w:t>
      </w:r>
    </w:p>
    <w:p>
      <w:pPr>
        <w:spacing w:after="0" w:line="189" w:lineRule="exact"/>
        <w:rPr>
          <w:sz w:val="20"/>
          <w:szCs w:val="20"/>
          <w:color w:val="auto"/>
        </w:rPr>
      </w:pPr>
    </w:p>
    <w:p>
      <w:pPr>
        <w:ind w:right="3039" w:firstLine="527"/>
        <w:spacing w:after="0" w:line="237" w:lineRule="auto"/>
        <w:rPr>
          <w:sz w:val="20"/>
          <w:szCs w:val="20"/>
          <w:color w:val="auto"/>
        </w:rPr>
      </w:pPr>
      <w:r>
        <w:rPr>
          <w:rFonts w:ascii="Courier New" w:cs="Courier New" w:eastAsia="Courier New" w:hAnsi="Courier New"/>
          <w:sz w:val="18"/>
          <w:szCs w:val="18"/>
          <w:color w:val="auto"/>
        </w:rPr>
        <w:t>Revenue from the sale of PC systems, excluding the value of the Company's memory components contained therein, represented approximately 15%, 5% and 2% of the Company's total net sales in fiscal 1995, 1994, and 1993, respectively.</w:t>
      </w:r>
    </w:p>
    <w:p>
      <w:pPr>
        <w:spacing w:after="0" w:line="207" w:lineRule="exact"/>
        <w:rPr>
          <w:sz w:val="20"/>
          <w:szCs w:val="20"/>
          <w:color w:val="auto"/>
        </w:rPr>
      </w:pPr>
    </w:p>
    <w:p>
      <w:pPr>
        <w:ind w:right="3259" w:firstLine="527"/>
        <w:spacing w:after="0" w:line="275" w:lineRule="auto"/>
        <w:rPr>
          <w:sz w:val="20"/>
          <w:szCs w:val="20"/>
          <w:color w:val="auto"/>
        </w:rPr>
      </w:pPr>
      <w:r>
        <w:rPr>
          <w:rFonts w:ascii="Courier New" w:cs="Courier New" w:eastAsia="Courier New" w:hAnsi="Courier New"/>
          <w:sz w:val="16"/>
          <w:szCs w:val="16"/>
          <w:color w:val="auto"/>
        </w:rPr>
        <w:t>ZEOS(Registered Trademark) is a registered trademark and Micron(Trademark), Millennia(Trademark), PowerStation(Trademark), HomeMPC(Trademark), PowerServer(Trademark), Pantera(Trademark) and Meridian(Trademark) are trademarks of the Company.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Contract Manufacturing</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The Company's contract manufacturing operations consist of assembling and testing complex printed circuit boards and memory modules and "box build" final product assembly services. In addition to assembly and test, the Company offers a full range of turnkey manufacturing services, including design lay-out and product engineering, materials procurement, inventory management, quality assurance and just-in-time delivery.</w:t>
      </w:r>
    </w:p>
    <w:p>
      <w:pPr>
        <w:sectPr>
          <w:pgSz w:w="11900" w:h="16838" w:orient="portrait"/>
          <w:cols w:equalWidth="0" w:num="1">
            <w:col w:w="10219"/>
          </w:cols>
          <w:pgMar w:left="240" w:top="723" w:right="1440" w:bottom="0" w:gutter="0" w:footer="0" w:header="0"/>
        </w:sectPr>
      </w:pPr>
    </w:p>
    <w:bookmarkStart w:id="4" w:name="page5"/>
    <w:bookmarkEnd w:id="4"/>
    <w:p>
      <w:pPr>
        <w:ind w:right="2619" w:firstLine="527"/>
        <w:spacing w:after="0" w:line="237" w:lineRule="auto"/>
        <w:rPr>
          <w:sz w:val="20"/>
          <w:szCs w:val="20"/>
          <w:color w:val="auto"/>
        </w:rPr>
      </w:pPr>
      <w:r>
        <w:rPr>
          <w:rFonts w:ascii="Courier New" w:cs="Courier New" w:eastAsia="Courier New" w:hAnsi="Courier New"/>
          <w:sz w:val="18"/>
          <w:szCs w:val="18"/>
          <w:color w:val="auto"/>
        </w:rPr>
        <w:t>Revenue from contract manufacturing operations, excluding the value of the Company's memory components contained therein, represented approximately 3%, 3% and 2% of the Company's total net sales in fiscal 1995, 1994 and 1993, respectively.</w:t>
      </w:r>
    </w:p>
    <w:p>
      <w:pPr>
        <w:sectPr>
          <w:pgSz w:w="11900" w:h="16838" w:orient="portrait"/>
          <w:cols w:equalWidth="0" w:num="1">
            <w:col w:w="10219"/>
          </w:cols>
          <w:pgMar w:left="240" w:top="344"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Manufacturing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Semiconductor Memory Products</w:t>
      </w:r>
    </w:p>
    <w:p>
      <w:pPr>
        <w:spacing w:after="0" w:line="207" w:lineRule="exact"/>
        <w:rPr>
          <w:sz w:val="20"/>
          <w:szCs w:val="20"/>
          <w:color w:val="auto"/>
        </w:rPr>
      </w:pPr>
    </w:p>
    <w:p>
      <w:pPr>
        <w:ind w:right="2839" w:firstLine="527"/>
        <w:spacing w:after="0" w:line="270" w:lineRule="auto"/>
        <w:rPr>
          <w:sz w:val="20"/>
          <w:szCs w:val="20"/>
          <w:color w:val="auto"/>
        </w:rPr>
      </w:pPr>
      <w:r>
        <w:rPr>
          <w:rFonts w:ascii="Courier New" w:cs="Courier New" w:eastAsia="Courier New" w:hAnsi="Courier New"/>
          <w:sz w:val="16"/>
          <w:szCs w:val="16"/>
          <w:color w:val="auto"/>
        </w:rPr>
        <w:t>Semiconductor memory manufacturing cost per unit is primarily a function of die size (since the potential number of good die per wafer increases with reduced die size), number of mask layers, and the yield of acceptable die produced on each wafer. Other contributing factors are wafer size, number of fabrication steps, costs and sophistication of the manufacturing equipment, package type, equipment up time, process complexity and cleanliness. The manufacture of the Company's semiconductor products is a complex process and involves a number of precise steps, including wafer fabrication, assembly, burn-in and final test. Efficient production of the Company's semiconductor memory products requires utilization of advanced semiconductor manufacturing techniques. The Company is engaged in ongoing efforts to enhance its production processes to reduce the die size of existing products and increase capacity utilization. Smaller die sizes and higher production yields generally reduce manufacturing cost per part.</w:t>
      </w:r>
    </w:p>
    <w:p>
      <w:pPr>
        <w:spacing w:after="0" w:line="38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The Company's principal existing semiconductor manufacturing facility in Boise, Idaho, includes two wafer fabrication lines equipped with diffusion tubes, photolithography systems, ion implant equipment, chemical vapor deposition reactors, sputtering systems, plasma and wet etchers and automated mask inspection systems. The production</w:t>
      </w:r>
    </w:p>
    <w:p>
      <w:pPr>
        <w:spacing w:after="0" w:line="6" w:lineRule="exact"/>
        <w:rPr>
          <w:sz w:val="20"/>
          <w:szCs w:val="20"/>
          <w:color w:val="auto"/>
        </w:rPr>
      </w:pPr>
    </w:p>
    <w:p>
      <w:pPr>
        <w:ind w:right="2839"/>
        <w:spacing w:after="0" w:line="238" w:lineRule="auto"/>
        <w:rPr>
          <w:sz w:val="20"/>
          <w:szCs w:val="20"/>
          <w:color w:val="auto"/>
        </w:rPr>
      </w:pPr>
      <w:r>
        <w:rPr>
          <w:rFonts w:ascii="Courier New" w:cs="Courier New" w:eastAsia="Courier New" w:hAnsi="Courier New"/>
          <w:sz w:val="18"/>
          <w:szCs w:val="18"/>
          <w:color w:val="auto"/>
        </w:rPr>
        <w:t>facility operates in 12-hour shifts, 24 hours per day, and 7 days per week to reduce down time during shift changes, and to reduce fabrication costs further through maximum utilization of fabrication facilities. Wafer fabrication occurs in a highly controlled, clean environment to minimize dust and other yield- and quality-limiting contaminants. Notwithstanding the highly controlled manufacturing operation, equipment does not consistently perform flawlessly and minute impurities, defects in the photomasks, or other difficulties in the process may cause a substantial percentage of the wafers to be rejected or individual circuits to be nonfunctional. The success of the Company's manufacturing operation will be largely dependent on its ability to minimize such impurities and to maximize its yield of acceptable, high-quality circuits. In this regard, the Company employs rigorous quality controls throughout the manufacturing, screening, and testing processes.</w:t>
      </w:r>
    </w:p>
    <w:p>
      <w:pPr>
        <w:spacing w:after="0" w:line="208" w:lineRule="exact"/>
        <w:rPr>
          <w:sz w:val="20"/>
          <w:szCs w:val="20"/>
          <w:color w:val="auto"/>
        </w:rPr>
      </w:pPr>
    </w:p>
    <w:p>
      <w:pPr>
        <w:ind w:right="2739" w:firstLine="527"/>
        <w:spacing w:after="0" w:line="238" w:lineRule="auto"/>
        <w:rPr>
          <w:sz w:val="20"/>
          <w:szCs w:val="20"/>
          <w:color w:val="auto"/>
        </w:rPr>
      </w:pPr>
      <w:r>
        <w:rPr>
          <w:rFonts w:ascii="Courier New" w:cs="Courier New" w:eastAsia="Courier New" w:hAnsi="Courier New"/>
          <w:sz w:val="18"/>
          <w:szCs w:val="18"/>
          <w:color w:val="auto"/>
        </w:rPr>
        <w:t>After fabrication, each silicon wafer is separated into individual die. Functional die are connected to external leads by extremely fine wire and are assembled into plastic packages. Each completed package is then inspected, sealed, and tested. The assembly process uses high speed automatic systems such as wire bonders, as well as semi-automatic plastic encapsulation and solder systems. The Company tests its products at various stages in the manufacturing process, performs high temperature burn-in on finished products, and conducts numerous quality control inspections throughout the entire production flow. In addition, through the utilization of its proprietary AMBYX(Registered Trademark) line of intelligent test and burn-in systems, the Company simultaneously conducts circuit testing of all die during the burn-in process, thereby providing improved quality and reliability data and reduced time and cost of testing.</w:t>
      </w:r>
    </w:p>
    <w:p>
      <w:pPr>
        <w:spacing w:after="0" w:line="208" w:lineRule="exact"/>
        <w:rPr>
          <w:sz w:val="20"/>
          <w:szCs w:val="20"/>
          <w:color w:val="auto"/>
        </w:rPr>
      </w:pPr>
    </w:p>
    <w:p>
      <w:pPr>
        <w:ind w:right="2939" w:firstLine="527"/>
        <w:spacing w:after="0" w:line="271" w:lineRule="auto"/>
        <w:rPr>
          <w:sz w:val="20"/>
          <w:szCs w:val="20"/>
          <w:color w:val="auto"/>
        </w:rPr>
      </w:pPr>
      <w:r>
        <w:rPr>
          <w:rFonts w:ascii="Courier New" w:cs="Courier New" w:eastAsia="Courier New" w:hAnsi="Courier New"/>
          <w:sz w:val="16"/>
          <w:szCs w:val="16"/>
          <w:color w:val="auto"/>
        </w:rPr>
        <w:t>The Company is in the process of converting its two 6-inch wafer fabrication lines to 8-inch processing capabilities. Substantial conversion of Fab III to 8-inch wafer processing capabilities is targeted for the end of calendar 1995 and the Fab I/II conversion is targeted for calendar 1996. To date only a limited number of 8-inch wafers have been processed. Significant capital expenditures are required for the 8-inch conversion. There can be no assurance that the conversion can be accomplished without disruption of production.</w:t>
      </w:r>
    </w:p>
    <w:p>
      <w:pPr>
        <w:spacing w:after="0" w:line="186" w:lineRule="exact"/>
        <w:rPr>
          <w:sz w:val="20"/>
          <w:szCs w:val="20"/>
          <w:color w:val="auto"/>
        </w:rPr>
      </w:pPr>
    </w:p>
    <w:p>
      <w:pPr>
        <w:ind w:right="2519" w:firstLine="527"/>
        <w:spacing w:after="0" w:line="270" w:lineRule="auto"/>
        <w:rPr>
          <w:sz w:val="20"/>
          <w:szCs w:val="20"/>
          <w:color w:val="auto"/>
        </w:rPr>
      </w:pPr>
      <w:r>
        <w:rPr>
          <w:rFonts w:ascii="Courier New" w:cs="Courier New" w:eastAsia="Courier New" w:hAnsi="Courier New"/>
          <w:sz w:val="16"/>
          <w:szCs w:val="16"/>
          <w:color w:val="auto"/>
        </w:rPr>
        <w:t>The Company has begun construction of a manufacturing facility in Lehi, Utah, that will include 8-inch wafer fabrication, assembly and test operations. The approximate 2 million square foot facility is planned to have approximately two-thirds the manufacturing capacity of the existing Boise site. The cost of the Utah facility is currently estimated at approximately $2.5 billion and is targeted for initial wafer production in late calendar 1996. Several other semiconductor manufacturers are also adding significant manufacturing capacity. All semiconductor manufacturers are dependent upon and compete for products of a limited number of sophisticated equipment suppliers. The cyclical nature of the industry often results in extended lead times for equipment deliveries. There can be no assurance the Company will not encounter delays in the currently planned expansion as a result of limited</w:t>
      </w:r>
    </w:p>
    <w:p>
      <w:pPr>
        <w:sectPr>
          <w:pgSz w:w="11900" w:h="16838" w:orient="portrait"/>
          <w:cols w:equalWidth="0" w:num="1">
            <w:col w:w="10219"/>
          </w:cols>
          <w:pgMar w:left="240" w:top="717"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availability of equipment.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Personal Computer Systems</w:t>
      </w:r>
    </w:p>
    <w:p>
      <w:pPr>
        <w:spacing w:after="0" w:line="207"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The Company manufactures, sells, and supports its Micron brand name systems from the Nampa facility and ZEOS brand name systems from the Minneapolis facility. The Company's PC manufacturing process is designed to provide custom-configured products to its customers, and includes assembling components, loading software and performing quality control tests on each system prior to shipment. The Company's PC systems are assembled to customer specifications. Only</w:t>
      </w:r>
    </w:p>
    <w:p>
      <w:pPr>
        <w:spacing w:after="0" w:line="9" w:lineRule="exact"/>
        <w:rPr>
          <w:sz w:val="20"/>
          <w:szCs w:val="20"/>
          <w:color w:val="auto"/>
        </w:rPr>
      </w:pPr>
    </w:p>
    <w:p>
      <w:pPr>
        <w:jc w:val="both"/>
        <w:ind w:right="3359"/>
        <w:spacing w:after="0" w:line="268" w:lineRule="auto"/>
        <w:rPr>
          <w:sz w:val="20"/>
          <w:szCs w:val="20"/>
          <w:color w:val="auto"/>
        </w:rPr>
      </w:pPr>
      <w:r>
        <w:rPr>
          <w:rFonts w:ascii="Courier New" w:cs="Courier New" w:eastAsia="Courier New" w:hAnsi="Courier New"/>
          <w:sz w:val="16"/>
          <w:szCs w:val="16"/>
          <w:color w:val="auto"/>
        </w:rPr>
        <w:t>a limited number of the most popular PC system configurations are manufactured in advance of customer orders. Parts and components required for each customer order are selected from inventory and</w:t>
      </w:r>
    </w:p>
    <w:p>
      <w:pPr>
        <w:spacing w:after="0"/>
        <w:tabs>
          <w:tab w:leader="none" w:pos="6100" w:val="left"/>
        </w:tabs>
        <w:rPr>
          <w:sz w:val="20"/>
          <w:szCs w:val="20"/>
          <w:color w:val="auto"/>
        </w:rPr>
      </w:pPr>
      <w:r>
        <w:rPr>
          <w:rFonts w:ascii="Courier New" w:cs="Courier New" w:eastAsia="Courier New" w:hAnsi="Courier New"/>
          <w:sz w:val="18"/>
          <w:szCs w:val="18"/>
          <w:color w:val="auto"/>
        </w:rPr>
        <w:t>are prepared for assembly into the customized PC system.</w:t>
      </w:r>
      <w:r>
        <w:rPr>
          <w:sz w:val="20"/>
          <w:szCs w:val="20"/>
          <w:color w:val="auto"/>
        </w:rPr>
        <w:tab/>
      </w:r>
      <w:r>
        <w:rPr>
          <w:rFonts w:ascii="Courier New" w:cs="Courier New" w:eastAsia="Courier New" w:hAnsi="Courier New"/>
          <w:sz w:val="16"/>
          <w:szCs w:val="16"/>
          <w:color w:val="auto"/>
        </w:rPr>
        <w:t>While custom</w:t>
      </w:r>
    </w:p>
    <w:p>
      <w:pPr>
        <w:sectPr>
          <w:pgSz w:w="11900" w:h="16838" w:orient="portrait"/>
          <w:cols w:equalWidth="0" w:num="1">
            <w:col w:w="10219"/>
          </w:cols>
          <w:pgMar w:left="240" w:top="136" w:right="1440" w:bottom="1440" w:gutter="0" w:footer="0" w:header="0"/>
        </w:sectPr>
      </w:pPr>
    </w:p>
    <w:bookmarkStart w:id="7" w:name="page8"/>
    <w:bookmarkEnd w:id="7"/>
    <w:p>
      <w:pPr>
        <w:ind w:right="2519"/>
        <w:spacing w:after="0" w:line="236" w:lineRule="auto"/>
        <w:rPr>
          <w:sz w:val="20"/>
          <w:szCs w:val="20"/>
          <w:color w:val="auto"/>
        </w:rPr>
      </w:pPr>
      <w:r>
        <w:rPr>
          <w:rFonts w:ascii="Courier New" w:cs="Courier New" w:eastAsia="Courier New" w:hAnsi="Courier New"/>
          <w:sz w:val="18"/>
          <w:szCs w:val="18"/>
          <w:color w:val="auto"/>
        </w:rPr>
        <w:t>assembly is advantageous to the Company's PC customers, the Company is unable to achieve the manufacturing efficiencies normally associated with mass production of standardized products.</w:t>
      </w:r>
    </w:p>
    <w:p>
      <w:pPr>
        <w:spacing w:after="0" w:line="209"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The Company's PC systems are subject to functionality and quality testing during the assembly process. The Company's desktop PC systems are assembled in production lines. The Company's notebook PC systems are primarily assembled and tested by its suppliers prior to delivery to the Company for custom configuration. Software programs are loaded into the PC systems prior to a burn-in process during which they are powered-up and certain diagnostic tests are performed. The Company's notebook PC systems are assembled and tested by suppliers prior to delivery to the Company. PCsystems are subject to final inspection after which they are packaged and made available for shipment to customers.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Contract Manufacturing</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The Company's contract manufacturing operation consists of assembling and testing complex printed circuit boards and memory modules. The assembly of printed circuit boards involves the attachment of electronic components, such as resistors, capacitors, diodes, logic devices, RAM components and processors to printed circuit boards.</w:t>
      </w:r>
    </w:p>
    <w:p>
      <w:pPr>
        <w:spacing w:after="0" w:line="6"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Nearly all assembly operations utilize surface mount technology whereby the leads on integrated circuits and other electronic components are soldered to the surface of the printed circuit board rather than inserted into holes and soldered on the back side of the assembly. Automated in-circuit and functionality tests are generally performed on all printed circuit boards assembled.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Availability of Raw Materials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Semiconductor Memory Products</w:t>
      </w:r>
    </w:p>
    <w:p>
      <w:pPr>
        <w:spacing w:after="0" w:line="207" w:lineRule="exact"/>
        <w:rPr>
          <w:sz w:val="20"/>
          <w:szCs w:val="20"/>
          <w:color w:val="auto"/>
        </w:rPr>
      </w:pPr>
    </w:p>
    <w:p>
      <w:pPr>
        <w:ind w:right="2619" w:firstLine="527"/>
        <w:spacing w:after="0" w:line="268" w:lineRule="auto"/>
        <w:rPr>
          <w:sz w:val="20"/>
          <w:szCs w:val="20"/>
          <w:color w:val="auto"/>
        </w:rPr>
      </w:pPr>
      <w:r>
        <w:rPr>
          <w:rFonts w:ascii="Courier New" w:cs="Courier New" w:eastAsia="Courier New" w:hAnsi="Courier New"/>
          <w:sz w:val="16"/>
          <w:szCs w:val="16"/>
          <w:color w:val="auto"/>
        </w:rPr>
        <w:t>Raw materials utilized by the Company's semiconductor manufacturing operation generally must meet exacting product specifications. The Company generally uses multiple sources of supply, but the number of suppliers capable of delivering certain raw materials is very limited. The Company and many other semiconductor manufacturers are adding new facilities or modifying existing facilities to process 8-inch wafers. The availability of both 6-inch and 8-inch wafers for semiconductor memory production is partially dependent on how readily wafer suppliers can increase or create additional capacity to accommodate</w:t>
      </w:r>
    </w:p>
    <w:p>
      <w:pPr>
        <w:spacing w:after="0" w:line="2"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demand for 8-inch wafers without creating shortages in supply of 6-inch wafers. The availability of other raw materials may decline due to the overall increase in world-wide semiconductor manufacturing. Although shortages have occurred from time to time and lead times in the industry have been extended on occasion, the Company has not experienced any significant difficulty in obtaining raw materials for its semiconductor manufacturing operations to date. Interruption of any one raw material source could adversely affect the Company's operations.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Personal Computer Systems</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The Company's PC operations rely on third-party suppliers for most of its PC system components. The Company purchases substantially all of its components and subassemblies from suppliers on a purchase order basis and generally does not maintain long-term supply arrangements</w:t>
      </w:r>
    </w:p>
    <w:p>
      <w:pPr>
        <w:spacing w:after="0" w:line="5" w:lineRule="exact"/>
        <w:rPr>
          <w:sz w:val="20"/>
          <w:szCs w:val="20"/>
          <w:color w:val="auto"/>
        </w:rPr>
      </w:pPr>
    </w:p>
    <w:p>
      <w:pPr>
        <w:ind w:right="2939"/>
        <w:spacing w:after="0" w:line="238" w:lineRule="auto"/>
        <w:rPr>
          <w:sz w:val="20"/>
          <w:szCs w:val="20"/>
          <w:color w:val="auto"/>
        </w:rPr>
      </w:pPr>
      <w:r>
        <w:rPr>
          <w:rFonts w:ascii="Courier New" w:cs="Courier New" w:eastAsia="Courier New" w:hAnsi="Courier New"/>
          <w:sz w:val="18"/>
          <w:szCs w:val="18"/>
          <w:color w:val="auto"/>
        </w:rPr>
        <w:t>with its suppliers. Although the Company attempts to use standard components and subassemblies available from multiple suppliers, certain of its components and subassemblies are available only from sole suppliers. Microprocessors used in the Company's PC systems are supplied exclusively by Intel. Substantially all of the RAM components used in the Company's PC systems are supplied internally from the Company's semiconductor manufacturing operation. In addition, the Meridian line of ZEOS notebook computers is currently obtained from a single third party manufacturer. Although most other components and subassemblies used by the Company are currently available from multiple sources, the Company has from time to time experienced shortages in the components and subassemblies used to produce its PC systems. Any supply interruption for any of the components and subassemblies currently obtained from a single source could result in production delays and adversely affect the Company's PC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Contract Manufacturing</w:t>
      </w:r>
    </w:p>
    <w:p>
      <w:pPr>
        <w:sectPr>
          <w:pgSz w:w="11900" w:h="16838" w:orient="portrait"/>
          <w:cols w:equalWidth="0" w:num="1">
            <w:col w:w="10219"/>
          </w:cols>
          <w:pgMar w:left="240" w:top="723" w:right="1440" w:bottom="0" w:gutter="0" w:footer="0" w:header="0"/>
        </w:sectPr>
      </w:pPr>
    </w:p>
    <w:bookmarkStart w:id="8" w:name="page9"/>
    <w:bookmarkEnd w:id="8"/>
    <w:p>
      <w:pPr>
        <w:ind w:right="2839" w:firstLine="527"/>
        <w:spacing w:after="0" w:line="237" w:lineRule="auto"/>
        <w:rPr>
          <w:sz w:val="20"/>
          <w:szCs w:val="20"/>
          <w:color w:val="auto"/>
        </w:rPr>
      </w:pPr>
      <w:r>
        <w:rPr>
          <w:rFonts w:ascii="Courier New" w:cs="Courier New" w:eastAsia="Courier New" w:hAnsi="Courier New"/>
          <w:sz w:val="18"/>
          <w:szCs w:val="18"/>
          <w:color w:val="auto"/>
        </w:rPr>
        <w:t>The Company uses numerous suppliers for electronic components and materials, including RAM, in its contract manufacturing operations. Shortages of certain types of electronic components have occurred in the past and may occur in the future. Component shortages or price fluctuations could have an adverse effect on the Company's contract manufacturing operations.</w:t>
      </w:r>
    </w:p>
    <w:p>
      <w:pPr>
        <w:sectPr>
          <w:pgSz w:w="11900" w:h="16838" w:orient="portrait"/>
          <w:cols w:equalWidth="0" w:num="1">
            <w:col w:w="10219"/>
          </w:cols>
          <w:pgMar w:left="240" w:top="142"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Marketing and Customers</w:t>
      </w:r>
    </w:p>
    <w:p>
      <w:pPr>
        <w:spacing w:after="0" w:line="207"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Export sales totaled approximately $754 million for fiscal 1995, including approximately $285 million to Europe and $274 million to Asia Pacific. Export sales approximated $471 million and $251 million for fiscal 1994 and 1993, respectively. Export sales are made primarily in United States currency. The Company incurs import duties on sales into Europe of up to 14% of the product value. The Company has sales offices in the United Kingdom, Germany, Singapore, and Taiwan.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Semiconductor Memory Products</w:t>
      </w:r>
    </w:p>
    <w:p>
      <w:pPr>
        <w:spacing w:after="0" w:line="207"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The semiconductor memory industry is characterized by rapid technological change, relatively short product life cycles, frequent product introductions and enhancements, difficult product transitions, and volatile market conditions. These circumstances historically have made the semiconductor industry, and the DRAM market in particular, highly cyclical.</w:t>
      </w:r>
    </w:p>
    <w:p>
      <w:pPr>
        <w:spacing w:after="0" w:line="210" w:lineRule="exact"/>
        <w:rPr>
          <w:sz w:val="20"/>
          <w:szCs w:val="20"/>
          <w:color w:val="auto"/>
        </w:rPr>
      </w:pPr>
    </w:p>
    <w:p>
      <w:pPr>
        <w:ind w:right="2619" w:firstLine="527"/>
        <w:spacing w:after="0" w:line="238" w:lineRule="auto"/>
        <w:rPr>
          <w:sz w:val="20"/>
          <w:szCs w:val="20"/>
          <w:color w:val="auto"/>
        </w:rPr>
      </w:pPr>
      <w:r>
        <w:rPr>
          <w:rFonts w:ascii="Courier New" w:cs="Courier New" w:eastAsia="Courier New" w:hAnsi="Courier New"/>
          <w:sz w:val="18"/>
          <w:szCs w:val="18"/>
          <w:color w:val="auto"/>
        </w:rPr>
        <w:t>The Company's primary semiconductor memory products are essentially interchangeable with, and have similar functionality to, products offered by the Company's competition. Customers for the Company's semiconductor memory products include major domestic computer manufacturers and others in the computer, telecommunications, and office automation industries. The Company markets its semiconductor memory products world-wide through independent sales representatives, distributors, and its own direct sales force. Sales representatives serve on a commission basis and obtain orders subject to final acceptance by the Company. Shipments against these orders are made directly to the customer by the Company. Distributors carry the Company's products in inventory and typically sell a variety of other semiconductor products, including competitors' products.</w:t>
      </w:r>
    </w:p>
    <w:p>
      <w:pPr>
        <w:spacing w:after="0" w:line="5" w:lineRule="exact"/>
        <w:rPr>
          <w:sz w:val="20"/>
          <w:szCs w:val="20"/>
          <w:color w:val="auto"/>
        </w:rPr>
      </w:pPr>
    </w:p>
    <w:p>
      <w:pPr>
        <w:jc w:val="both"/>
        <w:ind w:right="3039"/>
        <w:spacing w:after="0" w:line="236" w:lineRule="auto"/>
        <w:rPr>
          <w:sz w:val="20"/>
          <w:szCs w:val="20"/>
          <w:color w:val="auto"/>
        </w:rPr>
      </w:pPr>
      <w:r>
        <w:rPr>
          <w:rFonts w:ascii="Courier New" w:cs="Courier New" w:eastAsia="Courier New" w:hAnsi="Courier New"/>
          <w:sz w:val="18"/>
          <w:szCs w:val="18"/>
          <w:color w:val="auto"/>
        </w:rPr>
        <w:t>Semiconductor memory products sold through distributors approximated 10%, 12% and 16% of total net sales of such products in fiscal 1995, 1994, and 1993, respectively.</w:t>
      </w:r>
    </w:p>
    <w:p>
      <w:pPr>
        <w:spacing w:after="0" w:line="209"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Many of Micron's customers require a thorough review or "qualification" of new semiconductor memory products and processes which may take several months. As the Company diversifies its product lines and reduces the die sizes of existing memory products, acceptance of these products and processes may be hampered by this qualification procedure. There can be no assurance that new products or processes will be qualified for purchase by existing or potential customers.</w:t>
      </w:r>
    </w:p>
    <w:p>
      <w:pPr>
        <w:spacing w:after="0" w:line="212" w:lineRule="exact"/>
        <w:rPr>
          <w:sz w:val="20"/>
          <w:szCs w:val="20"/>
          <w:color w:val="auto"/>
        </w:rPr>
      </w:pPr>
    </w:p>
    <w:p>
      <w:pPr>
        <w:ind w:right="3039" w:firstLine="527"/>
        <w:spacing w:after="0" w:line="237" w:lineRule="auto"/>
        <w:rPr>
          <w:sz w:val="20"/>
          <w:szCs w:val="20"/>
          <w:color w:val="auto"/>
        </w:rPr>
      </w:pPr>
      <w:r>
        <w:rPr>
          <w:rFonts w:ascii="Courier New" w:cs="Courier New" w:eastAsia="Courier New" w:hAnsi="Courier New"/>
          <w:sz w:val="18"/>
          <w:szCs w:val="18"/>
          <w:color w:val="auto"/>
        </w:rPr>
        <w:t>The Company's sales of semiconductor memory products to Compaq Computer Corporation and Intel Corporation each represented approximately 11% of the Company's sales of semiconductor memory products in fiscal 1995. Compaq Computer Corporation represented approximately 13% and 11% of the Company's sales of semiconductor memory products for fiscal 1994 and 1993, respectively. No other customer individually accounted for 10% or more of the Company's net sales of semiconductor memory products.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Personal Computer Systems</w:t>
      </w:r>
    </w:p>
    <w:p>
      <w:pPr>
        <w:spacing w:after="0" w:line="207" w:lineRule="exact"/>
        <w:rPr>
          <w:sz w:val="20"/>
          <w:szCs w:val="20"/>
          <w:color w:val="auto"/>
        </w:rPr>
      </w:pPr>
    </w:p>
    <w:p>
      <w:pPr>
        <w:ind w:right="3039" w:firstLine="527"/>
        <w:spacing w:after="0" w:line="237" w:lineRule="auto"/>
        <w:rPr>
          <w:sz w:val="20"/>
          <w:szCs w:val="20"/>
          <w:color w:val="auto"/>
        </w:rPr>
      </w:pPr>
      <w:r>
        <w:rPr>
          <w:rFonts w:ascii="Courier New" w:cs="Courier New" w:eastAsia="Courier New" w:hAnsi="Courier New"/>
          <w:sz w:val="18"/>
          <w:szCs w:val="18"/>
          <w:color w:val="auto"/>
        </w:rPr>
        <w:t>Micron markets its PC systems directly to customers including business, educational institutions, government agencies, and the general public, primarily by strategically placing advertisements in personal computer trade publications. The Company's PC products compete with products from other PC manufacturers to win computer trade magazine awards. The receipt of numerous such awards has resulted in enhanced brand name recognition for the Company's PC systems. In the event the Company's PC systems are unsuccessful in receiving similar awards in the future, customer interest in the Company's PC systems could decline materially.</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Contract Manufacturing</w:t>
      </w:r>
    </w:p>
    <w:p>
      <w:pPr>
        <w:spacing w:after="0" w:line="207"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The Company markets its contract manufacturing services through a direct sales force that works with independent sales representatives and, to a lesser extent, original equipment manufacturers. Board-level products are also marketed directly to the Company's existing DRAM and SRAM component customers.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Backlog</w:t>
      </w:r>
    </w:p>
    <w:p>
      <w:pPr>
        <w:sectPr>
          <w:pgSz w:w="11900" w:h="16838" w:orient="portrait"/>
          <w:cols w:equalWidth="0" w:num="1">
            <w:col w:w="10219"/>
          </w:cols>
          <w:pgMar w:left="240" w:top="717"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Semiconductor Memory Products</w:t>
      </w:r>
    </w:p>
    <w:p>
      <w:pPr>
        <w:spacing w:after="0" w:line="207" w:lineRule="exact"/>
        <w:rPr>
          <w:sz w:val="20"/>
          <w:szCs w:val="20"/>
          <w:color w:val="auto"/>
        </w:rPr>
      </w:pPr>
    </w:p>
    <w:p>
      <w:pPr>
        <w:ind w:right="2519" w:firstLine="527"/>
        <w:spacing w:after="0" w:line="271" w:lineRule="auto"/>
        <w:rPr>
          <w:sz w:val="20"/>
          <w:szCs w:val="20"/>
          <w:color w:val="auto"/>
        </w:rPr>
      </w:pPr>
      <w:r>
        <w:rPr>
          <w:rFonts w:ascii="Courier New" w:cs="Courier New" w:eastAsia="Courier New" w:hAnsi="Courier New"/>
          <w:sz w:val="16"/>
          <w:szCs w:val="16"/>
          <w:color w:val="auto"/>
        </w:rPr>
        <w:t>The Company primarily manufactures and markets standard memory products. The rate of booking new orders varies from month to month and depends upon the ordering practices of individual customers. Cyclical industry conditions make it difficult for many customers to enter into long-term, fixed-price contracts. Orders for the Company's semiconductor memory products are typically accepted with acknowledgment that the terms may be adjusted to reflect market conditions at the delivery date. For the foregoing reasons, and because of the possibility of customer changes in delivery schedules or cancellation of orders with-</w:t>
      </w:r>
    </w:p>
    <w:p>
      <w:pPr>
        <w:sectPr>
          <w:pgSz w:w="11900" w:h="16838" w:orient="portrait"/>
          <w:cols w:equalWidth="0" w:num="1">
            <w:col w:w="10219"/>
          </w:cols>
          <w:pgMar w:left="240" w:top="136" w:right="1440" w:bottom="1440" w:gutter="0" w:footer="0" w:header="0"/>
        </w:sectPr>
      </w:pPr>
    </w:p>
    <w:bookmarkStart w:id="11" w:name="page12"/>
    <w:bookmarkEnd w:id="11"/>
    <w:p>
      <w:pPr>
        <w:ind w:right="2519"/>
        <w:spacing w:after="0" w:line="236" w:lineRule="auto"/>
        <w:rPr>
          <w:sz w:val="20"/>
          <w:szCs w:val="20"/>
          <w:color w:val="auto"/>
        </w:rPr>
      </w:pPr>
      <w:r>
        <w:rPr>
          <w:rFonts w:ascii="Courier New" w:cs="Courier New" w:eastAsia="Courier New" w:hAnsi="Courier New"/>
          <w:sz w:val="18"/>
          <w:szCs w:val="18"/>
          <w:color w:val="auto"/>
        </w:rPr>
        <w:t>out significant penalty, the Company does not believe that its backlog of semiconductor memory products as of any particular date is firm or a reliable indicator of actual sales for any succeeding period.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Personal Computer Systems</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Levels of unfilled orders for PC systems fluctuate depending upon to unexpected demand for certain products or production delays.</w:t>
      </w:r>
    </w:p>
    <w:p>
      <w:pPr>
        <w:spacing w:after="0" w:line="6" w:lineRule="exact"/>
        <w:rPr>
          <w:sz w:val="20"/>
          <w:szCs w:val="20"/>
          <w:color w:val="auto"/>
        </w:rPr>
      </w:pPr>
    </w:p>
    <w:p>
      <w:pPr>
        <w:ind w:right="2839"/>
        <w:spacing w:after="0" w:line="270" w:lineRule="auto"/>
        <w:rPr>
          <w:sz w:val="20"/>
          <w:szCs w:val="20"/>
          <w:color w:val="auto"/>
        </w:rPr>
      </w:pPr>
      <w:r>
        <w:rPr>
          <w:rFonts w:ascii="Courier New" w:cs="Courier New" w:eastAsia="Courier New" w:hAnsi="Courier New"/>
          <w:sz w:val="16"/>
          <w:szCs w:val="16"/>
          <w:color w:val="auto"/>
        </w:rPr>
        <w:t>Customers frequently change delivery schedules and orders depending on market conditions and other reasons. Unfilled orders can be, and often are, canceled. As of August 31, 1995, the Company had unfilled orders for PC systems of approximately $46.3 million as compared to unfilled orders of $24.3 million as of September 1, 1994. The Company anticipates that substantially all of the unfilled orders as of August 31, 1995, other than canceled orders, will be shipped within 30 days. Because customers may cancel or reschedule orders for PC systems without penalty, the Company does not believe that unfilled orders for PC systems are a meaningful indicator for future sales.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Contract Manufacturing</w:t>
      </w:r>
    </w:p>
    <w:p>
      <w:pPr>
        <w:spacing w:after="0" w:line="207"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Backlog for the Company's contract manufacturing operation as of August 31, 1995, and September 1, 1994, was approximately $95.0 million and $22.3 million, respectively. Backlog generally consists of purchase orders believed to be firm and are expected to be filled within the next three months. Because of variations in the timing of orders, delivery intervals, customer and product mix and delivery schedules, the Company's backlog of contract manufacturing products as of any particular date may not be representative of actual sales for any succeeding period.</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Product Warranty</w:t>
      </w:r>
    </w:p>
    <w:p>
      <w:pPr>
        <w:spacing w:after="0" w:line="207" w:lineRule="exact"/>
        <w:rPr>
          <w:sz w:val="20"/>
          <w:szCs w:val="20"/>
          <w:color w:val="auto"/>
        </w:rPr>
      </w:pPr>
    </w:p>
    <w:p>
      <w:pPr>
        <w:ind w:right="2939" w:firstLine="527"/>
        <w:spacing w:after="0" w:line="270" w:lineRule="auto"/>
        <w:rPr>
          <w:sz w:val="20"/>
          <w:szCs w:val="20"/>
          <w:color w:val="auto"/>
        </w:rPr>
      </w:pPr>
      <w:r>
        <w:rPr>
          <w:rFonts w:ascii="Courier New" w:cs="Courier New" w:eastAsia="Courier New" w:hAnsi="Courier New"/>
          <w:sz w:val="16"/>
          <w:szCs w:val="16"/>
          <w:color w:val="auto"/>
        </w:rPr>
        <w:t>Consistent with semiconductor memory industry practice, Micron generally provides a limited warranty that its semiconductor memory and contract manufactured products are in compliance with specifications existing at the time of delivery. Liability for a stated warranty period is usually limited to replacement of defective items or return of amounts paid. Micron provides a 30-day money back guarantee on sales of its PC systems. PC systems are generally provided with a one-year limited warranty from the delivery date that covers repairs or replacement for defects in either workmanship or components. All other warranties are typically disclaimed.</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Semiconductor Memory Products</w:t>
      </w:r>
    </w:p>
    <w:p>
      <w:pPr>
        <w:spacing w:after="0" w:line="207" w:lineRule="exact"/>
        <w:rPr>
          <w:sz w:val="20"/>
          <w:szCs w:val="20"/>
          <w:color w:val="auto"/>
        </w:rPr>
      </w:pPr>
    </w:p>
    <w:p>
      <w:pPr>
        <w:ind w:right="2319" w:firstLine="527"/>
        <w:spacing w:after="0" w:line="270" w:lineRule="auto"/>
        <w:rPr>
          <w:sz w:val="20"/>
          <w:szCs w:val="20"/>
          <w:color w:val="auto"/>
        </w:rPr>
      </w:pPr>
      <w:r>
        <w:rPr>
          <w:rFonts w:ascii="Courier New" w:cs="Courier New" w:eastAsia="Courier New" w:hAnsi="Courier New"/>
          <w:sz w:val="16"/>
          <w:szCs w:val="16"/>
          <w:color w:val="auto"/>
        </w:rPr>
        <w:t>The Company's semiconductor memory operations experience intense competition from a number of substantially larger foreign and domestic companies, including Fujitsu, Ltd., Lucky Goldstar, Hitachi, Ltd., Hyundai Electronics, Co., Ltd., Mitsubishi Electric Corp., Motorola, Inc., NEC Corp., Samsung Semiconductor, Inc., Texas Instruments, Inc., and Toshiba Corporation. Micron has captured only a small percentage of the semiconductor memory market and may be at a disadvantage in competing against these larger manufacturers with significantly greater capital resources or manufacturing capacities, larger engineer and employee bases, larger portfolios of intellectual property, and more diverse product lines. The Company's larger competitors may also have long-term advantages</w:t>
      </w:r>
    </w:p>
    <w:p>
      <w:pPr>
        <w:spacing w:after="0" w:line="189" w:lineRule="exact"/>
        <w:rPr>
          <w:sz w:val="20"/>
          <w:szCs w:val="20"/>
          <w:color w:val="auto"/>
        </w:rPr>
      </w:pPr>
    </w:p>
    <w:p>
      <w:pPr>
        <w:ind w:right="3039"/>
        <w:spacing w:after="0" w:line="275" w:lineRule="auto"/>
        <w:rPr>
          <w:sz w:val="20"/>
          <w:szCs w:val="20"/>
          <w:color w:val="auto"/>
        </w:rPr>
      </w:pPr>
      <w:r>
        <w:rPr>
          <w:rFonts w:ascii="Courier New" w:cs="Courier New" w:eastAsia="Courier New" w:hAnsi="Courier New"/>
          <w:sz w:val="16"/>
          <w:szCs w:val="16"/>
          <w:color w:val="auto"/>
        </w:rPr>
        <w:t>over Micron in research and new product development and in their ability to withstand periodic downturns in the semiconductor market. In addition, the Company believes its competition has sufficient resources and manufacturing capacity to influence market pricing.</w:t>
      </w:r>
    </w:p>
    <w:p>
      <w:pPr>
        <w:spacing w:after="0" w:line="182" w:lineRule="exact"/>
        <w:rPr>
          <w:sz w:val="20"/>
          <w:szCs w:val="20"/>
          <w:color w:val="auto"/>
        </w:rPr>
      </w:pPr>
    </w:p>
    <w:p>
      <w:pPr>
        <w:ind w:right="2739" w:firstLine="527"/>
        <w:spacing w:after="0" w:line="279" w:lineRule="auto"/>
        <w:rPr>
          <w:sz w:val="20"/>
          <w:szCs w:val="20"/>
          <w:color w:val="auto"/>
        </w:rPr>
      </w:pPr>
      <w:r>
        <w:rPr>
          <w:rFonts w:ascii="Courier New" w:cs="Courier New" w:eastAsia="Courier New" w:hAnsi="Courier New"/>
          <w:sz w:val="16"/>
          <w:szCs w:val="16"/>
          <w:color w:val="auto"/>
        </w:rPr>
        <w:t>The SRAM overall market size is considerably smaller than the DRAM market and is more susceptible to a number of competitors increasing supply, and thereby influencing market pricing for SRAM products.</w:t>
      </w:r>
    </w:p>
    <w:p>
      <w:pPr>
        <w:spacing w:after="0" w:line="178" w:lineRule="exact"/>
        <w:rPr>
          <w:sz w:val="20"/>
          <w:szCs w:val="20"/>
          <w:color w:val="auto"/>
        </w:rPr>
      </w:pPr>
    </w:p>
    <w:p>
      <w:pPr>
        <w:ind w:right="2739" w:firstLine="527"/>
        <w:spacing w:after="0" w:line="271" w:lineRule="auto"/>
        <w:rPr>
          <w:sz w:val="20"/>
          <w:szCs w:val="20"/>
          <w:color w:val="auto"/>
        </w:rPr>
      </w:pPr>
      <w:r>
        <w:rPr>
          <w:rFonts w:ascii="Courier New" w:cs="Courier New" w:eastAsia="Courier New" w:hAnsi="Courier New"/>
          <w:sz w:val="16"/>
          <w:szCs w:val="16"/>
          <w:color w:val="auto"/>
        </w:rPr>
        <w:t>As has previously occurred in reaction to increased market demand, the Company and many of its competitors are adding new wafer fabrication facilities. Most new wafer fabrication facilities are designed to process 8-inch wafers, which have approximately 84% greater usable surface area than 6-inch wafers. Excess supply resulting from increased world-wide semiconductor manufacturing capacity, improved manufacturing yields, changes in demand for semiconductor memory, and currency fluctuations resulting in a strengthening dollar against the yen, could result in downward pricing</w:t>
      </w:r>
    </w:p>
    <w:p>
      <w:pPr>
        <w:sectPr>
          <w:pgSz w:w="11900" w:h="16838" w:orient="portrait"/>
          <w:cols w:equalWidth="0" w:num="1">
            <w:col w:w="10219"/>
          </w:cols>
          <w:pgMar w:left="240" w:top="723" w:right="1440" w:bottom="138" w:gutter="0" w:footer="0" w:header="0"/>
        </w:sectPr>
      </w:pPr>
    </w:p>
    <w:bookmarkStart w:id="12" w:name="page13"/>
    <w:bookmarkEnd w:id="12"/>
    <w:p>
      <w:pPr>
        <w:ind w:right="2839"/>
        <w:spacing w:after="0" w:line="290" w:lineRule="auto"/>
        <w:rPr>
          <w:sz w:val="20"/>
          <w:szCs w:val="20"/>
          <w:color w:val="auto"/>
        </w:rPr>
      </w:pPr>
      <w:r>
        <w:rPr>
          <w:rFonts w:ascii="Courier New" w:cs="Courier New" w:eastAsia="Courier New" w:hAnsi="Courier New"/>
          <w:sz w:val="16"/>
          <w:szCs w:val="16"/>
          <w:color w:val="auto"/>
        </w:rPr>
        <w:t>pressure. A decline in the current favorable product pricing would have a material adverse effect on the Company's results of operations.</w:t>
      </w:r>
    </w:p>
    <w:p>
      <w:pPr>
        <w:sectPr>
          <w:pgSz w:w="11900" w:h="16838" w:orient="portrait"/>
          <w:cols w:equalWidth="0" w:num="1">
            <w:col w:w="10219"/>
          </w:cols>
          <w:pgMar w:left="240" w:top="142"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Personal Computer Systems</w:t>
      </w:r>
    </w:p>
    <w:p>
      <w:pPr>
        <w:spacing w:after="0" w:line="207"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The PC industry is highly competitive and has been characterized by intense pricing pressure, rapid technological advances in hardware and software, frequent introduction of new products, and low gross margins. Competitive factors include price, performance, variety of products offered, availability of peripherals and software, marketing and sales capabilities, service, and support. There can be no assurance the Company will compete successfully in the future with respect to these factors.</w:t>
      </w:r>
    </w:p>
    <w:p>
      <w:pPr>
        <w:spacing w:after="0" w:line="212" w:lineRule="exact"/>
        <w:rPr>
          <w:sz w:val="20"/>
          <w:szCs w:val="20"/>
          <w:color w:val="auto"/>
        </w:rPr>
      </w:pPr>
    </w:p>
    <w:p>
      <w:pPr>
        <w:ind w:right="2419" w:firstLine="527"/>
        <w:spacing w:after="0" w:line="268" w:lineRule="auto"/>
        <w:rPr>
          <w:sz w:val="20"/>
          <w:szCs w:val="20"/>
          <w:color w:val="auto"/>
        </w:rPr>
      </w:pPr>
      <w:r>
        <w:rPr>
          <w:rFonts w:ascii="Courier New" w:cs="Courier New" w:eastAsia="Courier New" w:hAnsi="Courier New"/>
          <w:sz w:val="16"/>
          <w:szCs w:val="16"/>
          <w:color w:val="auto"/>
        </w:rPr>
        <w:t>The Company's PC operations compete with a number of PC manufacturers which sell their products primarily through direct marketing channels, including Dell Computer Corporation and Gateway 2000, Inc. The</w:t>
      </w:r>
    </w:p>
    <w:p>
      <w:pPr>
        <w:spacing w:after="0" w:line="1" w:lineRule="exact"/>
        <w:rPr>
          <w:sz w:val="20"/>
          <w:szCs w:val="20"/>
          <w:color w:val="auto"/>
        </w:rPr>
      </w:pPr>
    </w:p>
    <w:p>
      <w:pPr>
        <w:ind w:right="2839"/>
        <w:spacing w:after="0" w:line="270" w:lineRule="auto"/>
        <w:rPr>
          <w:sz w:val="20"/>
          <w:szCs w:val="20"/>
          <w:color w:val="auto"/>
        </w:rPr>
      </w:pPr>
      <w:r>
        <w:rPr>
          <w:rFonts w:ascii="Courier New" w:cs="Courier New" w:eastAsia="Courier New" w:hAnsi="Courier New"/>
          <w:sz w:val="16"/>
          <w:szCs w:val="16"/>
          <w:color w:val="auto"/>
        </w:rPr>
        <w:t>Company also competes with PC manufacturers including IBM Corporation, Compaq Computer Corporation, Packard Bell Electronics, Inc., and Apple Computer, Inc., which have traditionally sold their products through national and regional distributors, dealers, value-added resellers, retail stores, and the PC manufacturers' direct sales forces. Many competitors have substantially greater financial, marketing, manufacturing, and technological resources devoted to PC operations than the Company and also have greater purchasing power, broader product lines, and larger installed customer bases, and greater brand name recognition. In addition, the Company competes with smaller PC manufacturers in local markets primarily on the basis of price.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Contract Manufacturing</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The Company's contract manufacturing operation competes with numerous domestic and offshore contract manufacturers, including a significant number regional companies. In addition, the Company competes against in-house manufacturing capabilities of certain of its existing customers as well as with certain large computer manufacturers, including IBM and its subsidiaries, which also offer third party contract manufacturing services. The Company's contract manufacturing competitors include Avex Electronics, Inc., Benchmark Electronics,</w:t>
      </w:r>
    </w:p>
    <w:p>
      <w:pPr>
        <w:spacing w:after="0" w:line="10"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Inc., DOVAtron, International, Inc., Flextronics International, Group Technologies Corporation, Jabil Circuits, Inc., SCI Systems, Inc., and Solectron Corporation. Many of the Company's contract manufacturing competitors have substantially greater manufacturing, financial, and marketing resources devoted to contract operations than the Company. Many of the Company's contract manufacturing customers also have manufacturing relationships with one or more of the Company's competitors.</w:t>
      </w:r>
    </w:p>
    <w:p>
      <w:pPr>
        <w:spacing w:after="0" w:line="212" w:lineRule="exact"/>
        <w:rPr>
          <w:sz w:val="20"/>
          <w:szCs w:val="20"/>
          <w:color w:val="auto"/>
        </w:rPr>
      </w:pPr>
    </w:p>
    <w:p>
      <w:pPr>
        <w:ind w:right="2939" w:firstLine="527"/>
        <w:spacing w:after="0" w:line="237" w:lineRule="auto"/>
        <w:rPr>
          <w:sz w:val="20"/>
          <w:szCs w:val="20"/>
          <w:color w:val="auto"/>
        </w:rPr>
      </w:pPr>
      <w:r>
        <w:rPr>
          <w:rFonts w:ascii="Courier New" w:cs="Courier New" w:eastAsia="Courier New" w:hAnsi="Courier New"/>
          <w:sz w:val="18"/>
          <w:szCs w:val="18"/>
          <w:color w:val="auto"/>
        </w:rPr>
        <w:t>The Company believes that the significant competitive factors in contract manufacturing are technology, quality, service, price, location, and the ability to offer flexible delivery schedules and deliver finished products on a timely basis in accordance with customers' expectations. The Company may be at a disadvantage as to price when compared to contract manufacturers with substantial offshore facilities or substantially larger domestic facilities. There can be no assurance that the Company will compete successfully in the future with regard to these factors.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w:t>
      </w:r>
    </w:p>
    <w:p>
      <w:pPr>
        <w:spacing w:after="0" w:line="207"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Rapid technological change and intense price competition place a premium on both new product and new process development efforts. The Company's continued ability to compete in the semiconductor memory market will depend in part on its ability to continue to develop technologically advanced products and processes, of which there can be no assurance. Research and development is being performed in strategic areas related to the Company's historical semiconductor expertise. Total research and development expenditures for the Company were $129 million, $83 million, and $57 million in fiscal 1995, 1994, and 1993, respectively.</w:t>
      </w:r>
    </w:p>
    <w:p>
      <w:pPr>
        <w:spacing w:after="0" w:line="215" w:lineRule="exact"/>
        <w:rPr>
          <w:sz w:val="20"/>
          <w:szCs w:val="20"/>
          <w:color w:val="auto"/>
        </w:rPr>
      </w:pPr>
    </w:p>
    <w:p>
      <w:pPr>
        <w:ind w:right="2619" w:firstLine="527"/>
        <w:spacing w:after="0" w:line="268" w:lineRule="auto"/>
        <w:rPr>
          <w:sz w:val="20"/>
          <w:szCs w:val="20"/>
          <w:color w:val="auto"/>
        </w:rPr>
      </w:pPr>
      <w:r>
        <w:rPr>
          <w:rFonts w:ascii="Courier New" w:cs="Courier New" w:eastAsia="Courier New" w:hAnsi="Courier New"/>
          <w:sz w:val="16"/>
          <w:szCs w:val="16"/>
          <w:color w:val="auto"/>
        </w:rPr>
        <w:t>Research and development expenses vary primarily with the number of wafers and personnel dedicated to new product and process development. The Company's research and development efforts are currently focused principally on further development of shrink versions of the 16 Meg</w:t>
      </w:r>
    </w:p>
    <w:p>
      <w:pPr>
        <w:spacing w:after="0" w:line="1"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and 4 Meg DRAMs. Although the Company's 16 Meg DRAM product has been transferred into production, it is not currently being produced in significant volume pending the shift in customer demand from the 4 Meg DRAM. Other research and development efforts have been devoted to design and development of the 64 Meg and 256 Meg DRAMs and design and development of new technologies including radio frequency</w:t>
      </w:r>
    </w:p>
    <w:p>
      <w:pPr>
        <w:sectPr>
          <w:pgSz w:w="11900" w:h="16838" w:orient="portrait"/>
          <w:cols w:equalWidth="0" w:num="1">
            <w:col w:w="10219"/>
          </w:cols>
          <w:pgMar w:left="240" w:top="717" w:right="1440" w:bottom="0" w:gutter="0" w:footer="0" w:header="0"/>
        </w:sectPr>
      </w:pPr>
    </w:p>
    <w:bookmarkStart w:id="14" w:name="page15"/>
    <w:bookmarkEnd w:id="14"/>
    <w:p>
      <w:pPr>
        <w:ind w:right="3159"/>
        <w:spacing w:after="0" w:line="235" w:lineRule="auto"/>
        <w:rPr>
          <w:sz w:val="20"/>
          <w:szCs w:val="20"/>
          <w:color w:val="auto"/>
        </w:rPr>
      </w:pPr>
      <w:r>
        <w:rPr>
          <w:rFonts w:ascii="Courier New" w:cs="Courier New" w:eastAsia="Courier New" w:hAnsi="Courier New"/>
          <w:sz w:val="18"/>
          <w:szCs w:val="18"/>
          <w:color w:val="auto"/>
        </w:rPr>
        <w:t>identification systems, non-volatile semiconductor memory products, and field emission flat panel displays.</w:t>
      </w:r>
    </w:p>
    <w:p>
      <w:pPr>
        <w:spacing w:after="0" w:line="208"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The Company has entered into various research and development cost-sharing contracts with the Advanced Research Projects Agency ("ARPA") aggregating approximately $20 million to pursue development of a flat panel field emission display, alternative semiconductor materials and high density ferroelectric memory.</w:t>
      </w:r>
    </w:p>
    <w:p>
      <w:pPr>
        <w:sectPr>
          <w:pgSz w:w="11900" w:h="16838" w:orient="portrait"/>
          <w:cols w:equalWidth="0" w:num="1">
            <w:col w:w="10219"/>
          </w:cols>
          <w:pgMar w:left="240" w:top="142"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Patents and Licenses</w:t>
      </w:r>
    </w:p>
    <w:p>
      <w:pPr>
        <w:spacing w:after="0" w:line="207"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As of August 31, 1995, the Company owned approximately 470 United States patents and 270 non-U.S. patents relating to the use of its products and processes. In addition, the Company has numerous United States and foreign patent applications pending. There can be no assurance that patents will be issued for such applications or that any patents, if issued, will be determined to be valid. The Company intends to continue to seek patent protection on its significant patentable technology.</w:t>
      </w:r>
    </w:p>
    <w:p>
      <w:pPr>
        <w:spacing w:after="0" w:line="212" w:lineRule="exact"/>
        <w:rPr>
          <w:sz w:val="20"/>
          <w:szCs w:val="20"/>
          <w:color w:val="auto"/>
        </w:rPr>
      </w:pPr>
    </w:p>
    <w:p>
      <w:pPr>
        <w:ind w:right="2739" w:firstLine="527"/>
        <w:spacing w:after="0" w:line="238" w:lineRule="auto"/>
        <w:rPr>
          <w:sz w:val="20"/>
          <w:szCs w:val="20"/>
          <w:color w:val="auto"/>
        </w:rPr>
      </w:pPr>
      <w:r>
        <w:rPr>
          <w:rFonts w:ascii="Courier New" w:cs="Courier New" w:eastAsia="Courier New" w:hAnsi="Courier New"/>
          <w:sz w:val="18"/>
          <w:szCs w:val="18"/>
          <w:color w:val="auto"/>
        </w:rPr>
        <w:t>The Company has entered into several cross-license agreements with third parties. The agreements typically require one-time and/or periodic royalty payments and expire at various times. One-time payments are typically capitalized and amortized over the shorter of the estimated useful life of the technology, the patent term, or the term of the agreement. Royalty and other product and process technology expenses were $203 million, $128 million, and $78 million in fiscal 1995, 1994, and 1993, respectively. It may be necessary or advantageous for the Company to obtain additional patent licenses or to renew existing license agreements, some of which expire in calendar 1995, including an agreement with IBM. The Company is unable to predict whether these license agreements can be obtained or renewed on terms acceptable to the Company. Failure to renew such licenses could result in litigation and the attendant cost and diversion of resources associated therewith and could also result in material changes in the Company's production processes or products. An adverse decision on any such litigation or such material changes could have a material adverse effect on the Company's financial position or results of operations.</w:t>
      </w:r>
    </w:p>
    <w:p>
      <w:pPr>
        <w:spacing w:after="0" w:line="210"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Periodically, the Company is made aware that technology used by the Company in the manufacture of some or all of its products may infringe on product and process technology rights held by others. An adverse decision on infringement of patents may have a material adverse effect on the Company's financial position or results of operations and may require material changes in production processes or products. For additional discussion of product and process technology issues, see "Item 7. Management's Discussion and Analysis of Financial Condition and Results of Operations - Certain Factors" and "Item 8. Financial Statements and Supplementary Data - Notes to Consolidated Financial Statements - Contingencies".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ind w:right="2839" w:firstLine="527"/>
        <w:spacing w:after="0" w:line="270" w:lineRule="auto"/>
        <w:rPr>
          <w:sz w:val="20"/>
          <w:szCs w:val="20"/>
          <w:color w:val="auto"/>
        </w:rPr>
      </w:pPr>
      <w:r>
        <w:rPr>
          <w:rFonts w:ascii="Courier New" w:cs="Courier New" w:eastAsia="Courier New" w:hAnsi="Courier New"/>
          <w:sz w:val="16"/>
          <w:szCs w:val="16"/>
          <w:color w:val="auto"/>
        </w:rPr>
        <w:t>As of August 31, 1995, Micron had 8,080 full-time employees, including approximately 5,900 in the semiconductor memory manufacturing operation, 1,400 in the PC operation and 570 in the contract manufacturing operation. Employment levels can vary depending on market conditions and the level of utilization of the Company's production, research and product and process development, and administrative support activities. Many of the Company's employees are highly-skilled and the Company's continued success will depend in part upon its ability to retain such employees. None of the Company's employees are represented by a labor organization, the Company has never had a work stoppage as a result of labor issues, and the Company considers relations with employees to be satisfactory.</w:t>
      </w:r>
    </w:p>
    <w:p>
      <w:pPr>
        <w:spacing w:after="0" w:line="391" w:lineRule="exact"/>
        <w:rPr>
          <w:sz w:val="20"/>
          <w:szCs w:val="20"/>
          <w:color w:val="auto"/>
        </w:rPr>
      </w:pPr>
    </w:p>
    <w:p>
      <w:pPr>
        <w:ind w:right="2839" w:firstLine="527"/>
        <w:spacing w:after="0" w:line="271" w:lineRule="auto"/>
        <w:rPr>
          <w:sz w:val="20"/>
          <w:szCs w:val="20"/>
          <w:color w:val="auto"/>
        </w:rPr>
      </w:pPr>
      <w:r>
        <w:rPr>
          <w:rFonts w:ascii="Courier New" w:cs="Courier New" w:eastAsia="Courier New" w:hAnsi="Courier New"/>
          <w:sz w:val="16"/>
          <w:szCs w:val="16"/>
          <w:color w:val="auto"/>
        </w:rPr>
        <w:t>The Company has hired a significant number of employees in recent years, particularly in and around the Boise, Idaho area. In addition, the Company is pursuing a significant expansion of its semiconductor manufacturing operations in Lehi, Utah, that is anticipated to employ 3,500 full-time employees. The Company may experience difficulties in locating and hiring qualified employees at a rate sufficient to accommodate the Company's current rate of expansion.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Environmental Compliance</w:t>
      </w:r>
    </w:p>
    <w:p>
      <w:pPr>
        <w:spacing w:after="0" w:line="207"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Government regulations impose various environmental controls on the discharge of chemicals and gasses used in the Company's manufacturing processes. The Company believes that its activities conform to present environmental regulations. While the Company has not experienced any materially adverse effects on its operations from government regulations, there can be no assurance that changes in such regulations will not impose the need for additional capital equipment or other compliance requirements. Additionally, the extensive process required to obtain permits for expansion of the Company's facilities</w:t>
      </w:r>
    </w:p>
    <w:p>
      <w:pPr>
        <w:sectPr>
          <w:pgSz w:w="11900" w:h="16838" w:orient="portrait"/>
          <w:cols w:equalWidth="0" w:num="1">
            <w:col w:w="10219"/>
          </w:cols>
          <w:pgMar w:left="240" w:top="717" w:right="1440" w:bottom="0" w:gutter="0" w:footer="0" w:header="0"/>
        </w:sectPr>
      </w:pPr>
    </w:p>
    <w:bookmarkStart w:id="16" w:name="page17"/>
    <w:bookmarkEnd w:id="16"/>
    <w:p>
      <w:pPr>
        <w:ind w:right="2939"/>
        <w:spacing w:after="0" w:line="235" w:lineRule="auto"/>
        <w:rPr>
          <w:sz w:val="20"/>
          <w:szCs w:val="20"/>
          <w:color w:val="auto"/>
        </w:rPr>
      </w:pPr>
      <w:r>
        <w:rPr>
          <w:rFonts w:ascii="Courier New" w:cs="Courier New" w:eastAsia="Courier New" w:hAnsi="Courier New"/>
          <w:sz w:val="18"/>
          <w:szCs w:val="18"/>
          <w:color w:val="auto"/>
        </w:rPr>
        <w:t>may impact how quickly the Company can respond to increases in market demand.</w:t>
      </w:r>
    </w:p>
    <w:p>
      <w:pPr>
        <w:sectPr>
          <w:pgSz w:w="11900" w:h="16838" w:orient="portrait"/>
          <w:cols w:equalWidth="0" w:num="1">
            <w:col w:w="10219"/>
          </w:cols>
          <w:pgMar w:left="240" w:top="142"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Executive Officers of the Registrant</w:t>
      </w:r>
    </w:p>
    <w:p>
      <w:pPr>
        <w:spacing w:after="0" w:line="200" w:lineRule="exact"/>
        <w:rPr>
          <w:sz w:val="20"/>
          <w:szCs w:val="20"/>
          <w:color w:val="auto"/>
        </w:rPr>
      </w:pPr>
    </w:p>
    <w:p>
      <w:pPr>
        <w:spacing w:after="0" w:line="209"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executive officers of the Company and their ages as of August 31, 1995 are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620" w:type="dxa"/>
            <w:vAlign w:val="bottom"/>
            <w:gridSpan w:val="2"/>
          </w:tcPr>
          <w:p>
            <w:pPr>
              <w:spacing w:after="0"/>
              <w:rPr>
                <w:sz w:val="20"/>
                <w:szCs w:val="20"/>
                <w:color w:val="auto"/>
              </w:rPr>
            </w:pPr>
            <w:r>
              <w:rPr>
                <w:rFonts w:ascii="Courier New" w:cs="Courier New" w:eastAsia="Courier New" w:hAnsi="Courier New"/>
                <w:sz w:val="18"/>
                <w:szCs w:val="18"/>
                <w:color w:val="auto"/>
              </w:rPr>
              <w:t>Position</w:t>
            </w:r>
          </w:p>
        </w:tc>
        <w:tc>
          <w:tcPr>
            <w:tcW w:w="2420" w:type="dxa"/>
            <w:vAlign w:val="bottom"/>
          </w:tcPr>
          <w:p>
            <w:pPr>
              <w:spacing w:after="0"/>
              <w:rPr>
                <w:sz w:val="17"/>
                <w:szCs w:val="17"/>
                <w:color w:val="auto"/>
              </w:rPr>
            </w:pPr>
          </w:p>
        </w:tc>
        <w:tc>
          <w:tcPr>
            <w:tcW w:w="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Age</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Officer Since</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40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w w:val="98"/>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Steven R. Appleton</w:t>
            </w:r>
          </w:p>
        </w:tc>
        <w:tc>
          <w:tcPr>
            <w:tcW w:w="1620" w:type="dxa"/>
            <w:vAlign w:val="bottom"/>
            <w:gridSpan w:val="2"/>
          </w:tcPr>
          <w:p>
            <w:pPr>
              <w:spacing w:after="0"/>
              <w:rPr>
                <w:sz w:val="20"/>
                <w:szCs w:val="20"/>
                <w:color w:val="auto"/>
              </w:rPr>
            </w:pPr>
            <w:r>
              <w:rPr>
                <w:rFonts w:ascii="Courier New" w:cs="Courier New" w:eastAsia="Courier New" w:hAnsi="Courier New"/>
                <w:sz w:val="18"/>
                <w:szCs w:val="18"/>
                <w:color w:val="auto"/>
                <w:w w:val="98"/>
              </w:rPr>
              <w:t>Chief Executive</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Officer, President</w:t>
            </w:r>
          </w:p>
        </w:tc>
        <w:tc>
          <w:tcPr>
            <w:tcW w:w="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35</w:t>
            </w:r>
          </w:p>
        </w:tc>
        <w:tc>
          <w:tcPr>
            <w:tcW w:w="1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1989</w:t>
            </w:r>
          </w:p>
        </w:tc>
      </w:tr>
      <w:tr>
        <w:trPr>
          <w:trHeight w:val="203"/>
        </w:trPr>
        <w:tc>
          <w:tcPr>
            <w:tcW w:w="2440" w:type="dxa"/>
            <w:vAlign w:val="bottom"/>
          </w:tcPr>
          <w:p>
            <w:pPr>
              <w:spacing w:after="0"/>
              <w:rPr>
                <w:sz w:val="17"/>
                <w:szCs w:val="17"/>
                <w:color w:val="auto"/>
              </w:rPr>
            </w:pPr>
          </w:p>
        </w:tc>
        <w:tc>
          <w:tcPr>
            <w:tcW w:w="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w:t>
            </w:r>
          </w:p>
        </w:tc>
        <w:tc>
          <w:tcPr>
            <w:tcW w:w="3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Chairman of the Board of</w:t>
            </w:r>
          </w:p>
        </w:tc>
        <w:tc>
          <w:tcPr>
            <w:tcW w:w="5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16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Directors</w:t>
            </w:r>
          </w:p>
        </w:tc>
        <w:tc>
          <w:tcPr>
            <w:tcW w:w="2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Tyler A. Lowrey</w:t>
            </w:r>
          </w:p>
        </w:tc>
        <w:tc>
          <w:tcPr>
            <w:tcW w:w="1620" w:type="dxa"/>
            <w:vAlign w:val="bottom"/>
            <w:gridSpan w:val="2"/>
          </w:tcPr>
          <w:p>
            <w:pPr>
              <w:spacing w:after="0"/>
              <w:rPr>
                <w:sz w:val="20"/>
                <w:szCs w:val="20"/>
                <w:color w:val="auto"/>
              </w:rPr>
            </w:pPr>
            <w:r>
              <w:rPr>
                <w:rFonts w:ascii="Courier New" w:cs="Courier New" w:eastAsia="Courier New" w:hAnsi="Courier New"/>
                <w:sz w:val="18"/>
                <w:szCs w:val="18"/>
                <w:color w:val="auto"/>
                <w:w w:val="98"/>
              </w:rPr>
              <w:t>Chief Technical</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Officer and Vice</w:t>
            </w:r>
          </w:p>
        </w:tc>
        <w:tc>
          <w:tcPr>
            <w:tcW w:w="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42</w:t>
            </w:r>
          </w:p>
        </w:tc>
        <w:tc>
          <w:tcPr>
            <w:tcW w:w="1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1986</w:t>
            </w:r>
          </w:p>
        </w:tc>
      </w:tr>
      <w:tr>
        <w:trPr>
          <w:trHeight w:val="203"/>
        </w:trPr>
        <w:tc>
          <w:tcPr>
            <w:tcW w:w="2440" w:type="dxa"/>
            <w:vAlign w:val="bottom"/>
          </w:tcPr>
          <w:p>
            <w:pPr>
              <w:spacing w:after="0"/>
              <w:rPr>
                <w:sz w:val="17"/>
                <w:szCs w:val="17"/>
                <w:color w:val="auto"/>
              </w:rPr>
            </w:pPr>
          </w:p>
        </w:tc>
        <w:tc>
          <w:tcPr>
            <w:tcW w:w="40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Chairman of the Board of Directors</w:t>
            </w:r>
          </w:p>
        </w:tc>
        <w:tc>
          <w:tcPr>
            <w:tcW w:w="5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Wilbur G. Stover, Jr.</w:t>
            </w:r>
          </w:p>
        </w:tc>
        <w:tc>
          <w:tcPr>
            <w:tcW w:w="1620" w:type="dxa"/>
            <w:vAlign w:val="bottom"/>
            <w:gridSpan w:val="2"/>
          </w:tcPr>
          <w:p>
            <w:pPr>
              <w:spacing w:after="0"/>
              <w:rPr>
                <w:sz w:val="20"/>
                <w:szCs w:val="20"/>
                <w:color w:val="auto"/>
              </w:rPr>
            </w:pPr>
            <w:r>
              <w:rPr>
                <w:rFonts w:ascii="Courier New" w:cs="Courier New" w:eastAsia="Courier New" w:hAnsi="Courier New"/>
                <w:sz w:val="18"/>
                <w:szCs w:val="18"/>
                <w:color w:val="auto"/>
                <w:w w:val="98"/>
              </w:rPr>
              <w:t>Chief Financial</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Officer, Vice</w:t>
            </w:r>
          </w:p>
        </w:tc>
        <w:tc>
          <w:tcPr>
            <w:tcW w:w="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42</w:t>
            </w:r>
          </w:p>
        </w:tc>
        <w:tc>
          <w:tcPr>
            <w:tcW w:w="1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1992</w:t>
            </w:r>
          </w:p>
        </w:tc>
      </w:tr>
      <w:tr>
        <w:trPr>
          <w:trHeight w:val="203"/>
        </w:trPr>
        <w:tc>
          <w:tcPr>
            <w:tcW w:w="2440" w:type="dxa"/>
            <w:vAlign w:val="bottom"/>
          </w:tcPr>
          <w:p>
            <w:pPr>
              <w:spacing w:after="0"/>
              <w:rPr>
                <w:sz w:val="17"/>
                <w:szCs w:val="17"/>
                <w:color w:val="auto"/>
              </w:rPr>
            </w:pPr>
          </w:p>
        </w:tc>
        <w:tc>
          <w:tcPr>
            <w:tcW w:w="40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President, Finance, Corporate</w:t>
            </w:r>
          </w:p>
        </w:tc>
        <w:tc>
          <w:tcPr>
            <w:tcW w:w="5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40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Secretary and Director</w:t>
            </w:r>
          </w:p>
        </w:tc>
        <w:tc>
          <w:tcPr>
            <w:tcW w:w="5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Edward J. Heitzeberg</w:t>
            </w:r>
          </w:p>
        </w:tc>
        <w:tc>
          <w:tcPr>
            <w:tcW w:w="460" w:type="dxa"/>
            <w:vAlign w:val="bottom"/>
          </w:tcPr>
          <w:p>
            <w:pPr>
              <w:spacing w:after="0"/>
              <w:rPr>
                <w:sz w:val="20"/>
                <w:szCs w:val="20"/>
                <w:color w:val="auto"/>
              </w:rPr>
            </w:pPr>
            <w:r>
              <w:rPr>
                <w:rFonts w:ascii="Courier New" w:cs="Courier New" w:eastAsia="Courier New" w:hAnsi="Courier New"/>
                <w:sz w:val="18"/>
                <w:szCs w:val="18"/>
                <w:color w:val="auto"/>
              </w:rPr>
              <w:t>Vice</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President,</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DRAM Design and</w:t>
            </w:r>
          </w:p>
        </w:tc>
        <w:tc>
          <w:tcPr>
            <w:tcW w:w="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49</w:t>
            </w:r>
          </w:p>
        </w:tc>
        <w:tc>
          <w:tcPr>
            <w:tcW w:w="1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1986</w:t>
            </w:r>
          </w:p>
        </w:tc>
      </w:tr>
      <w:tr>
        <w:trPr>
          <w:trHeight w:val="203"/>
        </w:trPr>
        <w:tc>
          <w:tcPr>
            <w:tcW w:w="2440" w:type="dxa"/>
            <w:vAlign w:val="bottom"/>
          </w:tcPr>
          <w:p>
            <w:pPr>
              <w:spacing w:after="0"/>
              <w:rPr>
                <w:sz w:val="17"/>
                <w:szCs w:val="17"/>
                <w:color w:val="auto"/>
              </w:rPr>
            </w:pPr>
          </w:p>
        </w:tc>
        <w:tc>
          <w:tcPr>
            <w:tcW w:w="40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Product Engineering</w:t>
            </w:r>
          </w:p>
        </w:tc>
        <w:tc>
          <w:tcPr>
            <w:tcW w:w="5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Thomas M. Trent</w:t>
            </w:r>
          </w:p>
        </w:tc>
        <w:tc>
          <w:tcPr>
            <w:tcW w:w="460" w:type="dxa"/>
            <w:vAlign w:val="bottom"/>
          </w:tcPr>
          <w:p>
            <w:pPr>
              <w:spacing w:after="0"/>
              <w:rPr>
                <w:sz w:val="20"/>
                <w:szCs w:val="20"/>
                <w:color w:val="auto"/>
              </w:rPr>
            </w:pPr>
            <w:r>
              <w:rPr>
                <w:rFonts w:ascii="Courier New" w:cs="Courier New" w:eastAsia="Courier New" w:hAnsi="Courier New"/>
                <w:sz w:val="18"/>
                <w:szCs w:val="18"/>
                <w:color w:val="auto"/>
              </w:rPr>
              <w:t>Vice</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President,</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Computer Aided Design</w:t>
            </w:r>
          </w:p>
        </w:tc>
        <w:tc>
          <w:tcPr>
            <w:tcW w:w="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49</w:t>
            </w:r>
          </w:p>
        </w:tc>
        <w:tc>
          <w:tcPr>
            <w:tcW w:w="1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1986</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Robert M. Donnelly</w:t>
            </w:r>
          </w:p>
        </w:tc>
        <w:tc>
          <w:tcPr>
            <w:tcW w:w="460" w:type="dxa"/>
            <w:vAlign w:val="bottom"/>
          </w:tcPr>
          <w:p>
            <w:pPr>
              <w:spacing w:after="0"/>
              <w:rPr>
                <w:sz w:val="20"/>
                <w:szCs w:val="20"/>
                <w:color w:val="auto"/>
              </w:rPr>
            </w:pPr>
            <w:r>
              <w:rPr>
                <w:rFonts w:ascii="Courier New" w:cs="Courier New" w:eastAsia="Courier New" w:hAnsi="Courier New"/>
                <w:sz w:val="18"/>
                <w:szCs w:val="18"/>
                <w:color w:val="auto"/>
              </w:rPr>
              <w:t>Vice</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President,</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SRAM Design and</w:t>
            </w:r>
          </w:p>
        </w:tc>
        <w:tc>
          <w:tcPr>
            <w:tcW w:w="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56</w:t>
            </w:r>
          </w:p>
        </w:tc>
        <w:tc>
          <w:tcPr>
            <w:tcW w:w="1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1989</w:t>
            </w:r>
          </w:p>
        </w:tc>
      </w:tr>
      <w:tr>
        <w:trPr>
          <w:trHeight w:val="203"/>
        </w:trPr>
        <w:tc>
          <w:tcPr>
            <w:tcW w:w="2440" w:type="dxa"/>
            <w:vAlign w:val="bottom"/>
          </w:tcPr>
          <w:p>
            <w:pPr>
              <w:spacing w:after="0"/>
              <w:rPr>
                <w:sz w:val="17"/>
                <w:szCs w:val="17"/>
                <w:color w:val="auto"/>
              </w:rPr>
            </w:pPr>
          </w:p>
        </w:tc>
        <w:tc>
          <w:tcPr>
            <w:tcW w:w="40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Product Engineering</w:t>
            </w:r>
          </w:p>
        </w:tc>
        <w:tc>
          <w:tcPr>
            <w:tcW w:w="5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Kipp A. Bedard</w:t>
            </w:r>
          </w:p>
        </w:tc>
        <w:tc>
          <w:tcPr>
            <w:tcW w:w="460" w:type="dxa"/>
            <w:vAlign w:val="bottom"/>
          </w:tcPr>
          <w:p>
            <w:pPr>
              <w:spacing w:after="0"/>
              <w:rPr>
                <w:sz w:val="20"/>
                <w:szCs w:val="20"/>
                <w:color w:val="auto"/>
              </w:rPr>
            </w:pPr>
            <w:r>
              <w:rPr>
                <w:rFonts w:ascii="Courier New" w:cs="Courier New" w:eastAsia="Courier New" w:hAnsi="Courier New"/>
                <w:sz w:val="18"/>
                <w:szCs w:val="18"/>
                <w:color w:val="auto"/>
              </w:rPr>
              <w:t>Vice</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President,</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Corporate Affairs</w:t>
            </w:r>
          </w:p>
        </w:tc>
        <w:tc>
          <w:tcPr>
            <w:tcW w:w="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36</w:t>
            </w:r>
          </w:p>
        </w:tc>
        <w:tc>
          <w:tcPr>
            <w:tcW w:w="1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1990</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Eugene H. Cloud</w:t>
            </w:r>
          </w:p>
        </w:tc>
        <w:tc>
          <w:tcPr>
            <w:tcW w:w="460" w:type="dxa"/>
            <w:vAlign w:val="bottom"/>
          </w:tcPr>
          <w:p>
            <w:pPr>
              <w:spacing w:after="0"/>
              <w:rPr>
                <w:sz w:val="20"/>
                <w:szCs w:val="20"/>
                <w:color w:val="auto"/>
              </w:rPr>
            </w:pPr>
            <w:r>
              <w:rPr>
                <w:rFonts w:ascii="Courier New" w:cs="Courier New" w:eastAsia="Courier New" w:hAnsi="Courier New"/>
                <w:sz w:val="18"/>
                <w:szCs w:val="18"/>
                <w:color w:val="auto"/>
              </w:rPr>
              <w:t>Vice</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President,</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Marketing</w:t>
            </w:r>
          </w:p>
        </w:tc>
        <w:tc>
          <w:tcPr>
            <w:tcW w:w="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53</w:t>
            </w:r>
          </w:p>
        </w:tc>
        <w:tc>
          <w:tcPr>
            <w:tcW w:w="1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1990</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Donald D. Baldwin</w:t>
            </w:r>
          </w:p>
        </w:tc>
        <w:tc>
          <w:tcPr>
            <w:tcW w:w="460" w:type="dxa"/>
            <w:vAlign w:val="bottom"/>
          </w:tcPr>
          <w:p>
            <w:pPr>
              <w:spacing w:after="0"/>
              <w:rPr>
                <w:sz w:val="20"/>
                <w:szCs w:val="20"/>
                <w:color w:val="auto"/>
              </w:rPr>
            </w:pPr>
            <w:r>
              <w:rPr>
                <w:rFonts w:ascii="Courier New" w:cs="Courier New" w:eastAsia="Courier New" w:hAnsi="Courier New"/>
                <w:sz w:val="18"/>
                <w:szCs w:val="18"/>
                <w:color w:val="auto"/>
              </w:rPr>
              <w:t>Vice</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President,</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Sales</w:t>
            </w:r>
          </w:p>
        </w:tc>
        <w:tc>
          <w:tcPr>
            <w:tcW w:w="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35</w:t>
            </w:r>
          </w:p>
        </w:tc>
        <w:tc>
          <w:tcPr>
            <w:tcW w:w="1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1991</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Nancy M. Self</w:t>
            </w:r>
          </w:p>
        </w:tc>
        <w:tc>
          <w:tcPr>
            <w:tcW w:w="460" w:type="dxa"/>
            <w:vAlign w:val="bottom"/>
          </w:tcPr>
          <w:p>
            <w:pPr>
              <w:spacing w:after="0"/>
              <w:rPr>
                <w:sz w:val="20"/>
                <w:szCs w:val="20"/>
                <w:color w:val="auto"/>
              </w:rPr>
            </w:pPr>
            <w:r>
              <w:rPr>
                <w:rFonts w:ascii="Courier New" w:cs="Courier New" w:eastAsia="Courier New" w:hAnsi="Courier New"/>
                <w:sz w:val="18"/>
                <w:szCs w:val="18"/>
                <w:color w:val="auto"/>
              </w:rPr>
              <w:t>Vice</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President,</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Administration</w:t>
            </w:r>
          </w:p>
        </w:tc>
        <w:tc>
          <w:tcPr>
            <w:tcW w:w="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41</w:t>
            </w:r>
          </w:p>
        </w:tc>
        <w:tc>
          <w:tcPr>
            <w:tcW w:w="1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1993</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W. Bryan Farney</w:t>
            </w:r>
          </w:p>
        </w:tc>
        <w:tc>
          <w:tcPr>
            <w:tcW w:w="460" w:type="dxa"/>
            <w:vAlign w:val="bottom"/>
          </w:tcPr>
          <w:p>
            <w:pPr>
              <w:spacing w:after="0"/>
              <w:rPr>
                <w:sz w:val="20"/>
                <w:szCs w:val="20"/>
                <w:color w:val="auto"/>
              </w:rPr>
            </w:pPr>
            <w:r>
              <w:rPr>
                <w:rFonts w:ascii="Courier New" w:cs="Courier New" w:eastAsia="Courier New" w:hAnsi="Courier New"/>
                <w:sz w:val="18"/>
                <w:szCs w:val="18"/>
                <w:color w:val="auto"/>
              </w:rPr>
              <w:t>Vice</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President,</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Legal Affairs and</w:t>
            </w:r>
          </w:p>
        </w:tc>
        <w:tc>
          <w:tcPr>
            <w:tcW w:w="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35</w:t>
            </w:r>
          </w:p>
        </w:tc>
        <w:tc>
          <w:tcPr>
            <w:tcW w:w="1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1995</w:t>
            </w:r>
          </w:p>
        </w:tc>
      </w:tr>
    </w:tbl>
    <w:p>
      <w:pPr>
        <w:ind w:left="2540"/>
        <w:spacing w:after="0" w:line="238" w:lineRule="auto"/>
        <w:rPr>
          <w:sz w:val="20"/>
          <w:szCs w:val="20"/>
          <w:color w:val="auto"/>
        </w:rPr>
      </w:pPr>
      <w:r>
        <w:rPr>
          <w:rFonts w:ascii="Courier New" w:cs="Courier New" w:eastAsia="Courier New" w:hAnsi="Courier New"/>
          <w:sz w:val="18"/>
          <w:szCs w:val="18"/>
          <w:color w:val="auto"/>
        </w:rPr>
        <w:t>General Counsel</w:t>
      </w:r>
    </w:p>
    <w:p>
      <w:pPr>
        <w:sectPr>
          <w:pgSz w:w="11900" w:h="16838" w:orient="portrait"/>
          <w:cols w:equalWidth="0" w:num="1">
            <w:col w:w="10219"/>
          </w:cols>
          <w:pgMar w:left="240" w:top="717"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Background of Executive Officers</w:t>
      </w:r>
    </w:p>
    <w:p>
      <w:pPr>
        <w:spacing w:after="0" w:line="207" w:lineRule="exact"/>
        <w:rPr>
          <w:sz w:val="20"/>
          <w:szCs w:val="20"/>
          <w:color w:val="auto"/>
        </w:rPr>
      </w:pPr>
    </w:p>
    <w:p>
      <w:pPr>
        <w:ind w:right="2619" w:firstLine="527"/>
        <w:spacing w:after="0" w:line="238" w:lineRule="auto"/>
        <w:rPr>
          <w:sz w:val="20"/>
          <w:szCs w:val="20"/>
          <w:color w:val="auto"/>
        </w:rPr>
      </w:pPr>
      <w:r>
        <w:rPr>
          <w:rFonts w:ascii="Courier New" w:cs="Courier New" w:eastAsia="Courier New" w:hAnsi="Courier New"/>
          <w:sz w:val="18"/>
          <w:szCs w:val="18"/>
          <w:color w:val="auto"/>
        </w:rPr>
        <w:t>Steven R. Appleton joined Micron Technology, Inc., in February 1983 and served in various manufacturing management positions until April 1988 when he was named Director of Manufacturing. He was appointed Vice President, Manufacturing in August 1989 and served in that position until April 1991 when he was appointed President and Chief Operating Officer of Micron Technology, Inc. He was elected to the Board of Directors in April 1991. Mr. Appleton served in these positions until July 1992, when he assumed responsibilities as Chairman of the Board, President, and Chief Executive Officer for Micron Semiconductor, Inc. In May 1994, Mr. Appleton was re-elected to the Board of Directors of Micron Technology, Inc. In September 1994, Mr. Appleton was named Chairman, Chief Executive Officer, and President for Micron Technology, Inc.</w:t>
      </w:r>
    </w:p>
    <w:p>
      <w:pPr>
        <w:spacing w:after="0" w:line="207"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Tyler A. Lowrey joined Micron Technology, Inc., in July 1984 as a senior process engineer. In March 1986, he became a Process Research and Development/Device Group Manager and was promoted to Vice President, Process Research and Development, and Assistant Technical Officer in September 1986. In April 1990, he was named Vice President, Research and Development. Mr. Lowrey was appointed to the Board of Directors of Micron Technology, Inc., in August 1990. Mr. Lowrey served in these positions until July 1992, when he was elected to the Board of Directors of Micron Semiconductor, Inc. and named that company's Vice President, Chief Technical Officer. In September 1994, Mr. Lowrey was re-elected to the Board of Directors of Micron Technology, Inc. and named Vice Chairman and Chief Technical Officer for Micron Technology, Inc.</w:t>
      </w:r>
    </w:p>
    <w:p>
      <w:pPr>
        <w:spacing w:after="0" w:line="207" w:lineRule="exact"/>
        <w:rPr>
          <w:sz w:val="20"/>
          <w:szCs w:val="20"/>
          <w:color w:val="auto"/>
        </w:rPr>
      </w:pPr>
    </w:p>
    <w:p>
      <w:pPr>
        <w:ind w:right="2839" w:firstLine="527"/>
        <w:spacing w:after="0" w:line="270" w:lineRule="auto"/>
        <w:rPr>
          <w:sz w:val="20"/>
          <w:szCs w:val="20"/>
          <w:color w:val="auto"/>
        </w:rPr>
      </w:pPr>
      <w:r>
        <w:rPr>
          <w:rFonts w:ascii="Courier New" w:cs="Courier New" w:eastAsia="Courier New" w:hAnsi="Courier New"/>
          <w:sz w:val="16"/>
          <w:szCs w:val="16"/>
          <w:color w:val="auto"/>
        </w:rPr>
        <w:t>Wilbur G. Stover, Jr. joined Micron Technology, Inc., in June 1989 as an accounting manager. In February 1990, Mr. Stover was named Controller where he served until July 1992 when he was named Vice President, Finance, and Chief Financial Officer of Micron Semiconductor, Inc. Mr. Stover served in this position until September 1994, when he was named Chief Financial Officer, Vice President Finance, and Treasurer for Micron Technology, Inc. He was elected to the Board of Directors in October 1994. In November 1994, he was named Chief Financial Officer, and Vice President, Finance and served in that position until April 1995, when he was named Chief Financial Officer, Vice President, Finance, and Corporate Secretary.</w:t>
      </w:r>
    </w:p>
    <w:p>
      <w:pPr>
        <w:spacing w:after="0" w:line="392"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Edward J. Heitzeberg joined Micron Technology, Inc., in January 1984 as Information Systems Manager. In March 1986, he became Senior Staff Engineer and served in that capacity until June 1986, when he was</w:t>
      </w:r>
    </w:p>
    <w:p>
      <w:pPr>
        <w:spacing w:after="0" w:line="6"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named Vice President, Quality. Mr. Heitzeberg served in this position until July 1992, when he was named Vice President, Quality for Micron Semiconductor, Inc. In November 1994, Mr. Heitzeberg was named Vice President, Quality for Micron Technology, Inc. In October 1995, Mr. Heitzeberg was named Vice President, DRAM Design and Product Engineering.</w:t>
      </w:r>
    </w:p>
    <w:p>
      <w:pPr>
        <w:spacing w:after="0" w:line="210"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Thomas M. Trent joined Micron Technology, Inc., in July 1980 as a senior design engineer. From August 1986 to April 1990, Mr. Trent served as Vice President, Research and Development, and Chief Technical Officer, at which time he was named Vice President and Manager of DRAM Design. In June 1991, he assumed responsibilities of all DRAM products and was named Vice President and Manager of DRAM Products Group. Mr. Trent served in these positions until July 1992, when he was named Vice President, DRAM Products Group for Micron Semiconductor, Inc. In April 1993, he was named Vice President for Micron Semiconductor, Inc. In November 1994, Mr. Trent was named Vice President for Micron Technology, Inc. In October 1995, Mr. Trent was named Vice President, Computer Aided Design.</w:t>
      </w:r>
    </w:p>
    <w:p>
      <w:pPr>
        <w:spacing w:after="0" w:line="207" w:lineRule="exact"/>
        <w:rPr>
          <w:sz w:val="20"/>
          <w:szCs w:val="20"/>
          <w:color w:val="auto"/>
        </w:rPr>
      </w:pPr>
    </w:p>
    <w:p>
      <w:pPr>
        <w:ind w:right="2519" w:firstLine="527"/>
        <w:spacing w:after="0" w:line="268" w:lineRule="auto"/>
        <w:rPr>
          <w:sz w:val="20"/>
          <w:szCs w:val="20"/>
          <w:color w:val="auto"/>
        </w:rPr>
      </w:pPr>
      <w:r>
        <w:rPr>
          <w:rFonts w:ascii="Courier New" w:cs="Courier New" w:eastAsia="Courier New" w:hAnsi="Courier New"/>
          <w:sz w:val="16"/>
          <w:szCs w:val="16"/>
          <w:color w:val="auto"/>
        </w:rPr>
        <w:t>Robert M. Donnelly joined Micron Technology, Inc., in September 1988 and served in various manufacturing management positions until August 1989, at which time he was appointed Vice President, Business Units.</w:t>
      </w:r>
    </w:p>
    <w:p>
      <w:pPr>
        <w:spacing w:after="0" w:line="1"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From April 1990 to June 1991, Mr. Donnelly served as Vice President and Manager of DRAM Products Group. In June 1991, he was named Vice President and Manager of SRAM Products Group. Mr. Donnelly served in this position until July 1992, when he was named Vice President, SRAM Products Group for Micron Semiconductor, Inc. In November 1994, Mr. Donnelly was named Vice President SRAM Products Group for Micron Technology, Inc. In October 1995, Mr. Donnelly was named Vice President, SRAM Design and Product Engineering.</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Kipp A. Bedard joined Micron Technology, Inc., in November 1983 as</w:t>
      </w:r>
    </w:p>
    <w:p>
      <w:pPr>
        <w:sectPr>
          <w:pgSz w:w="11900" w:h="16838" w:orient="portrait"/>
          <w:cols w:equalWidth="0" w:num="1">
            <w:col w:w="10219"/>
          </w:cols>
          <w:pgMar w:left="240" w:top="717" w:right="1440" w:bottom="0" w:gutter="0" w:footer="0" w:header="0"/>
        </w:sectPr>
      </w:pPr>
    </w:p>
    <w:bookmarkStart w:id="19" w:name="page20"/>
    <w:bookmarkEnd w:id="19"/>
    <w:p>
      <w:pPr>
        <w:ind w:right="2939"/>
        <w:spacing w:after="0" w:line="237" w:lineRule="auto"/>
        <w:rPr>
          <w:sz w:val="20"/>
          <w:szCs w:val="20"/>
          <w:color w:val="auto"/>
        </w:rPr>
      </w:pPr>
      <w:r>
        <w:rPr>
          <w:rFonts w:ascii="Courier New" w:cs="Courier New" w:eastAsia="Courier New" w:hAnsi="Courier New"/>
          <w:sz w:val="18"/>
          <w:szCs w:val="18"/>
          <w:color w:val="auto"/>
        </w:rPr>
        <w:t>an accountant and held various management responsibilities until he was appointed Manager of Corporate Affairs in June 1988. Mr. Bedard held that position until April 1990 when he was named Vice President and Manager of Corporate Affairs. From July 1992 to January 1994, Mr. Bedard served as Vice President, Corporate Affairs for Micron Semiconductor, Inc. In January 1994, he was named Vice President, Corporate Affairs for Micron Technology, Inc.</w:t>
      </w:r>
    </w:p>
    <w:p>
      <w:pPr>
        <w:spacing w:after="0" w:line="211"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Eugene H. Cloud joined Micron Technology, Inc., in January 1985 as an applications engineer. In June 1985, he was named Applications Manager. He served in that position until June 1986, when he was named Marketing Manager. In April 1990, he was named Vice President, Semiconductor Marketing. Mr. Cloud served in this position until July 1992, when he was named Vice President, Marketing for Micron Semiconductor, Inc. In November 1994, Mr. Cloud was named Vice President, Marketing for Micron Technology, Inc.</w:t>
      </w:r>
    </w:p>
    <w:p>
      <w:pPr>
        <w:sectPr>
          <w:pgSz w:w="11900" w:h="16838" w:orient="portrait"/>
          <w:cols w:equalWidth="0" w:num="1">
            <w:col w:w="10219"/>
          </w:cols>
          <w:pgMar w:left="240" w:top="142" w:right="1440" w:bottom="1440" w:gutter="0" w:footer="0" w:header="0"/>
        </w:sectPr>
      </w:pPr>
    </w:p>
    <w:bookmarkStart w:id="20" w:name="page21"/>
    <w:bookmarkEnd w:id="20"/>
    <w:p>
      <w:pPr>
        <w:ind w:right="2619" w:firstLine="527"/>
        <w:spacing w:after="0" w:line="268" w:lineRule="auto"/>
        <w:rPr>
          <w:sz w:val="20"/>
          <w:szCs w:val="20"/>
          <w:color w:val="auto"/>
        </w:rPr>
      </w:pPr>
      <w:r>
        <w:rPr>
          <w:rFonts w:ascii="Courier New" w:cs="Courier New" w:eastAsia="Courier New" w:hAnsi="Courier New"/>
          <w:sz w:val="16"/>
          <w:szCs w:val="16"/>
          <w:color w:val="auto"/>
        </w:rPr>
        <w:t>Donald D. Baldwin joined Micron Technology, Inc., in April 1984 and served in various manufacturing and sales positions until April 1987, when he was named Key Accounts Manager. From April 1990 to May 1991,</w:t>
      </w:r>
    </w:p>
    <w:p>
      <w:pPr>
        <w:spacing w:after="0" w:line="1"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he served as Manager of North American Sales. In May 1991, he was named Vice President, Sales. Mr. Baldwin served in this position until July 1992, when he was named Vice President, Sales for Micron Semiconductor, Inc. In November 1994, Mr. Baldwin was named Vice President, Sales for Micron Technology, Inc.</w:t>
      </w:r>
    </w:p>
    <w:p>
      <w:pPr>
        <w:spacing w:after="0" w:line="209"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Nancy M. Self joined Micron Technology, Inc., in February 1988 as a benefits specialist. In July 1988, she was named Benefits Manager and served in that position until July 1989, when she was named Risk Manager. In March 1993, she was named Vice President, Administration.</w:t>
      </w:r>
    </w:p>
    <w:p>
      <w:pPr>
        <w:spacing w:after="0" w:line="207" w:lineRule="exact"/>
        <w:rPr>
          <w:sz w:val="20"/>
          <w:szCs w:val="20"/>
          <w:color w:val="auto"/>
        </w:rPr>
      </w:pPr>
    </w:p>
    <w:p>
      <w:pPr>
        <w:ind w:right="2739" w:firstLine="527"/>
        <w:spacing w:after="0" w:line="272" w:lineRule="auto"/>
        <w:rPr>
          <w:sz w:val="20"/>
          <w:szCs w:val="20"/>
          <w:color w:val="auto"/>
        </w:rPr>
      </w:pPr>
      <w:r>
        <w:rPr>
          <w:rFonts w:ascii="Courier New" w:cs="Courier New" w:eastAsia="Courier New" w:hAnsi="Courier New"/>
          <w:sz w:val="16"/>
          <w:szCs w:val="16"/>
          <w:color w:val="auto"/>
        </w:rPr>
        <w:t>W. Bryan Farney joined Micron Technology, Inc. in November 1994 as General Counsel for Intellectual Property. In March 1995, he was named General Counsel and served in that position until April 1995 when he was named Vice President, Legal Affairs and General Counsel. Prior to joining the Company, Mr. Farney was a shareholder of the law firm of Arnold, White &amp; Durkee, where he had been employed since October 1987.</w:t>
      </w:r>
    </w:p>
    <w:p>
      <w:pPr>
        <w:spacing w:after="0" w:line="18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Properties</w:t>
      </w:r>
    </w:p>
    <w:p>
      <w:pPr>
        <w:spacing w:after="0" w:line="207"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The Company's principal semiconductor manufacturing, engineering, administrative, and support facilities are located on a 740 acre site in Boise, Idaho. All facilities have been constructed since 1981 and are owned by the Company. The Company has approximately 1.8 million square feet of building space at this primary site. Of the total, approximately 422,000 square feet is production space, 662,000 square feet is facility support space, and 666,000 square feet is office and other space. The Company's PC operations are housed in a 128,000 square foot facility in Nampa, Idaho on approximately 30 acres of land, and in a 234,000 square foot leased facility in Minneapolis, Minnesota. The Company's contract manufacturing operations are located in a 93,000 square foot facility on approximately 5 acres of land in Boise, Idaho, and in a 30,000 square foot leased facility in Durham, North Carolina.</w:t>
      </w:r>
    </w:p>
    <w:p>
      <w:pPr>
        <w:spacing w:after="0" w:line="208"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The Company initiated construction of an approximate 2 million square foot semiconductor memory manufacturing facility in Lehi, Utah. This facility is expected to include wafer fabrication, assembly, test, facility support and administration operations. The cost of the Utah facility is currently estimated to approximate $2.5 billion. Initial wafer fabrication is currently expected in late calendar 1996 with completion between three to five years. Market conditions for semiconductor memory products will effect how quickly the Lehi complex is ramped to full capacity.</w:t>
      </w:r>
    </w:p>
    <w:p>
      <w:pPr>
        <w:spacing w:after="0" w:line="214" w:lineRule="exact"/>
        <w:rPr>
          <w:sz w:val="20"/>
          <w:szCs w:val="20"/>
          <w:color w:val="auto"/>
        </w:rPr>
      </w:pPr>
    </w:p>
    <w:p>
      <w:pPr>
        <w:ind w:right="2619" w:firstLine="527"/>
        <w:spacing w:after="0" w:line="236" w:lineRule="auto"/>
        <w:rPr>
          <w:sz w:val="20"/>
          <w:szCs w:val="20"/>
          <w:color w:val="auto"/>
        </w:rPr>
      </w:pPr>
      <w:r>
        <w:rPr>
          <w:rFonts w:ascii="Courier New" w:cs="Courier New" w:eastAsia="Courier New" w:hAnsi="Courier New"/>
          <w:sz w:val="18"/>
          <w:szCs w:val="18"/>
          <w:color w:val="auto"/>
        </w:rPr>
        <w:t>Equipment with a book value of approximately $67 million is pledged as collateral for outstanding debt and capital leases as of August 31, 1995.</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The Company is a party in various legal actions arising out of the normal course of business, none of which is expected to have a material effect on the Company's financial position or results of operations. See "Item 7. Management's Discussion and Analysis of Financial Condition and Results of Operations - Certain Factors."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There were no matters submitted to a vote of security holders during the fourth quarter of fiscal 1995.</w:t>
      </w:r>
    </w:p>
    <w:p>
      <w:pPr>
        <w:sectPr>
          <w:pgSz w:w="11900" w:h="16838" w:orient="portrait"/>
          <w:cols w:equalWidth="0" w:num="1">
            <w:col w:w="10219"/>
          </w:cols>
          <w:pgMar w:left="240" w:top="723" w:right="1440" w:bottom="1440" w:gutter="0" w:footer="0" w:header="0"/>
        </w:sectPr>
      </w:pPr>
    </w:p>
    <w:bookmarkStart w:id="21" w:name="page22"/>
    <w:bookmarkEnd w:id="21"/>
    <w:p>
      <w:pPr>
        <w:jc w:val="center"/>
        <w:ind w:right="2719"/>
        <w:spacing w:after="0"/>
        <w:rPr>
          <w:sz w:val="20"/>
          <w:szCs w:val="20"/>
          <w:color w:val="auto"/>
        </w:rPr>
      </w:pPr>
      <w:r>
        <w:rPr>
          <w:rFonts w:ascii="Courier New" w:cs="Courier New" w:eastAsia="Courier New" w:hAnsi="Courier New"/>
          <w:sz w:val="18"/>
          <w:szCs w:val="18"/>
          <w:color w:val="auto"/>
        </w:rPr>
        <w:t>PART II</w:t>
      </w:r>
    </w:p>
    <w:p>
      <w:pPr>
        <w:spacing w:after="0" w:line="207" w:lineRule="exact"/>
        <w:rPr>
          <w:sz w:val="20"/>
          <w:szCs w:val="20"/>
          <w:color w:val="auto"/>
        </w:rPr>
      </w:pPr>
    </w:p>
    <w:p>
      <w:pPr>
        <w:ind w:left="860" w:right="2939" w:hanging="842"/>
        <w:spacing w:after="0" w:line="235" w:lineRule="auto"/>
        <w:rPr>
          <w:sz w:val="20"/>
          <w:szCs w:val="20"/>
          <w:color w:val="auto"/>
        </w:rPr>
      </w:pPr>
      <w:r>
        <w:rPr>
          <w:rFonts w:ascii="Courier New" w:cs="Courier New" w:eastAsia="Courier New" w:hAnsi="Courier New"/>
          <w:sz w:val="18"/>
          <w:szCs w:val="18"/>
          <w:color w:val="auto"/>
        </w:rPr>
        <w:t>Item 5. Market for Registrant's Common Equity and Related Stockholder Matters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for Common Stock</w:t>
      </w:r>
    </w:p>
    <w:p>
      <w:pPr>
        <w:spacing w:after="0" w:line="207"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Micron Technology, Inc.'s common stock is listed on the New York Stock Exchange and is traded under the symbol MU. The following table represents the high and low sales prices for the Company's common stock for each quarter of fiscal 1995 and 1994, as reported by The Wall Street Journal. All stock prices have been restated to reflect a 2 for 1 stock split (to shareholders of record as of May 4, 1995) and a 5 for 2 stock split (to shareholders of record as of April 1, 1994) effected in the form of a stock dividend.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3160" w:type="dxa"/>
        <w:tblCellMar>
          <w:top w:w="0" w:type="dxa"/>
          <w:left w:w="0" w:type="dxa"/>
          <w:bottom w:w="0" w:type="dxa"/>
          <w:right w:w="0" w:type="dxa"/>
        </w:tblCellMar>
      </w:tblPr>
      <w:tr>
        <w:trPr>
          <w:trHeight w:val="204"/>
        </w:trPr>
        <w:tc>
          <w:tcPr>
            <w:tcW w:w="1960" w:type="dxa"/>
            <w:vAlign w:val="bottom"/>
          </w:tcPr>
          <w:p>
            <w:pPr>
              <w:spacing w:after="0"/>
              <w:rPr>
                <w:sz w:val="17"/>
                <w:szCs w:val="17"/>
                <w:color w:val="auto"/>
              </w:rPr>
            </w:pP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High</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Low</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1995:</w:t>
            </w: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05"/>
        </w:trPr>
        <w:tc>
          <w:tcPr>
            <w:tcW w:w="1960" w:type="dxa"/>
            <w:vAlign w:val="bottom"/>
          </w:tcPr>
          <w:p>
            <w:pPr>
              <w:ind w:left="640"/>
              <w:spacing w:after="0"/>
              <w:rPr>
                <w:sz w:val="20"/>
                <w:szCs w:val="20"/>
                <w:color w:val="auto"/>
              </w:rPr>
            </w:pPr>
            <w:r>
              <w:rPr>
                <w:rFonts w:ascii="Courier New" w:cs="Courier New" w:eastAsia="Courier New" w:hAnsi="Courier New"/>
                <w:sz w:val="18"/>
                <w:szCs w:val="18"/>
                <w:color w:val="auto"/>
              </w:rPr>
              <w:t>4th quarter</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$78.00</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$44.75</w:t>
            </w:r>
          </w:p>
        </w:tc>
      </w:tr>
      <w:tr>
        <w:trPr>
          <w:trHeight w:val="203"/>
        </w:trPr>
        <w:tc>
          <w:tcPr>
            <w:tcW w:w="1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3rd quarter</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50.75</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32.56</w:t>
            </w:r>
          </w:p>
        </w:tc>
      </w:tr>
      <w:tr>
        <w:trPr>
          <w:trHeight w:val="203"/>
        </w:trPr>
        <w:tc>
          <w:tcPr>
            <w:tcW w:w="1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2nd quarter</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33.13</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1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1st quarter</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21.63</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15.25</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1994:</w:t>
            </w: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1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4th quarter</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$22.44</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$15.31</w:t>
            </w:r>
          </w:p>
        </w:tc>
      </w:tr>
      <w:tr>
        <w:trPr>
          <w:trHeight w:val="203"/>
        </w:trPr>
        <w:tc>
          <w:tcPr>
            <w:tcW w:w="1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3rd quarter</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19.95</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14.13</w:t>
            </w:r>
          </w:p>
        </w:tc>
      </w:tr>
      <w:tr>
        <w:trPr>
          <w:trHeight w:val="203"/>
        </w:trPr>
        <w:tc>
          <w:tcPr>
            <w:tcW w:w="1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2nd quarter</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15.30</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8.73</w:t>
            </w:r>
          </w:p>
        </w:tc>
      </w:tr>
      <w:tr>
        <w:trPr>
          <w:trHeight w:val="203"/>
        </w:trPr>
        <w:tc>
          <w:tcPr>
            <w:tcW w:w="1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1st quarter</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12.73</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7.58</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Holders of Record</w:t>
      </w:r>
    </w:p>
    <w:p>
      <w:pPr>
        <w:spacing w:after="0" w:line="207"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As of August 31, 1995, there were 5,649 shareholders of record of the Company's Common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The Company declared and paid cash dividends totaling $0.15 during fiscal 1995, $0.06 in fiscal 1994 and $0.01 in fiscal 1993. Future dividends, if any, will vary depending on the Company's profitability and anticipated capital requirements.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Selected Financial Data</w:t>
      </w:r>
    </w:p>
    <w:p>
      <w:pPr>
        <w:spacing w:after="0" w:line="238" w:lineRule="auto"/>
        <w:rPr>
          <w:sz w:val="20"/>
          <w:szCs w:val="20"/>
          <w:color w:val="auto"/>
        </w:rPr>
      </w:pPr>
      <w:r>
        <w:rPr>
          <w:rFonts w:ascii="Courier New" w:cs="Courier New" w:eastAsia="Courier New" w:hAnsi="Courier New"/>
          <w:sz w:val="18"/>
          <w:szCs w:val="18"/>
          <w:color w:val="auto"/>
        </w:rPr>
        <w:t>(Amounts in millions, except for per share amounts)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17"/>
                <w:szCs w:val="17"/>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1995</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1994</w:t>
            </w:r>
          </w:p>
        </w:tc>
        <w:tc>
          <w:tcPr>
            <w:tcW w:w="10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1993</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1992</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1991</w:t>
            </w:r>
          </w:p>
        </w:tc>
      </w:tr>
      <w:tr>
        <w:trPr>
          <w:trHeight w:val="203"/>
        </w:trPr>
        <w:tc>
          <w:tcPr>
            <w:tcW w:w="25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$2,952.7</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$1,628.6</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$828.3</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$506.3</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$425.4</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1,624.0</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839.2</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311.1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116.0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92.7</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1,296.5</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620.1</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165.9</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13.7</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844.1</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400.5</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104.1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Fully diluted earnings</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share</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3.90</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0.51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0.03</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Cash dividend declared</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share</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0.15</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0.06</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1,274.1</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793.2</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440.1</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227.0</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213.2</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plant and</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equipment, net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1,385.6</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663.5</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437.8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396.3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389.3</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2,774.9</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1,529.7</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965.7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724.5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705.9</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604.8</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274.2</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210.8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106.1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98.0</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129.4</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124.7</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61.5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69.6</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1,896.2</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1,049.3</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639.5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511.2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494.8</w:t>
            </w:r>
          </w:p>
        </w:tc>
      </w:tr>
    </w:tbl>
    <w:p>
      <w:pPr>
        <w:spacing w:after="0" w:line="200" w:lineRule="exact"/>
        <w:rPr>
          <w:sz w:val="20"/>
          <w:szCs w:val="20"/>
          <w:color w:val="auto"/>
        </w:rPr>
      </w:pPr>
    </w:p>
    <w:p>
      <w:pPr>
        <w:spacing w:after="0" w:line="209"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See "Item 7. Management's Discussion and Analysis of Financial Condition and Results of Operations - Certain Factors."</w:t>
      </w:r>
    </w:p>
    <w:p>
      <w:pPr>
        <w:sectPr>
          <w:pgSz w:w="11900" w:h="16838" w:orient="portrait"/>
          <w:cols w:equalWidth="0" w:num="1">
            <w:col w:w="10219"/>
          </w:cols>
          <w:pgMar w:left="240" w:top="514" w:right="1440" w:bottom="527" w:gutter="0" w:footer="0" w:header="0"/>
        </w:sectPr>
      </w:pPr>
    </w:p>
    <w:bookmarkStart w:id="22" w:name="page23"/>
    <w:bookmarkEnd w:id="22"/>
    <w:p>
      <w:pPr>
        <w:ind w:right="3039"/>
        <w:spacing w:after="0" w:line="235" w:lineRule="auto"/>
        <w:rPr>
          <w:sz w:val="20"/>
          <w:szCs w:val="20"/>
          <w:color w:val="auto"/>
        </w:rPr>
      </w:pPr>
      <w:r>
        <w:rPr>
          <w:rFonts w:ascii="Courier New" w:cs="Courier New" w:eastAsia="Courier New" w:hAnsi="Courier New"/>
          <w:sz w:val="18"/>
          <w:szCs w:val="18"/>
          <w:color w:val="auto"/>
        </w:rPr>
        <w:t>Item 7. Management's Discussion and Analysis of Financial Condition and Results of Operations</w:t>
      </w:r>
    </w:p>
    <w:p>
      <w:pPr>
        <w:spacing w:after="0" w:line="208" w:lineRule="exact"/>
        <w:rPr>
          <w:sz w:val="20"/>
          <w:szCs w:val="20"/>
          <w:color w:val="auto"/>
        </w:rPr>
      </w:pPr>
    </w:p>
    <w:p>
      <w:pPr>
        <w:ind w:right="2519" w:firstLine="527"/>
        <w:spacing w:after="0" w:line="268" w:lineRule="auto"/>
        <w:rPr>
          <w:sz w:val="20"/>
          <w:szCs w:val="20"/>
          <w:color w:val="auto"/>
        </w:rPr>
      </w:pPr>
      <w:r>
        <w:rPr>
          <w:rFonts w:ascii="Courier New" w:cs="Courier New" w:eastAsia="Courier New" w:hAnsi="Courier New"/>
          <w:sz w:val="16"/>
          <w:szCs w:val="16"/>
          <w:color w:val="auto"/>
        </w:rPr>
        <w:t>All yearly references are to the Company's fiscal years ended August 31, 1995, September 1, 1994, or September 2, 1993, unless otherwise indicated. Shares and per share amounts have been restated to reflect</w:t>
      </w:r>
    </w:p>
    <w:p>
      <w:pPr>
        <w:spacing w:after="0" w:line="1" w:lineRule="exact"/>
        <w:rPr>
          <w:sz w:val="20"/>
          <w:szCs w:val="20"/>
          <w:color w:val="auto"/>
        </w:rPr>
      </w:pPr>
    </w:p>
    <w:p>
      <w:pPr>
        <w:jc w:val="both"/>
        <w:ind w:right="3159"/>
        <w:spacing w:after="0" w:line="268" w:lineRule="auto"/>
        <w:rPr>
          <w:sz w:val="20"/>
          <w:szCs w:val="20"/>
          <w:color w:val="auto"/>
        </w:rPr>
      </w:pPr>
      <w:r>
        <w:rPr>
          <w:rFonts w:ascii="Courier New" w:cs="Courier New" w:eastAsia="Courier New" w:hAnsi="Courier New"/>
          <w:sz w:val="16"/>
          <w:szCs w:val="16"/>
          <w:color w:val="auto"/>
        </w:rPr>
        <w:t>a 2 for 1 stock split (to shareholders of record as of May 4, 1995) and a 5 for 2 stock split (to shareholders of record as of April 1,</w:t>
      </w:r>
    </w:p>
    <w:p>
      <w:pPr>
        <w:ind w:right="2319"/>
        <w:spacing w:after="0" w:line="235" w:lineRule="auto"/>
        <w:rPr>
          <w:sz w:val="20"/>
          <w:szCs w:val="20"/>
          <w:color w:val="auto"/>
        </w:rPr>
      </w:pPr>
      <w:r>
        <w:rPr>
          <w:rFonts w:ascii="Courier New" w:cs="Courier New" w:eastAsia="Courier New" w:hAnsi="Courier New"/>
          <w:sz w:val="18"/>
          <w:szCs w:val="18"/>
          <w:color w:val="auto"/>
        </w:rPr>
        <w:t>1994) effected in the form of a stock dividend. All tabular dollar amounts are stated in millions.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2839" w:firstLine="527"/>
        <w:spacing w:after="0" w:line="272" w:lineRule="auto"/>
        <w:rPr>
          <w:sz w:val="20"/>
          <w:szCs w:val="20"/>
          <w:color w:val="auto"/>
        </w:rPr>
      </w:pPr>
      <w:r>
        <w:rPr>
          <w:rFonts w:ascii="Courier New" w:cs="Courier New" w:eastAsia="Courier New" w:hAnsi="Courier New"/>
          <w:sz w:val="16"/>
          <w:szCs w:val="16"/>
          <w:color w:val="auto"/>
        </w:rPr>
        <w:t>Net income for 1995 was $844 million, or $3.90 per fully diluted share, on net sales of $2,953 million. The Company achieved record sales and net income in 1995 primarily as a result of continued stable pricing and increased production of semiconductor memory and increased sales of PC systems. Net income for 1994 was $401 million, or $1.90 per fully diluted share, on net sales of $1,629 million.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The following table presents the Company's net sales by related products or services. The value of the Company's semiconductor memory products included in PC systems and other products is included in the caption "Semiconductor memory products." The caption "Other" includes revenue from contract manufacturing and module assembly services, construction management services, government contracts, and licensing fees.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jc w:val="right"/>
              <w:ind w:right="712"/>
              <w:spacing w:after="0"/>
              <w:rPr>
                <w:sz w:val="20"/>
                <w:szCs w:val="20"/>
                <w:color w:val="auto"/>
              </w:rPr>
            </w:pPr>
            <w:r>
              <w:rPr>
                <w:rFonts w:ascii="Courier New" w:cs="Courier New" w:eastAsia="Courier New" w:hAnsi="Courier New"/>
                <w:sz w:val="18"/>
                <w:szCs w:val="18"/>
                <w:color w:val="auto"/>
                <w:w w:val="92"/>
              </w:rPr>
              <w:t>1995</w:t>
            </w:r>
          </w:p>
        </w:tc>
        <w:tc>
          <w:tcPr>
            <w:tcW w:w="2220" w:type="dxa"/>
            <w:vAlign w:val="bottom"/>
            <w:gridSpan w:val="2"/>
          </w:tcPr>
          <w:p>
            <w:pPr>
              <w:jc w:val="right"/>
              <w:ind w:right="812"/>
              <w:spacing w:after="0"/>
              <w:rPr>
                <w:sz w:val="20"/>
                <w:szCs w:val="20"/>
                <w:color w:val="auto"/>
              </w:rPr>
            </w:pPr>
            <w:r>
              <w:rPr>
                <w:rFonts w:ascii="Courier New" w:cs="Courier New" w:eastAsia="Courier New" w:hAnsi="Courier New"/>
                <w:sz w:val="18"/>
                <w:szCs w:val="18"/>
                <w:color w:val="auto"/>
              </w:rPr>
              <w:t>1994</w:t>
            </w:r>
          </w:p>
        </w:tc>
        <w:tc>
          <w:tcPr>
            <w:tcW w:w="360" w:type="dxa"/>
            <w:vAlign w:val="bottom"/>
          </w:tcPr>
          <w:p>
            <w:pPr>
              <w:spacing w:after="0"/>
              <w:rPr>
                <w:sz w:val="17"/>
                <w:szCs w:val="17"/>
                <w:color w:val="auto"/>
              </w:rPr>
            </w:pPr>
          </w:p>
        </w:tc>
        <w:tc>
          <w:tcPr>
            <w:tcW w:w="1800" w:type="dxa"/>
            <w:vAlign w:val="bottom"/>
            <w:gridSpan w:val="2"/>
          </w:tcPr>
          <w:p>
            <w:pPr>
              <w:jc w:val="right"/>
              <w:ind w:right="872"/>
              <w:spacing w:after="0"/>
              <w:rPr>
                <w:sz w:val="20"/>
                <w:szCs w:val="20"/>
                <w:color w:val="auto"/>
              </w:rPr>
            </w:pPr>
            <w:r>
              <w:rPr>
                <w:rFonts w:ascii="Courier New" w:cs="Courier New" w:eastAsia="Courier New" w:hAnsi="Courier New"/>
                <w:sz w:val="18"/>
                <w:szCs w:val="18"/>
                <w:color w:val="auto"/>
              </w:rPr>
              <w:t>1993</w:t>
            </w:r>
          </w:p>
        </w:tc>
      </w:tr>
      <w:tr>
        <w:trPr>
          <w:trHeight w:val="203"/>
        </w:trPr>
        <w:tc>
          <w:tcPr>
            <w:tcW w:w="1800" w:type="dxa"/>
            <w:vAlign w:val="bottom"/>
          </w:tcPr>
          <w:p>
            <w:pPr>
              <w:spacing w:after="0"/>
              <w:rPr>
                <w:sz w:val="17"/>
                <w:szCs w:val="17"/>
                <w:color w:val="auto"/>
              </w:rPr>
            </w:pP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2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1800" w:type="dxa"/>
            <w:vAlign w:val="bottom"/>
          </w:tcPr>
          <w:p>
            <w:pPr>
              <w:spacing w:after="0"/>
              <w:rPr>
                <w:sz w:val="17"/>
                <w:szCs w:val="17"/>
                <w:color w:val="auto"/>
              </w:rPr>
            </w:pP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Net Sales % of Total</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Sales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of Total</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Net Sales</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of Total</w:t>
            </w:r>
          </w:p>
        </w:tc>
      </w:tr>
      <w:tr>
        <w:trPr>
          <w:trHeight w:val="203"/>
        </w:trPr>
        <w:tc>
          <w:tcPr>
            <w:tcW w:w="18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Semiconductor</w:t>
            </w: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memory products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$2,287.0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$1,367.5</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736.6</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Personal computer</w:t>
            </w: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systems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429.1</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73.7</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3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20.6</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236.6</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187.4</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c>
          <w:tcPr>
            <w:tcW w:w="3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71.1</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8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net sales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$2,952.7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$1,628.6</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828.3</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1800" w:type="dxa"/>
            <w:vAlign w:val="bottom"/>
          </w:tcPr>
          <w:p>
            <w:pPr>
              <w:spacing w:after="0"/>
              <w:rPr>
                <w:sz w:val="17"/>
                <w:szCs w:val="17"/>
                <w:color w:val="auto"/>
              </w:rPr>
            </w:pP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16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1995</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Change</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1994</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Change</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1993</w:t>
            </w:r>
          </w:p>
        </w:tc>
      </w:tr>
      <w:tr>
        <w:trPr>
          <w:trHeight w:val="203"/>
        </w:trPr>
        <w:tc>
          <w:tcPr>
            <w:tcW w:w="1540" w:type="dxa"/>
            <w:vAlign w:val="bottom"/>
          </w:tcPr>
          <w:p>
            <w:pPr>
              <w:spacing w:after="0"/>
              <w:rPr>
                <w:sz w:val="17"/>
                <w:szCs w:val="17"/>
                <w:color w:val="auto"/>
              </w:rPr>
            </w:pP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6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$2,952.7</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81.3%</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$1,628.6</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96.6%</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$828.3</w:t>
            </w:r>
          </w:p>
        </w:tc>
      </w:tr>
    </w:tbl>
    <w:p>
      <w:pPr>
        <w:spacing w:after="0" w:line="200" w:lineRule="exact"/>
        <w:rPr>
          <w:sz w:val="20"/>
          <w:szCs w:val="20"/>
          <w:color w:val="auto"/>
        </w:rPr>
      </w:pPr>
    </w:p>
    <w:p>
      <w:pPr>
        <w:spacing w:after="0" w:line="209" w:lineRule="exact"/>
        <w:rPr>
          <w:sz w:val="20"/>
          <w:szCs w:val="20"/>
          <w:color w:val="auto"/>
        </w:rPr>
      </w:pPr>
    </w:p>
    <w:p>
      <w:pPr>
        <w:ind w:right="2739" w:firstLine="527"/>
        <w:spacing w:after="0" w:line="238" w:lineRule="auto"/>
        <w:rPr>
          <w:sz w:val="20"/>
          <w:szCs w:val="20"/>
          <w:color w:val="auto"/>
        </w:rPr>
      </w:pPr>
      <w:r>
        <w:rPr>
          <w:rFonts w:ascii="Courier New" w:cs="Courier New" w:eastAsia="Courier New" w:hAnsi="Courier New"/>
          <w:sz w:val="18"/>
          <w:szCs w:val="18"/>
          <w:color w:val="auto"/>
        </w:rPr>
        <w:t>The substantial increase in net sales in 1995 compared to 1994 was principally due to increased production and current favorable market conditions for the Company's semiconductor memory products, in particular the 4 Meg DRAM, and a higher level of net sales of PC systems. Although the volume of wafers produced during 1995 increased only moderately compared to 1994, total megabits produced increased approximately 74% principally due to ongoing transitions to successive shrink versions of existing memory products, particularly the 4 Meg DRAM, shift in the Company's mix of semiconductor memory products to a higher average density, and enhanced yields on existing memory products. Demand for the 4 Meg DRAM remained strong and prices remained stable for the Company's DRAM products during 1995. The relatively stable prices for the Company's DRAM products over the past three years represents a deviation from the historical long-term trend of declining DRAM prices per megabit. While current demand appears to be in excess of world-wide supply, the Company is unable to predict if, or when, a combination of product shrinks, yield improvements, and capacity expansions will allow world-wide supply to equal or exceed demand, or to predict changes in demand and the corresponding effects on pricing for the Company's products.</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Company's principal product in 1995 was the 4 Meg DRAM which</w:t>
      </w:r>
    </w:p>
    <w:p>
      <w:pPr>
        <w:sectPr>
          <w:pgSz w:w="11900" w:h="16838" w:orient="portrait"/>
          <w:cols w:equalWidth="0" w:num="1">
            <w:col w:w="10219"/>
          </w:cols>
          <w:pgMar w:left="240" w:top="925" w:right="1440" w:bottom="0" w:gutter="0" w:footer="0" w:header="0"/>
        </w:sectPr>
      </w:pPr>
    </w:p>
    <w:bookmarkStart w:id="23" w:name="page24"/>
    <w:bookmarkEnd w:id="23"/>
    <w:p>
      <w:pPr>
        <w:ind w:right="2839"/>
        <w:spacing w:after="0" w:line="237" w:lineRule="auto"/>
        <w:rPr>
          <w:sz w:val="20"/>
          <w:szCs w:val="20"/>
          <w:color w:val="auto"/>
        </w:rPr>
      </w:pPr>
      <w:r>
        <w:rPr>
          <w:rFonts w:ascii="Courier New" w:cs="Courier New" w:eastAsia="Courier New" w:hAnsi="Courier New"/>
          <w:sz w:val="18"/>
          <w:szCs w:val="18"/>
          <w:color w:val="auto"/>
        </w:rPr>
        <w:t>comprised approximately 83% of the net sales of the semiconductor memory products, and 64% of total net sales. SRAM net sales were higher in 1995 as compared to 1994, but declined as a percentage of net sales of semiconductor memory products to approximately 8% in 1995 due to the Company's production emphasis on the 4 Meg DRAM. SRAM net sales were 10% and 16% of net sales of semiconductor products in 1994 and 1993, respectively.</w:t>
      </w:r>
    </w:p>
    <w:p>
      <w:pPr>
        <w:spacing w:after="0" w:line="211" w:lineRule="exact"/>
        <w:rPr>
          <w:sz w:val="20"/>
          <w:szCs w:val="20"/>
          <w:color w:val="auto"/>
        </w:rPr>
      </w:pPr>
    </w:p>
    <w:p>
      <w:pPr>
        <w:ind w:right="2939" w:firstLine="527"/>
        <w:spacing w:after="0" w:line="237" w:lineRule="auto"/>
        <w:rPr>
          <w:sz w:val="20"/>
          <w:szCs w:val="20"/>
          <w:color w:val="auto"/>
        </w:rPr>
      </w:pPr>
      <w:r>
        <w:rPr>
          <w:rFonts w:ascii="Courier New" w:cs="Courier New" w:eastAsia="Courier New" w:hAnsi="Courier New"/>
          <w:sz w:val="18"/>
          <w:szCs w:val="18"/>
          <w:color w:val="auto"/>
        </w:rPr>
        <w:t>Net sales of PC systems, less the value of the Company's semiconductor memory included therein, increased to approximately 15% of the Company's total net sales for 1995 from 5% and 2% in 1994 and 1993, respectively. PC sales increased principally</w:t>
      </w:r>
    </w:p>
    <w:p>
      <w:pPr>
        <w:sectPr>
          <w:pgSz w:w="11900" w:h="16838" w:orient="portrait"/>
          <w:cols w:equalWidth="0" w:num="1">
            <w:col w:w="10219"/>
          </w:cols>
          <w:pgMar w:left="240" w:top="142" w:right="1440" w:bottom="1440" w:gutter="0" w:footer="0" w:header="0"/>
        </w:sectPr>
      </w:pPr>
    </w:p>
    <w:bookmarkStart w:id="24" w:name="page25"/>
    <w:bookmarkEnd w:id="24"/>
    <w:p>
      <w:pPr>
        <w:ind w:right="2519"/>
        <w:spacing w:after="0" w:line="237" w:lineRule="auto"/>
        <w:rPr>
          <w:sz w:val="20"/>
          <w:szCs w:val="20"/>
          <w:color w:val="auto"/>
        </w:rPr>
      </w:pPr>
      <w:r>
        <w:rPr>
          <w:rFonts w:ascii="Courier New" w:cs="Courier New" w:eastAsia="Courier New" w:hAnsi="Courier New"/>
          <w:sz w:val="18"/>
          <w:szCs w:val="18"/>
          <w:color w:val="auto"/>
        </w:rPr>
        <w:t>due to increased demand for the Company's PC systems as a result of greater brand name recognition and market acceptance of such products. Increased brand name recognition and market acceptance resulted primarily from the receipt of a number of awards from computer trade magazines relating to performance characteristics of its systems and increased advertising expenditures. In addition, approximately 22% of the Company's PC sales during 1995 were attributable to sales of ZEOS brand name PC systems subsequent to the Company's acquisition of ZEOS.</w:t>
      </w:r>
    </w:p>
    <w:p>
      <w:pPr>
        <w:spacing w:after="0" w:line="212"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Net sales in 1994 increased compared to 1993 principally due to the relatively stable prices for semiconductor memory products and the comparatively higher volume of semiconductor memory produced in 1994. The Company's production of semiconductor memory as measured in megabits nearly doubled in 1994 compared to 1993, principally as a result of expenditures on equipment and facilities; improved manufacturing yields resulting from increased manufacturing efficiencies; and conversion to shrink versions of then existing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17"/>
                <w:szCs w:val="17"/>
                <w:color w:val="auto"/>
              </w:rPr>
            </w:pP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1995</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Change</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1994</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Change</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1993</w:t>
            </w:r>
          </w:p>
        </w:tc>
      </w:tr>
      <w:tr>
        <w:trPr>
          <w:trHeight w:val="203"/>
        </w:trPr>
        <w:tc>
          <w:tcPr>
            <w:tcW w:w="20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Cost of goods sold</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$1,328.7</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68.3%</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$789.4</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52.6%</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$517.2</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 %</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55.0%</w:t>
            </w:r>
          </w:p>
        </w:tc>
        <w:tc>
          <w:tcPr>
            <w:tcW w:w="128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51.5%</w:t>
            </w:r>
          </w:p>
        </w:tc>
        <w:tc>
          <w:tcPr>
            <w:tcW w:w="1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37.6%</w:t>
            </w:r>
          </w:p>
        </w:tc>
      </w:tr>
    </w:tbl>
    <w:p>
      <w:pPr>
        <w:spacing w:after="0" w:line="200" w:lineRule="exact"/>
        <w:rPr>
          <w:sz w:val="20"/>
          <w:szCs w:val="20"/>
          <w:color w:val="auto"/>
        </w:rPr>
      </w:pPr>
    </w:p>
    <w:p>
      <w:pPr>
        <w:spacing w:after="0" w:line="209"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The Company's gross margin percentage in 1995 was slightly higher than that experienced in 1994 primarily as a result of a higher gross margin percentage on the Company's semiconductor memory products offset in part by the effects of a higher level of net sales of PC systems, which generally have considerably lower gross margins. The Company's gross margin percentage on semiconductor memory products increased to approximately 65% in 1995, compared to 57% and 39% in 1994 and 1993, respectively. The higher gross margin percentage for semiconductor memory products in 1995 was principally due to relatively stable selling prices for such products as compared to decreases in per unit manufacturing costs. Decreases in per unit manufacturing costs were principally due to the greater number of potential die per wafer achieved through transitions to shrink versions of existing products and shifts in the Company's mix of semiconductor memory products to a higher average density, improved manufacturing yields and increased wafer output.</w:t>
      </w:r>
    </w:p>
    <w:p>
      <w:pPr>
        <w:spacing w:after="0" w:line="208" w:lineRule="exact"/>
        <w:rPr>
          <w:sz w:val="20"/>
          <w:szCs w:val="20"/>
          <w:color w:val="auto"/>
        </w:rPr>
      </w:pPr>
    </w:p>
    <w:p>
      <w:pPr>
        <w:ind w:right="2839" w:firstLine="527"/>
        <w:spacing w:after="0" w:line="269" w:lineRule="auto"/>
        <w:rPr>
          <w:sz w:val="20"/>
          <w:szCs w:val="20"/>
          <w:color w:val="auto"/>
        </w:rPr>
      </w:pPr>
      <w:r>
        <w:rPr>
          <w:rFonts w:ascii="Courier New" w:cs="Courier New" w:eastAsia="Courier New" w:hAnsi="Courier New"/>
          <w:sz w:val="16"/>
          <w:szCs w:val="16"/>
          <w:color w:val="auto"/>
        </w:rPr>
        <w:t>The Company continues limited production of its 16 Meg DRAM at a level only sufficient to continue development of process efficiencies. The Company continues to maximize its production of the 4 Meg DRAM, which is currently the most profitable product offered by the Company. The Company believes the market transition to the 16 Meg DRAM as the primary DRAM product will be largely driven by the timing of increases in demand for main memory in PC systems and by the increasing market availability of the 1 Meg x 16 configuration of the 16 Meg DRAM. Currently, most PC systems are sold with between 8 and 12 megabytes of main memory. Such system requirements can be satisfied with memory modules comprised of either 1 Meg x 4 (4 Meg) DRAMs or 1 Meg x 16 (16 Meg) DRAMs. The present limited market availability of the 1 Meg x 16 configuration of the 16 Meg DRAM has made the 1 Meg x 4 DRAM module a more cost-effective solution and has resulted in continued demand for the 4 Meg DRAM. When typical PC system requirements exceed 16 megabytes, memory modules can no longer cost-effectively incorporate 4 Meg DRAMs. Either increasing availability of the 1 Meg x 16 configuration of the 16 Meg DRAM or an increase in PC main memory requirements to in excess of 16 megabytes will likely cause an industry transition to the 16 Meg DRAM as its primary product. The Company's transition to the 16 Meg DRAM as its principal memory product could have a negative impact on the Company's results of operations.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319" w:firstLine="527"/>
        <w:spacing w:after="0" w:line="271" w:lineRule="auto"/>
        <w:rPr>
          <w:sz w:val="20"/>
          <w:szCs w:val="20"/>
          <w:color w:val="auto"/>
        </w:rPr>
      </w:pPr>
      <w:r>
        <w:rPr>
          <w:rFonts w:ascii="Courier New" w:cs="Courier New" w:eastAsia="Courier New" w:hAnsi="Courier New"/>
          <w:sz w:val="16"/>
          <w:szCs w:val="16"/>
          <w:color w:val="auto"/>
        </w:rPr>
        <w:t>The Company's gross margin percentage on sales of PC systems has been lower than the Company's overall gross margin percentage. Intense pricing pressure in the PC market has caused the Company to reduce the average selling prices of its PC systems at a rate faster than the decline in the Company's cost of components. In addition, the PC market's ongoing transition to new products and product features may have an adverse effect on the Company's PC gross margins by increasing inventory obsolescence and, to a lesser extent, decreasing manufacturing efficiencies. Should the rate</w:t>
      </w:r>
    </w:p>
    <w:p>
      <w:pPr>
        <w:sectPr>
          <w:pgSz w:w="11900" w:h="16838" w:orient="portrait"/>
          <w:cols w:equalWidth="0" w:num="1">
            <w:col w:w="10219"/>
          </w:cols>
          <w:pgMar w:left="240" w:top="723" w:right="1440" w:bottom="0" w:gutter="0" w:footer="0" w:header="0"/>
        </w:sectPr>
      </w:pPr>
    </w:p>
    <w:bookmarkStart w:id="25" w:name="page26"/>
    <w:bookmarkEnd w:id="25"/>
    <w:p>
      <w:pPr>
        <w:spacing w:after="0"/>
        <w:rPr>
          <w:sz w:val="20"/>
          <w:szCs w:val="20"/>
          <w:color w:val="auto"/>
        </w:rPr>
      </w:pPr>
      <w:r>
        <w:rPr>
          <w:rFonts w:ascii="Courier New" w:cs="Courier New" w:eastAsia="Courier New" w:hAnsi="Courier New"/>
          <w:sz w:val="18"/>
          <w:szCs w:val="18"/>
          <w:color w:val="auto"/>
        </w:rPr>
        <w:t>of future growth in net sales of PC systems exceed the rate of future</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growth of the balance of the Company's products, the Company's overall gross margin would decrease.</w:t>
      </w:r>
    </w:p>
    <w:p>
      <w:pPr>
        <w:spacing w:after="0" w:line="208" w:lineRule="exact"/>
        <w:rPr>
          <w:sz w:val="20"/>
          <w:szCs w:val="20"/>
          <w:color w:val="auto"/>
        </w:rPr>
      </w:pPr>
    </w:p>
    <w:p>
      <w:pPr>
        <w:ind w:right="2839" w:firstLine="527"/>
        <w:spacing w:after="0" w:line="270" w:lineRule="auto"/>
        <w:rPr>
          <w:sz w:val="20"/>
          <w:szCs w:val="20"/>
          <w:color w:val="auto"/>
        </w:rPr>
      </w:pPr>
      <w:r>
        <w:rPr>
          <w:rFonts w:ascii="Courier New" w:cs="Courier New" w:eastAsia="Courier New" w:hAnsi="Courier New"/>
          <w:sz w:val="16"/>
          <w:szCs w:val="16"/>
          <w:color w:val="auto"/>
        </w:rPr>
        <w:t>Cost of goods sold includes estimated costs of settlement or adjudication of asserted and unasserted claims for patent infringement prior to the balance sheet date, and costs of product and process technology licensing arrangements. Product and process technology costs decreased as a percentage of total net sales in 1995 principally due to a paid-up license which became fully amortized late in 1994, and the higher level of net sales of PC systems in 1995 which are subject to generally lower royalty costs compared to the Company's semiconductor memory products. Future product and process technology charges may increase, however, as a result of claims that may be asserted in the future. See "Certain Factors."</w:t>
      </w:r>
    </w:p>
    <w:p>
      <w:pPr>
        <w:sectPr>
          <w:pgSz w:w="11900" w:h="16838" w:orient="portrait"/>
          <w:cols w:equalWidth="0" w:num="1">
            <w:col w:w="10219"/>
          </w:cols>
          <w:pgMar w:left="240" w:top="136" w:right="1440" w:bottom="1440" w:gutter="0" w:footer="0" w:header="0"/>
        </w:sectPr>
      </w:pPr>
    </w:p>
    <w:bookmarkStart w:id="26" w:name="page27"/>
    <w:bookmarkEnd w:id="26"/>
    <w:p>
      <w:pPr>
        <w:ind w:right="2419" w:firstLine="527"/>
        <w:spacing w:after="0" w:line="268" w:lineRule="auto"/>
        <w:rPr>
          <w:sz w:val="20"/>
          <w:szCs w:val="20"/>
          <w:color w:val="auto"/>
        </w:rPr>
      </w:pPr>
      <w:r>
        <w:rPr>
          <w:rFonts w:ascii="Courier New" w:cs="Courier New" w:eastAsia="Courier New" w:hAnsi="Courier New"/>
          <w:sz w:val="16"/>
          <w:szCs w:val="16"/>
          <w:color w:val="auto"/>
        </w:rPr>
        <w:t>The significant increase in gross margin percentage for 1994 compared to 1993 was principally due to relatively stable prices and reductions</w:t>
      </w:r>
    </w:p>
    <w:p>
      <w:pPr>
        <w:spacing w:after="0"/>
        <w:tabs>
          <w:tab w:leader="none" w:pos="5460" w:val="left"/>
        </w:tabs>
        <w:rPr>
          <w:sz w:val="20"/>
          <w:szCs w:val="20"/>
          <w:color w:val="auto"/>
        </w:rPr>
      </w:pPr>
      <w:r>
        <w:rPr>
          <w:rFonts w:ascii="Courier New" w:cs="Courier New" w:eastAsia="Courier New" w:hAnsi="Courier New"/>
          <w:sz w:val="18"/>
          <w:szCs w:val="18"/>
          <w:color w:val="auto"/>
        </w:rPr>
        <w:t>in cost per unit of memory sold for DRAM products.</w:t>
      </w:r>
      <w:r>
        <w:rPr>
          <w:sz w:val="20"/>
          <w:szCs w:val="20"/>
          <w:color w:val="auto"/>
        </w:rPr>
        <w:tab/>
      </w:r>
      <w:r>
        <w:rPr>
          <w:rFonts w:ascii="Courier New" w:cs="Courier New" w:eastAsia="Courier New" w:hAnsi="Courier New"/>
          <w:sz w:val="16"/>
          <w:szCs w:val="16"/>
          <w:color w:val="auto"/>
        </w:rPr>
        <w:t>Reductions in cost</w:t>
      </w:r>
    </w:p>
    <w:p>
      <w:pPr>
        <w:spacing w:after="0"/>
        <w:rPr>
          <w:sz w:val="20"/>
          <w:szCs w:val="20"/>
          <w:color w:val="auto"/>
        </w:rPr>
      </w:pPr>
      <w:r>
        <w:rPr>
          <w:rFonts w:ascii="Courier New" w:cs="Courier New" w:eastAsia="Courier New" w:hAnsi="Courier New"/>
          <w:sz w:val="18"/>
          <w:szCs w:val="18"/>
          <w:color w:val="auto"/>
        </w:rPr>
        <w:t>per unit sold were realized primarily from a combination of increased</w:t>
      </w:r>
    </w:p>
    <w:p>
      <w:pPr>
        <w:spacing w:after="0" w:line="237" w:lineRule="auto"/>
        <w:rPr>
          <w:sz w:val="20"/>
          <w:szCs w:val="20"/>
          <w:color w:val="auto"/>
        </w:rPr>
      </w:pPr>
      <w:r>
        <w:rPr>
          <w:rFonts w:ascii="Courier New" w:cs="Courier New" w:eastAsia="Courier New" w:hAnsi="Courier New"/>
          <w:sz w:val="18"/>
          <w:szCs w:val="18"/>
          <w:color w:val="auto"/>
        </w:rPr>
        <w:t>wafer output, yield improvements, die shrinks, and transitions to</w:t>
      </w:r>
    </w:p>
    <w:p>
      <w:pPr>
        <w:spacing w:after="0"/>
        <w:rPr>
          <w:sz w:val="20"/>
          <w:szCs w:val="20"/>
          <w:color w:val="auto"/>
        </w:rPr>
      </w:pPr>
      <w:r>
        <w:rPr>
          <w:rFonts w:ascii="Courier New" w:cs="Courier New" w:eastAsia="Courier New" w:hAnsi="Courier New"/>
          <w:sz w:val="18"/>
          <w:szCs w:val="18"/>
          <w:color w:val="auto"/>
        </w:rPr>
        <w:t>generally higher density</w:t>
      </w:r>
    </w:p>
    <w:p>
      <w:pPr>
        <w:spacing w:after="0" w:line="237" w:lineRule="auto"/>
        <w:rPr>
          <w:sz w:val="20"/>
          <w:szCs w:val="20"/>
          <w:color w:val="auto"/>
        </w:rPr>
      </w:pPr>
      <w:r>
        <w:rPr>
          <w:rFonts w:ascii="Courier New" w:cs="Courier New" w:eastAsia="Courier New" w:hAnsi="Courier New"/>
          <w:sz w:val="18"/>
          <w:szCs w:val="18"/>
          <w:color w:val="auto"/>
        </w:rPr>
        <w:t>memory products.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1995</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Change</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1994</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Change</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1993</w:t>
            </w:r>
          </w:p>
        </w:tc>
      </w:tr>
      <w:tr>
        <w:trPr>
          <w:trHeight w:val="203"/>
        </w:trPr>
        <w:tc>
          <w:tcPr>
            <w:tcW w:w="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060" w:type="dxa"/>
            <w:vAlign w:val="bottom"/>
            <w:gridSpan w:val="2"/>
          </w:tcPr>
          <w:p>
            <w:pPr>
              <w:spacing w:after="0"/>
              <w:rPr>
                <w:sz w:val="20"/>
                <w:szCs w:val="20"/>
                <w:color w:val="auto"/>
              </w:rPr>
            </w:pPr>
            <w:r>
              <w:rPr>
                <w:rFonts w:ascii="Courier New" w:cs="Courier New" w:eastAsia="Courier New" w:hAnsi="Courier New"/>
                <w:sz w:val="18"/>
                <w:szCs w:val="18"/>
                <w:color w:val="auto"/>
              </w:rPr>
              <w:t>Selling, general,</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administrative</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$198.7</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46.4%</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$135.7</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54.4%</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$87.9</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as a</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 of net sales</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6.7%</w:t>
            </w:r>
          </w:p>
        </w:tc>
        <w:tc>
          <w:tcPr>
            <w:tcW w:w="128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8.3%</w:t>
            </w:r>
          </w:p>
        </w:tc>
        <w:tc>
          <w:tcPr>
            <w:tcW w:w="1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w:t>
            </w:r>
          </w:p>
        </w:tc>
      </w:tr>
    </w:tbl>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higher level of selling, general, and administrative expenses for</w:t>
      </w:r>
    </w:p>
    <w:p>
      <w:pPr>
        <w:spacing w:after="0" w:line="4"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1995 as compared to 1994 principally resulted from a higher level of personnel costs associated with the Company's profit sharing programs, increased number of administrative employees, and to a lesser extent, increased advertising and credit card processing fees associated with the increased level of net sales of the Company's PC systems. Such increases were partially offset by a reduction in legal fees compared to 1994 primarily resulting from the Company's settlement of patent litigation in 1994.</w:t>
      </w:r>
    </w:p>
    <w:p>
      <w:pPr>
        <w:spacing w:after="0" w:line="212"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increase in selling, general, and administration expenses in 1994 compared to 1993 were primarily a result of a higher level of</w:t>
      </w:r>
    </w:p>
    <w:p>
      <w:pPr>
        <w:spacing w:after="0" w:line="6"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personnel costs associated with the Company's profit sharing programs; increased costs incurred with the Company's action before the International Trade Commission and patent litigation, each of which was settled in 1994; increased sales commissions based on a higher level of net sales; and a higher level of state sales tax.</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1995</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Change</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1994</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Change</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1993</w:t>
            </w:r>
          </w:p>
        </w:tc>
      </w:tr>
      <w:tr>
        <w:trPr>
          <w:trHeight w:val="203"/>
        </w:trPr>
        <w:tc>
          <w:tcPr>
            <w:tcW w:w="206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Research and</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development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$128.8</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54.4%</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$83.4</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45.5%</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$57.3</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as a % of net sales</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w:t>
            </w:r>
          </w:p>
        </w:tc>
        <w:tc>
          <w:tcPr>
            <w:tcW w:w="128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w:t>
            </w:r>
          </w:p>
        </w:tc>
        <w:tc>
          <w:tcPr>
            <w:tcW w:w="1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w:t>
            </w:r>
          </w:p>
        </w:tc>
      </w:tr>
    </w:tbl>
    <w:p>
      <w:pPr>
        <w:spacing w:after="0" w:line="200" w:lineRule="exact"/>
        <w:rPr>
          <w:sz w:val="20"/>
          <w:szCs w:val="20"/>
          <w:color w:val="auto"/>
        </w:rPr>
      </w:pPr>
    </w:p>
    <w:p>
      <w:pPr>
        <w:spacing w:after="0" w:line="209"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Research and development expenses vary primarily based on the number of wafers and personnel dedicated to new product and process development. Research and development efforts in 1995 were focused primarily on development of 16 Meg and 4 Meg DRAM shrinks, 32K x 32</w:t>
      </w:r>
    </w:p>
    <w:p>
      <w:pPr>
        <w:spacing w:after="0" w:line="5"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and 32K x 36 synchronous SRAMs, and design and development of the 64 Meg and 256 Meg DRAMs. The Company expects the level of research and development expenses in 1996 to be higher than in 1995 as additional resources are dedicated to the 16 Meg and 64 Meg DRAMs and the design and development of the 256 Meg DRAM, as well as design and development of new technologies including radio frequency identification systems, non-volatile semiconductor memory devices, and field emission flat panel displays.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1995</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Change</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1994</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Change</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1993</w:t>
            </w: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6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7"/>
              </w:rPr>
              <w:t>Income tax provision  $506.4</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125%</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$225.3</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285%</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$58.5</w:t>
            </w:r>
          </w:p>
        </w:tc>
      </w:tr>
    </w:tbl>
    <w:p>
      <w:pPr>
        <w:spacing w:after="0" w:line="200" w:lineRule="exact"/>
        <w:rPr>
          <w:sz w:val="20"/>
          <w:szCs w:val="20"/>
          <w:color w:val="auto"/>
        </w:rPr>
      </w:pPr>
    </w:p>
    <w:p>
      <w:pPr>
        <w:spacing w:after="0" w:line="209"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effective tax rate for 1995 is 37.5% which primarily reflects the statutory corporate tax rate and the net effect of state taxation.</w:t>
      </w:r>
    </w:p>
    <w:p>
      <w:pPr>
        <w:spacing w:after="0" w:line="6"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The effective tax rate for 1994 and 1993 was 36%. The increase in the Company's effective tax rate in 1995 was principally due to the change in the mix of income among taxing jurisdictions and the decreased utilization of state tax credits as a percentage of pretax income. State income taxes have been reduced by state tax credits.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 Transaction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During 1995, the Company acquired ZEOS International, Ltd. ("ZEOS"),</w:t>
      </w:r>
    </w:p>
    <w:p>
      <w:pPr>
        <w:sectPr>
          <w:pgSz w:w="11900" w:h="16838" w:orient="portrait"/>
          <w:cols w:equalWidth="0" w:num="1">
            <w:col w:w="10219"/>
          </w:cols>
          <w:pgMar w:left="240" w:top="723" w:right="1440" w:bottom="0" w:gutter="0" w:footer="0" w:header="0"/>
        </w:sectPr>
      </w:pPr>
    </w:p>
    <w:bookmarkStart w:id="27" w:name="page28"/>
    <w:bookmarkEnd w:id="27"/>
    <w:p>
      <w:pPr>
        <w:ind w:right="2839"/>
        <w:spacing w:after="0" w:line="237" w:lineRule="auto"/>
        <w:rPr>
          <w:sz w:val="20"/>
          <w:szCs w:val="20"/>
          <w:color w:val="auto"/>
        </w:rPr>
      </w:pPr>
      <w:r>
        <w:rPr>
          <w:rFonts w:ascii="Courier New" w:cs="Courier New" w:eastAsia="Courier New" w:hAnsi="Courier New"/>
          <w:sz w:val="18"/>
          <w:szCs w:val="18"/>
          <w:color w:val="auto"/>
        </w:rPr>
        <w:t>a manufacturer of PC systems, in a merger transaction accounted for as a purchase. Under terms of the transaction, the Company merged two of its operating subsidiaries, Micron Computer, Inc., and Micron Custom Manufacturing Services, Inc., with and into ZEOS on April 7, 1995, in exchange for an approximate 79% ownership interest in ZEOS. The newly merged company was renamed Micron Electronics, Inc. ("MEI"), and the results of its operations (including those of the former ZEOS operation subsequent to the merger date) are included in the consolidated financial statements of the Company. The merger resulted in the recognition of an approximate $29.0 million pretax nonrecurring gain.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2619" w:firstLine="527"/>
        <w:spacing w:after="0" w:line="270" w:lineRule="auto"/>
        <w:rPr>
          <w:sz w:val="20"/>
          <w:szCs w:val="20"/>
          <w:color w:val="auto"/>
        </w:rPr>
      </w:pPr>
      <w:r>
        <w:rPr>
          <w:rFonts w:ascii="Courier New" w:cs="Courier New" w:eastAsia="Courier New" w:hAnsi="Courier New"/>
          <w:sz w:val="16"/>
          <w:szCs w:val="16"/>
          <w:color w:val="auto"/>
        </w:rPr>
        <w:t>The Company had cash and liquid investments of $556 million as of August 31, 1995, representing an increase of $123 million during 1995. The Company's principal sources of liquidity during 1995 were cash flows from operations of $1,039 million, equipment financing of $231 million, proceeds from issuance of long-term debt of $62 million, proceeds from issuance of common stock in connection with the Company's employee stock purchase and stock option plans of $18 million. The principal uses of funds in 1995 were $961 million for property, plant, and equipment, $203 million for repayments of equipment contracts, $63 million for payments on long-term debt, and $31 million for payments of cash dividends.</w:t>
      </w:r>
    </w:p>
    <w:p>
      <w:pPr>
        <w:sectPr>
          <w:pgSz w:w="11900" w:h="16838" w:orient="portrait"/>
          <w:cols w:equalWidth="0" w:num="1">
            <w:col w:w="10219"/>
          </w:cols>
          <w:pgMar w:left="240" w:top="142" w:right="1440" w:bottom="1440" w:gutter="0" w:footer="0" w:header="0"/>
        </w:sectPr>
      </w:pPr>
    </w:p>
    <w:bookmarkStart w:id="28" w:name="page29"/>
    <w:bookmarkEnd w:id="28"/>
    <w:p>
      <w:pPr>
        <w:ind w:right="2839" w:firstLine="527"/>
        <w:spacing w:after="0" w:line="237" w:lineRule="auto"/>
        <w:rPr>
          <w:sz w:val="20"/>
          <w:szCs w:val="20"/>
          <w:color w:val="auto"/>
        </w:rPr>
      </w:pPr>
      <w:r>
        <w:rPr>
          <w:rFonts w:ascii="Courier New" w:cs="Courier New" w:eastAsia="Courier New" w:hAnsi="Courier New"/>
          <w:sz w:val="18"/>
          <w:szCs w:val="18"/>
          <w:color w:val="auto"/>
        </w:rPr>
        <w:t>As of August 31, 1995, the Company had contractual commitments extending through calendar 1998 of approximately $643 million for equipment purchases and approximately $35 million for the construction of buildings. The cost of the Utah complex is currently estimated to be approximately $2.5 billion. Substantially all of the Company's near term cash flows from operations are expected to be dedicated to these capacity improvement programs. The Company can give no assurance that the expansion programs will be completed as currently scheduled or within current cost estimates.</w:t>
      </w:r>
    </w:p>
    <w:p>
      <w:pPr>
        <w:spacing w:after="0" w:line="214" w:lineRule="exact"/>
        <w:rPr>
          <w:sz w:val="20"/>
          <w:szCs w:val="20"/>
          <w:color w:val="auto"/>
        </w:rPr>
      </w:pPr>
    </w:p>
    <w:p>
      <w:pPr>
        <w:ind w:right="2319" w:firstLine="527"/>
        <w:spacing w:after="0"/>
        <w:rPr>
          <w:sz w:val="20"/>
          <w:szCs w:val="20"/>
          <w:color w:val="auto"/>
        </w:rPr>
      </w:pPr>
      <w:r>
        <w:rPr>
          <w:rFonts w:ascii="Courier New" w:cs="Courier New" w:eastAsia="Courier New" w:hAnsi="Courier New"/>
          <w:sz w:val="18"/>
          <w:szCs w:val="18"/>
          <w:color w:val="auto"/>
        </w:rPr>
        <w:t>The Company believes continuing investments in manufacturing technology, facilities and capital equipment, research and development, and product and process technology are necessary to support future growth, achieve operating efficiencies, and maintain product quality. The Company periodically evaluates various alternatives to expand its production capacity and evaluates opportunities for product diversification. Although in recent periods the Company has been able to fund such investments principally through cash flows from operations and equipment financings, historically, in order to fund such investments, the Company has required external sources to supplement the Company's cash flows from operations. The Company's current expansion and capital improvement projects at the Boise and Lehi sites are currently estimated to cost approximately $4.5 billion. The Company may be required to pursue external sources of liquidity to complete its current expansion and capital improvement programs as scheduled. There can be no assurance that external sources of liquidity will be available to fund the Company's ongoing operations or expansion, diversification, and capital improvement programs on terms acceptable to the Company.</w:t>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Factors</w:t>
      </w:r>
    </w:p>
    <w:p>
      <w:pPr>
        <w:spacing w:after="0" w:line="207" w:lineRule="exact"/>
        <w:rPr>
          <w:sz w:val="20"/>
          <w:szCs w:val="20"/>
          <w:color w:val="auto"/>
        </w:rPr>
      </w:pPr>
    </w:p>
    <w:p>
      <w:pPr>
        <w:ind w:right="2839" w:firstLine="527"/>
        <w:spacing w:after="0" w:line="268" w:lineRule="auto"/>
        <w:rPr>
          <w:sz w:val="20"/>
          <w:szCs w:val="20"/>
          <w:color w:val="auto"/>
        </w:rPr>
      </w:pPr>
      <w:r>
        <w:rPr>
          <w:rFonts w:ascii="Courier New" w:cs="Courier New" w:eastAsia="Courier New" w:hAnsi="Courier New"/>
          <w:sz w:val="16"/>
          <w:szCs w:val="16"/>
          <w:color w:val="auto"/>
        </w:rPr>
        <w:t>The semiconductor memory industry is characterized by rapid technological change, frequent product introductions and enhancements, difficult product transitions, relatively short product life cycles, and volatile market conditions. These characteristics historically have made the semiconductor industry highly cyclical, particularly in the market for DRAMs, which are the Company's primary products. Demand for semiconductor memory products has grown, fueled primarily</w:t>
      </w:r>
    </w:p>
    <w:p>
      <w:pPr>
        <w:spacing w:after="0" w:line="1"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by growth in the personal computer industry. The Company and many of its competitors are adding new facilities designed to process 8-inch wafers, which have approximately 84% greater usable surface area than 6-inch wafers. In addition, many competitors are currently believed to be running</w:t>
      </w:r>
    </w:p>
    <w:p>
      <w:pPr>
        <w:spacing w:after="0" w:line="5"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their 16 Meg DRAM manufacturing operations at significantly lower yields than could be expected when such products mature. The amount of capacity to be placed into production and future yield improvements by these competitors would dramatically increase world-wide supply of semiconductor memory. Excess supply of semiconductor memory, changes in demand for semiconductor memory market conditions, or currency fluctuation resulting in a strengthening dollar against the yen, could result in downward pricing pressure. A decline in the current favorable product pricing would have a material adverse effect on the Company's results of operations.</w:t>
      </w:r>
    </w:p>
    <w:p>
      <w:pPr>
        <w:spacing w:after="0" w:line="215" w:lineRule="exact"/>
        <w:rPr>
          <w:sz w:val="20"/>
          <w:szCs w:val="20"/>
          <w:color w:val="auto"/>
        </w:rPr>
      </w:pPr>
    </w:p>
    <w:p>
      <w:pPr>
        <w:ind w:right="2839" w:firstLine="527"/>
        <w:spacing w:after="0" w:line="271" w:lineRule="auto"/>
        <w:rPr>
          <w:sz w:val="20"/>
          <w:szCs w:val="20"/>
          <w:color w:val="auto"/>
        </w:rPr>
      </w:pPr>
      <w:r>
        <w:rPr>
          <w:rFonts w:ascii="Courier New" w:cs="Courier New" w:eastAsia="Courier New" w:hAnsi="Courier New"/>
          <w:sz w:val="16"/>
          <w:szCs w:val="16"/>
          <w:color w:val="auto"/>
        </w:rPr>
        <w:t>The Company is in the process of converting its existing wafer fabrication facilities and equipment to process 8-inch wafers from 6-inch. Such conversion requires expansion of portions of the Company's facilities and modifications, enhancements, or replacement of a significant portion of the Company's wafer processing equipment. There can be no assurance the Company will not experience an interruption of its manufacturing process or experience decreased manufacturing yields as a result of the conversion. An interruption of the manufacturing process or decreased manufacturing yields could have a material adverse effect on the Company's results of operations.</w:t>
      </w:r>
    </w:p>
    <w:p>
      <w:pPr>
        <w:spacing w:after="0" w:line="386" w:lineRule="exact"/>
        <w:rPr>
          <w:sz w:val="20"/>
          <w:szCs w:val="20"/>
          <w:color w:val="auto"/>
        </w:rPr>
      </w:pPr>
    </w:p>
    <w:p>
      <w:pPr>
        <w:ind w:right="2619" w:firstLine="527"/>
        <w:spacing w:after="0" w:line="238" w:lineRule="auto"/>
        <w:rPr>
          <w:sz w:val="20"/>
          <w:szCs w:val="20"/>
          <w:color w:val="auto"/>
        </w:rPr>
      </w:pPr>
      <w:r>
        <w:rPr>
          <w:rFonts w:ascii="Courier New" w:cs="Courier New" w:eastAsia="Courier New" w:hAnsi="Courier New"/>
          <w:sz w:val="18"/>
          <w:szCs w:val="18"/>
          <w:color w:val="auto"/>
        </w:rPr>
        <w:t>The manufacture of the Company's semiconductor memory products is a complex process and involves a number of precise steps, including wafer fabrication, assembly in a variety of packages, burn-in, and final test. From time to time, the Company has experienced volatility in its manufacturing yields, as it is not unusual to encounter difficulties in ramping shrink versions of existing devices or new generation devices to commercial volumes. The Company's net sales and operating results are highly dependent on increasing yields at an acceptable rate and to an acceptable level, of which there can be no assurance. Future results of operations may be adversely impacted if the Company is unable to transition to future generation products in a timely fashion or at gross margin rates comparable to the Company's current primary products.</w:t>
      </w:r>
    </w:p>
    <w:p>
      <w:pPr>
        <w:sectPr>
          <w:pgSz w:w="11900" w:h="16838" w:orient="portrait"/>
          <w:cols w:equalWidth="0" w:num="1">
            <w:col w:w="10219"/>
          </w:cols>
          <w:pgMar w:left="240" w:top="723" w:right="1440" w:bottom="0" w:gutter="0" w:footer="0" w:header="0"/>
        </w:sectPr>
      </w:pPr>
    </w:p>
    <w:bookmarkStart w:id="29" w:name="page30"/>
    <w:bookmarkEnd w:id="29"/>
    <w:p>
      <w:pPr>
        <w:ind w:right="2519" w:firstLine="527"/>
        <w:spacing w:after="0" w:line="269" w:lineRule="auto"/>
        <w:rPr>
          <w:sz w:val="20"/>
          <w:szCs w:val="20"/>
          <w:color w:val="auto"/>
        </w:rPr>
      </w:pPr>
      <w:r>
        <w:rPr>
          <w:rFonts w:ascii="Courier New" w:cs="Courier New" w:eastAsia="Courier New" w:hAnsi="Courier New"/>
          <w:sz w:val="16"/>
          <w:szCs w:val="16"/>
          <w:color w:val="auto"/>
        </w:rPr>
        <w:t>Periodically, the Company is made aware that technology used by the Company in the manufacture of some or all of its products may infringe on product or process technology rights held by others. The Company has accrued a liability and charged operations for the estimated costs of settlement or adjudication of asserted and unasserted claims for infringement prior to the balance sheet date. Management can give no assurance that the amounts accrued have been adequate and cannot estimate the range of additional possible loss, if any, from resolution of these uncertainties. Resolution of whether the Company's manufacture of products has infringed on valid rights held by others may have a material adverse effect on the Company's financial position or results of operations, and may require material changes in production processes and products. The Company has various product and process technology agreements which expire in calendar 1995, including an agreement with IBM. The Company is unable to predict whether these license agreements can be obtained or renewed on terms acceptable to the Company. Failure to renew such licenses could result in litigation and the attendant cost and diversion of resources associated therewith and could</w:t>
      </w:r>
    </w:p>
    <w:p>
      <w:pPr>
        <w:sectPr>
          <w:pgSz w:w="11900" w:h="16838" w:orient="portrait"/>
          <w:cols w:equalWidth="0" w:num="1">
            <w:col w:w="10219"/>
          </w:cols>
          <w:pgMar w:left="240" w:top="344" w:right="1440" w:bottom="1440" w:gutter="0" w:footer="0" w:header="0"/>
        </w:sectPr>
      </w:pPr>
    </w:p>
    <w:bookmarkStart w:id="30" w:name="page31"/>
    <w:bookmarkEnd w:id="30"/>
    <w:p>
      <w:pPr>
        <w:ind w:right="2619"/>
        <w:spacing w:after="0" w:line="236" w:lineRule="auto"/>
        <w:rPr>
          <w:sz w:val="20"/>
          <w:szCs w:val="20"/>
          <w:color w:val="auto"/>
        </w:rPr>
      </w:pPr>
      <w:r>
        <w:rPr>
          <w:rFonts w:ascii="Courier New" w:cs="Courier New" w:eastAsia="Courier New" w:hAnsi="Courier New"/>
          <w:sz w:val="18"/>
          <w:szCs w:val="18"/>
          <w:color w:val="auto"/>
        </w:rPr>
        <w:t>also result in material changes in the Company's production processes or products. Any such litigation on changes could have a material adverse effect on the Company's results of operations.</w:t>
      </w:r>
    </w:p>
    <w:p>
      <w:pPr>
        <w:spacing w:after="0" w:line="200" w:lineRule="exact"/>
        <w:rPr>
          <w:sz w:val="20"/>
          <w:szCs w:val="20"/>
          <w:color w:val="auto"/>
        </w:rPr>
      </w:pPr>
    </w:p>
    <w:p>
      <w:pPr>
        <w:spacing w:after="0" w:line="211"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The Company began construction of an additional manufacturing facility in Utah which represents a significant capital investment by the Company. While the Company has at times conducted certain assembly and test operations at sites remote to its primary manufacturing operation, the Lehi, Utah facility will be the Company's first fabrication facility off the Boise site. The success of the Utah operation will largely depend on the Company's ability to achieve manufacturing efficiencies comparable to the Boise facility, which is largely a function of the skill and dedication of its work force. As of August 31, 1995, the Company's semiconductor manufacturing operations employed approximately 5,900 employees, an increase of 1,250 during the past year, and it is anticipated that the Utah site will employ approximately 3,500 full-time employees. The inability of the Company to retain a qualified work force or to locate and hire qualified candidates could have a negative affect on existing operations or limit efficiencies to be obtained by the Company's expansion efforts.</w:t>
      </w:r>
    </w:p>
    <w:p>
      <w:pPr>
        <w:sectPr>
          <w:pgSz w:w="11900" w:h="16838" w:orient="portrait"/>
          <w:cols w:equalWidth="0" w:num="1">
            <w:col w:w="10219"/>
          </w:cols>
          <w:pgMar w:left="240" w:top="723"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4"/>
        </w:trPr>
        <w:tc>
          <w:tcPr>
            <w:tcW w:w="30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7"/>
              </w:rPr>
              <w:t>Item 8. Financial Statements</w:t>
            </w:r>
          </w:p>
        </w:tc>
        <w:tc>
          <w:tcPr>
            <w:tcW w:w="4120" w:type="dxa"/>
            <w:vAlign w:val="bottom"/>
          </w:tcPr>
          <w:p>
            <w:pPr>
              <w:spacing w:after="0"/>
              <w:rPr>
                <w:sz w:val="20"/>
                <w:szCs w:val="20"/>
                <w:color w:val="auto"/>
              </w:rPr>
            </w:pPr>
            <w:r>
              <w:rPr>
                <w:rFonts w:ascii="Courier New" w:cs="Courier New" w:eastAsia="Courier New" w:hAnsi="Courier New"/>
                <w:sz w:val="18"/>
                <w:szCs w:val="18"/>
                <w:color w:val="auto"/>
              </w:rPr>
              <w:t>and Supplementary Data</w:t>
            </w:r>
          </w:p>
        </w:tc>
        <w:tc>
          <w:tcPr>
            <w:tcW w:w="420" w:type="dxa"/>
            <w:vAlign w:val="bottom"/>
          </w:tcPr>
          <w:p>
            <w:pPr>
              <w:spacing w:after="0"/>
              <w:rPr>
                <w:sz w:val="17"/>
                <w:szCs w:val="17"/>
                <w:color w:val="auto"/>
              </w:rPr>
            </w:pPr>
          </w:p>
        </w:tc>
      </w:tr>
      <w:tr>
        <w:trPr>
          <w:trHeight w:val="405"/>
        </w:trPr>
        <w:tc>
          <w:tcPr>
            <w:tcW w:w="2280" w:type="dxa"/>
            <w:vAlign w:val="bottom"/>
          </w:tcPr>
          <w:p>
            <w:pPr>
              <w:jc w:val="right"/>
              <w:spacing w:after="0"/>
              <w:rPr>
                <w:sz w:val="20"/>
                <w:szCs w:val="20"/>
                <w:color w:val="auto"/>
              </w:rPr>
            </w:pPr>
            <w:r>
              <w:rPr>
                <w:rFonts w:ascii="Courier New" w:cs="Courier New" w:eastAsia="Courier New" w:hAnsi="Courier New"/>
                <w:sz w:val="18"/>
                <w:szCs w:val="18"/>
                <w:color w:val="auto"/>
                <w:w w:val="96"/>
              </w:rPr>
              <w:t>Index to Consolidated</w:t>
            </w:r>
          </w:p>
        </w:tc>
        <w:tc>
          <w:tcPr>
            <w:tcW w:w="4900" w:type="dxa"/>
            <w:vAlign w:val="bottom"/>
            <w:gridSpan w:val="2"/>
          </w:tcPr>
          <w:p>
            <w:pPr>
              <w:jc w:val="right"/>
              <w:ind w:right="2652"/>
              <w:spacing w:after="0"/>
              <w:rPr>
                <w:sz w:val="20"/>
                <w:szCs w:val="20"/>
                <w:color w:val="auto"/>
              </w:rPr>
            </w:pPr>
            <w:r>
              <w:rPr>
                <w:rFonts w:ascii="Courier New" w:cs="Courier New" w:eastAsia="Courier New" w:hAnsi="Courier New"/>
                <w:sz w:val="18"/>
                <w:szCs w:val="18"/>
                <w:color w:val="auto"/>
                <w:w w:val="99"/>
              </w:rPr>
              <w:t>Financial Statements</w:t>
            </w:r>
          </w:p>
        </w:tc>
        <w:tc>
          <w:tcPr>
            <w:tcW w:w="420" w:type="dxa"/>
            <w:vAlign w:val="bottom"/>
          </w:tcPr>
          <w:p>
            <w:pPr>
              <w:spacing w:after="0"/>
              <w:rPr>
                <w:sz w:val="24"/>
                <w:szCs w:val="24"/>
                <w:color w:val="auto"/>
              </w:rPr>
            </w:pPr>
          </w:p>
        </w:tc>
      </w:tr>
      <w:tr>
        <w:trPr>
          <w:trHeight w:val="405"/>
        </w:trPr>
        <w:tc>
          <w:tcPr>
            <w:tcW w:w="2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Courier New" w:cs="Courier New" w:eastAsia="Courier New" w:hAnsi="Courier New"/>
                <w:sz w:val="18"/>
                <w:szCs w:val="18"/>
                <w:color w:val="auto"/>
                <w:w w:val="97"/>
              </w:rPr>
              <w:t>Page</w:t>
            </w:r>
          </w:p>
        </w:tc>
      </w:tr>
      <w:tr>
        <w:trPr>
          <w:trHeight w:val="405"/>
        </w:trPr>
        <w:tc>
          <w:tcPr>
            <w:tcW w:w="2280" w:type="dxa"/>
            <w:vAlign w:val="bottom"/>
          </w:tcPr>
          <w:p>
            <w:pPr>
              <w:jc w:val="right"/>
              <w:spacing w:after="0"/>
              <w:rPr>
                <w:sz w:val="20"/>
                <w:szCs w:val="20"/>
                <w:color w:val="auto"/>
              </w:rPr>
            </w:pPr>
            <w:r>
              <w:rPr>
                <w:rFonts w:ascii="Courier New" w:cs="Courier New" w:eastAsia="Courier New" w:hAnsi="Courier New"/>
                <w:sz w:val="18"/>
                <w:szCs w:val="18"/>
                <w:color w:val="auto"/>
                <w:w w:val="96"/>
              </w:rPr>
              <w:t>Financial Statements:</w:t>
            </w:r>
          </w:p>
        </w:tc>
        <w:tc>
          <w:tcPr>
            <w:tcW w:w="7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3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Consolidated Statements of</w:t>
            </w:r>
          </w:p>
        </w:tc>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Operations for</w:t>
            </w:r>
          </w:p>
        </w:tc>
        <w:tc>
          <w:tcPr>
            <w:tcW w:w="420" w:type="dxa"/>
            <w:vAlign w:val="bottom"/>
          </w:tcPr>
          <w:p>
            <w:pPr>
              <w:spacing w:after="0"/>
              <w:rPr>
                <w:sz w:val="17"/>
                <w:szCs w:val="17"/>
                <w:color w:val="auto"/>
              </w:rPr>
            </w:pP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Fiscal Years Ended</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August</w:t>
            </w:r>
          </w:p>
        </w:tc>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31, 1995,</w:t>
            </w:r>
          </w:p>
        </w:tc>
        <w:tc>
          <w:tcPr>
            <w:tcW w:w="420" w:type="dxa"/>
            <w:vAlign w:val="bottom"/>
          </w:tcPr>
          <w:p>
            <w:pPr>
              <w:spacing w:after="0"/>
              <w:rPr>
                <w:sz w:val="17"/>
                <w:szCs w:val="17"/>
                <w:color w:val="auto"/>
              </w:rPr>
            </w:pP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 1, 1994,</w:t>
            </w:r>
          </w:p>
        </w:tc>
        <w:tc>
          <w:tcPr>
            <w:tcW w:w="4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and September 2,1993..........................</w:t>
            </w: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41</w:t>
            </w:r>
          </w:p>
        </w:tc>
      </w:tr>
      <w:tr>
        <w:trPr>
          <w:trHeight w:val="405"/>
        </w:trPr>
        <w:tc>
          <w:tcPr>
            <w:tcW w:w="7180" w:type="dxa"/>
            <w:vAlign w:val="bottom"/>
            <w:gridSpan w:val="3"/>
          </w:tcPr>
          <w:p>
            <w:pPr>
              <w:jc w:val="right"/>
              <w:ind w:right="2232"/>
              <w:spacing w:after="0"/>
              <w:rPr>
                <w:sz w:val="20"/>
                <w:szCs w:val="20"/>
                <w:color w:val="auto"/>
              </w:rPr>
            </w:pPr>
            <w:r>
              <w:rPr>
                <w:rFonts w:ascii="Courier New" w:cs="Courier New" w:eastAsia="Courier New" w:hAnsi="Courier New"/>
                <w:sz w:val="18"/>
                <w:szCs w:val="18"/>
                <w:color w:val="auto"/>
              </w:rPr>
              <w:t>Consolidated Balance Sheets as of August 31,</w:t>
            </w:r>
          </w:p>
        </w:tc>
        <w:tc>
          <w:tcPr>
            <w:tcW w:w="420" w:type="dxa"/>
            <w:vAlign w:val="bottom"/>
          </w:tcPr>
          <w:p>
            <w:pPr>
              <w:spacing w:after="0"/>
              <w:rPr>
                <w:sz w:val="24"/>
                <w:szCs w:val="24"/>
                <w:color w:val="auto"/>
              </w:rPr>
            </w:pPr>
          </w:p>
        </w:tc>
      </w:tr>
      <w:tr>
        <w:trPr>
          <w:trHeight w:val="203"/>
        </w:trPr>
        <w:tc>
          <w:tcPr>
            <w:tcW w:w="3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6"/>
              </w:rPr>
              <w:t>1995, and September 1,1994</w:t>
            </w:r>
          </w:p>
        </w:tc>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w:t>
            </w: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42</w:t>
            </w:r>
          </w:p>
        </w:tc>
      </w:tr>
      <w:tr>
        <w:trPr>
          <w:trHeight w:val="405"/>
        </w:trPr>
        <w:tc>
          <w:tcPr>
            <w:tcW w:w="30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Consolidated Statements of</w:t>
            </w:r>
          </w:p>
        </w:tc>
        <w:tc>
          <w:tcPr>
            <w:tcW w:w="4120" w:type="dxa"/>
            <w:vAlign w:val="bottom"/>
          </w:tcPr>
          <w:p>
            <w:pPr>
              <w:spacing w:after="0"/>
              <w:rPr>
                <w:sz w:val="20"/>
                <w:szCs w:val="20"/>
                <w:color w:val="auto"/>
              </w:rPr>
            </w:pPr>
            <w:r>
              <w:rPr>
                <w:rFonts w:ascii="Courier New" w:cs="Courier New" w:eastAsia="Courier New" w:hAnsi="Courier New"/>
                <w:sz w:val="18"/>
                <w:szCs w:val="18"/>
                <w:color w:val="auto"/>
              </w:rPr>
              <w:t>Shareholders'</w:t>
            </w:r>
          </w:p>
        </w:tc>
        <w:tc>
          <w:tcPr>
            <w:tcW w:w="420" w:type="dxa"/>
            <w:vAlign w:val="bottom"/>
          </w:tcPr>
          <w:p>
            <w:pPr>
              <w:spacing w:after="0"/>
              <w:rPr>
                <w:sz w:val="24"/>
                <w:szCs w:val="24"/>
                <w:color w:val="auto"/>
              </w:rPr>
            </w:pPr>
          </w:p>
        </w:tc>
      </w:tr>
      <w:tr>
        <w:trPr>
          <w:trHeight w:val="203"/>
        </w:trPr>
        <w:tc>
          <w:tcPr>
            <w:tcW w:w="718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Equity for Fiscal Years Ended August 31,</w:t>
            </w:r>
          </w:p>
        </w:tc>
        <w:tc>
          <w:tcPr>
            <w:tcW w:w="420" w:type="dxa"/>
            <w:vAlign w:val="bottom"/>
          </w:tcPr>
          <w:p>
            <w:pPr>
              <w:spacing w:after="0"/>
              <w:rPr>
                <w:sz w:val="17"/>
                <w:szCs w:val="17"/>
                <w:color w:val="auto"/>
              </w:rPr>
            </w:pP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 September 1,</w:t>
            </w:r>
          </w:p>
        </w:tc>
        <w:tc>
          <w:tcPr>
            <w:tcW w:w="4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1994, and September 2, 1993...................</w:t>
            </w: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43</w:t>
            </w:r>
          </w:p>
        </w:tc>
      </w:tr>
      <w:tr>
        <w:trPr>
          <w:trHeight w:val="405"/>
        </w:trPr>
        <w:tc>
          <w:tcPr>
            <w:tcW w:w="30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Consolidated Statements of</w:t>
            </w:r>
          </w:p>
        </w:tc>
        <w:tc>
          <w:tcPr>
            <w:tcW w:w="4120" w:type="dxa"/>
            <w:vAlign w:val="bottom"/>
          </w:tcPr>
          <w:p>
            <w:pPr>
              <w:spacing w:after="0"/>
              <w:rPr>
                <w:sz w:val="20"/>
                <w:szCs w:val="20"/>
                <w:color w:val="auto"/>
              </w:rPr>
            </w:pPr>
            <w:r>
              <w:rPr>
                <w:rFonts w:ascii="Courier New" w:cs="Courier New" w:eastAsia="Courier New" w:hAnsi="Courier New"/>
                <w:sz w:val="18"/>
                <w:szCs w:val="18"/>
                <w:color w:val="auto"/>
              </w:rPr>
              <w:t>Cash Flows for</w:t>
            </w:r>
          </w:p>
        </w:tc>
        <w:tc>
          <w:tcPr>
            <w:tcW w:w="420" w:type="dxa"/>
            <w:vAlign w:val="bottom"/>
          </w:tcPr>
          <w:p>
            <w:pPr>
              <w:spacing w:after="0"/>
              <w:rPr>
                <w:sz w:val="24"/>
                <w:szCs w:val="24"/>
                <w:color w:val="auto"/>
              </w:rPr>
            </w:pP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Fiscal Years Ended</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August</w:t>
            </w:r>
          </w:p>
        </w:tc>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31, 1995,</w:t>
            </w:r>
          </w:p>
        </w:tc>
        <w:tc>
          <w:tcPr>
            <w:tcW w:w="420" w:type="dxa"/>
            <w:vAlign w:val="bottom"/>
          </w:tcPr>
          <w:p>
            <w:pPr>
              <w:spacing w:after="0"/>
              <w:rPr>
                <w:sz w:val="17"/>
                <w:szCs w:val="17"/>
                <w:color w:val="auto"/>
              </w:rPr>
            </w:pP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 1, 1994,</w:t>
            </w:r>
          </w:p>
        </w:tc>
        <w:tc>
          <w:tcPr>
            <w:tcW w:w="4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and September 2, 1993.........................</w:t>
            </w: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44</w:t>
            </w:r>
          </w:p>
        </w:tc>
      </w:tr>
      <w:tr>
        <w:trPr>
          <w:trHeight w:val="405"/>
        </w:trPr>
        <w:tc>
          <w:tcPr>
            <w:tcW w:w="718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Notes to Consolidated Financial Statements........................</w:t>
            </w:r>
          </w:p>
        </w:tc>
        <w:tc>
          <w:tcPr>
            <w:tcW w:w="420" w:type="dxa"/>
            <w:vAlign w:val="bottom"/>
          </w:tcPr>
          <w:p>
            <w:pPr>
              <w:jc w:val="center"/>
              <w:spacing w:after="0"/>
              <w:rPr>
                <w:sz w:val="20"/>
                <w:szCs w:val="20"/>
                <w:color w:val="auto"/>
              </w:rPr>
            </w:pPr>
            <w:r>
              <w:rPr>
                <w:rFonts w:ascii="Courier New" w:cs="Courier New" w:eastAsia="Courier New" w:hAnsi="Courier New"/>
                <w:sz w:val="18"/>
                <w:szCs w:val="18"/>
                <w:color w:val="auto"/>
                <w:w w:val="92"/>
              </w:rPr>
              <w:t>45</w:t>
            </w:r>
          </w:p>
        </w:tc>
      </w:tr>
      <w:tr>
        <w:trPr>
          <w:trHeight w:val="405"/>
        </w:trPr>
        <w:tc>
          <w:tcPr>
            <w:tcW w:w="718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Report of Independent Accountants.................................</w:t>
            </w:r>
          </w:p>
        </w:tc>
        <w:tc>
          <w:tcPr>
            <w:tcW w:w="420" w:type="dxa"/>
            <w:vAlign w:val="bottom"/>
          </w:tcPr>
          <w:p>
            <w:pPr>
              <w:jc w:val="center"/>
              <w:spacing w:after="0"/>
              <w:rPr>
                <w:sz w:val="20"/>
                <w:szCs w:val="20"/>
                <w:color w:val="auto"/>
              </w:rPr>
            </w:pPr>
            <w:r>
              <w:rPr>
                <w:rFonts w:ascii="Courier New" w:cs="Courier New" w:eastAsia="Courier New" w:hAnsi="Courier New"/>
                <w:sz w:val="18"/>
                <w:szCs w:val="18"/>
                <w:color w:val="auto"/>
                <w:w w:val="92"/>
              </w:rPr>
              <w:t>53</w:t>
            </w:r>
          </w:p>
        </w:tc>
      </w:tr>
    </w:tbl>
    <w:p>
      <w:pPr>
        <w:sectPr>
          <w:pgSz w:w="11900" w:h="16838" w:orient="portrait"/>
          <w:cols w:equalWidth="0" w:num="1">
            <w:col w:w="10219"/>
          </w:cols>
          <w:pgMar w:left="240" w:top="717"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Micron Technology, Inc.</w:t>
      </w:r>
    </w:p>
    <w:p>
      <w:pPr>
        <w:spacing w:after="0" w:line="238" w:lineRule="auto"/>
        <w:rPr>
          <w:sz w:val="20"/>
          <w:szCs w:val="20"/>
          <w:color w:val="auto"/>
        </w:rPr>
      </w:pPr>
      <w:r>
        <w:rPr>
          <w:rFonts w:ascii="Courier New" w:cs="Courier New" w:eastAsia="Courier New" w:hAnsi="Courier New"/>
          <w:sz w:val="18"/>
          <w:szCs w:val="18"/>
          <w:color w:val="auto"/>
        </w:rPr>
        <w:t>Consolidated Statements of Operations</w:t>
      </w:r>
    </w:p>
    <w:p>
      <w:pPr>
        <w:spacing w:after="0"/>
        <w:rPr>
          <w:sz w:val="20"/>
          <w:szCs w:val="20"/>
          <w:color w:val="auto"/>
        </w:rPr>
      </w:pPr>
      <w:r>
        <w:rPr>
          <w:rFonts w:ascii="Courier New" w:cs="Courier New" w:eastAsia="Courier New" w:hAnsi="Courier New"/>
          <w:sz w:val="18"/>
          <w:szCs w:val="18"/>
          <w:color w:val="auto"/>
        </w:rPr>
        <w:t>(Amounts in millions, except for per share amounts)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August</w:t>
            </w:r>
          </w:p>
        </w:tc>
        <w:tc>
          <w:tcPr>
            <w:tcW w:w="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31,</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September</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September</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Fiscal year ended</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4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c>
          <w:tcPr>
            <w:tcW w:w="3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1993</w:t>
            </w:r>
          </w:p>
        </w:tc>
        <w:tc>
          <w:tcPr>
            <w:tcW w:w="26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3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$2,952.7</w:t>
            </w:r>
          </w:p>
        </w:tc>
        <w:tc>
          <w:tcPr>
            <w:tcW w:w="15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$1,628.6</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828.3</w:t>
            </w:r>
          </w:p>
        </w:tc>
      </w:tr>
      <w:tr>
        <w:trPr>
          <w:trHeight w:val="203"/>
        </w:trPr>
        <w:tc>
          <w:tcPr>
            <w:tcW w:w="406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1,328.7</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789.4</w:t>
            </w:r>
          </w:p>
        </w:tc>
        <w:tc>
          <w:tcPr>
            <w:tcW w:w="5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517.2</w:t>
            </w:r>
          </w:p>
        </w:tc>
      </w:tr>
      <w:tr>
        <w:trPr>
          <w:trHeight w:val="203"/>
        </w:trPr>
        <w:tc>
          <w:tcPr>
            <w:tcW w:w="4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198.7</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135.7</w:t>
            </w:r>
          </w:p>
        </w:tc>
        <w:tc>
          <w:tcPr>
            <w:tcW w:w="5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87.9</w:t>
            </w:r>
          </w:p>
        </w:tc>
      </w:tr>
      <w:tr>
        <w:trPr>
          <w:trHeight w:val="203"/>
        </w:trPr>
        <w:tc>
          <w:tcPr>
            <w:tcW w:w="4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128.8</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83.4</w:t>
            </w:r>
          </w:p>
        </w:tc>
        <w:tc>
          <w:tcPr>
            <w:tcW w:w="5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57.3</w:t>
            </w:r>
          </w:p>
        </w:tc>
      </w:tr>
      <w:tr>
        <w:trPr>
          <w:trHeight w:val="203"/>
        </w:trPr>
        <w:tc>
          <w:tcPr>
            <w:tcW w:w="406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costs and expenses</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1,656.2</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1,008.5</w:t>
            </w:r>
          </w:p>
        </w:tc>
        <w:tc>
          <w:tcPr>
            <w:tcW w:w="5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662.4</w:t>
            </w:r>
          </w:p>
        </w:tc>
      </w:tr>
      <w:tr>
        <w:trPr>
          <w:trHeight w:val="203"/>
        </w:trPr>
        <w:tc>
          <w:tcPr>
            <w:tcW w:w="406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1,296.5</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620.1</w:t>
            </w:r>
          </w:p>
        </w:tc>
        <w:tc>
          <w:tcPr>
            <w:tcW w:w="5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165.9</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Gain from merger transaction</w:t>
            </w:r>
          </w:p>
        </w:tc>
        <w:tc>
          <w:tcPr>
            <w:tcW w:w="13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29.0</w:t>
            </w:r>
          </w:p>
        </w:tc>
        <w:tc>
          <w:tcPr>
            <w:tcW w:w="15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 (expense), net</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25.0</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406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1,350.5</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625.8</w:t>
            </w:r>
          </w:p>
        </w:tc>
        <w:tc>
          <w:tcPr>
            <w:tcW w:w="5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162.6</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Income tax provision</w:t>
            </w:r>
          </w:p>
        </w:tc>
        <w:tc>
          <w:tcPr>
            <w:tcW w:w="13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506.4</w:t>
            </w:r>
          </w:p>
        </w:tc>
        <w:tc>
          <w:tcPr>
            <w:tcW w:w="15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225.3</w:t>
            </w:r>
          </w:p>
        </w:tc>
        <w:tc>
          <w:tcPr>
            <w:tcW w:w="52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58.5</w:t>
            </w:r>
          </w:p>
        </w:tc>
      </w:tr>
      <w:tr>
        <w:trPr>
          <w:trHeight w:val="203"/>
        </w:trPr>
        <w:tc>
          <w:tcPr>
            <w:tcW w:w="406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844.1</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400.5</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104.1</w:t>
            </w:r>
          </w:p>
        </w:tc>
      </w:tr>
      <w:tr>
        <w:trPr>
          <w:trHeight w:val="203"/>
        </w:trPr>
        <w:tc>
          <w:tcPr>
            <w:tcW w:w="406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Earnings per share:</w:t>
            </w:r>
          </w:p>
        </w:tc>
        <w:tc>
          <w:tcPr>
            <w:tcW w:w="1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Primary</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$3.95</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$1.92</w:t>
            </w:r>
          </w:p>
        </w:tc>
        <w:tc>
          <w:tcPr>
            <w:tcW w:w="5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$0.52</w:t>
            </w:r>
          </w:p>
        </w:tc>
      </w:tr>
      <w:tr>
        <w:trPr>
          <w:trHeight w:val="203"/>
        </w:trPr>
        <w:tc>
          <w:tcPr>
            <w:tcW w:w="4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Fully diluted</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3.90</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1.90</w:t>
            </w:r>
          </w:p>
        </w:tc>
        <w:tc>
          <w:tcPr>
            <w:tcW w:w="5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0.51</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Number of shares used in per share</w:t>
            </w:r>
          </w:p>
        </w:tc>
        <w:tc>
          <w:tcPr>
            <w:tcW w:w="1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calculation:</w:t>
            </w:r>
          </w:p>
        </w:tc>
        <w:tc>
          <w:tcPr>
            <w:tcW w:w="1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Primary</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213.9</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208.9</w:t>
            </w:r>
          </w:p>
        </w:tc>
        <w:tc>
          <w:tcPr>
            <w:tcW w:w="5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4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Fully diluted</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216.2</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210.4</w:t>
            </w:r>
          </w:p>
        </w:tc>
        <w:tc>
          <w:tcPr>
            <w:tcW w:w="5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accompanying notes are an integral part of the financial statements.</w:t>
      </w:r>
    </w:p>
    <w:p>
      <w:pPr>
        <w:sectPr>
          <w:pgSz w:w="11900" w:h="16838" w:orient="portrait"/>
          <w:cols w:equalWidth="0" w:num="1">
            <w:col w:w="10219"/>
          </w:cols>
          <w:pgMar w:left="240" w:top="919"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8"/>
          <w:szCs w:val="18"/>
          <w:color w:val="auto"/>
        </w:rPr>
        <w:t>Micron Technology, Inc.</w:t>
      </w:r>
    </w:p>
    <w:p>
      <w:pPr>
        <w:spacing w:after="0" w:line="238" w:lineRule="auto"/>
        <w:rPr>
          <w:sz w:val="20"/>
          <w:szCs w:val="20"/>
          <w:color w:val="auto"/>
        </w:rPr>
      </w:pPr>
      <w:r>
        <w:rPr>
          <w:rFonts w:ascii="Courier New" w:cs="Courier New" w:eastAsia="Courier New" w:hAnsi="Courier New"/>
          <w:sz w:val="18"/>
          <w:szCs w:val="18"/>
          <w:color w:val="auto"/>
        </w:rPr>
        <w:t>Consolidated Balance Sheets</w:t>
      </w:r>
    </w:p>
    <w:p>
      <w:pPr>
        <w:spacing w:after="0"/>
        <w:rPr>
          <w:sz w:val="20"/>
          <w:szCs w:val="20"/>
          <w:color w:val="auto"/>
        </w:rPr>
      </w:pPr>
      <w:r>
        <w:rPr>
          <w:rFonts w:ascii="Courier New" w:cs="Courier New" w:eastAsia="Courier New" w:hAnsi="Courier New"/>
          <w:sz w:val="18"/>
          <w:szCs w:val="18"/>
          <w:color w:val="auto"/>
        </w:rPr>
        <w:t>(Dollars in millions, except for par value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17"/>
                <w:szCs w:val="17"/>
                <w:color w:val="auto"/>
              </w:rPr>
            </w:pPr>
          </w:p>
        </w:tc>
        <w:tc>
          <w:tcPr>
            <w:tcW w:w="3260" w:type="dxa"/>
            <w:vAlign w:val="bottom"/>
          </w:tcPr>
          <w:p>
            <w:pPr>
              <w:jc w:val="right"/>
              <w:spacing w:after="0"/>
              <w:rPr>
                <w:sz w:val="20"/>
                <w:szCs w:val="20"/>
                <w:color w:val="auto"/>
              </w:rPr>
            </w:pPr>
            <w:r>
              <w:rPr>
                <w:rFonts w:ascii="Courier New" w:cs="Courier New" w:eastAsia="Courier New" w:hAnsi="Courier New"/>
                <w:sz w:val="18"/>
                <w:szCs w:val="18"/>
                <w:color w:val="auto"/>
              </w:rPr>
              <w:t>August</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w w:val="99"/>
              </w:rPr>
              <w:t>31, September</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As of</w:t>
            </w:r>
          </w:p>
        </w:tc>
        <w:tc>
          <w:tcPr>
            <w:tcW w:w="3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c>
          <w:tcPr>
            <w:tcW w:w="26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Assets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Cash and</w:t>
            </w:r>
          </w:p>
        </w:tc>
        <w:tc>
          <w:tcPr>
            <w:tcW w:w="4480" w:type="dxa"/>
            <w:vAlign w:val="bottom"/>
          </w:tcPr>
          <w:p>
            <w:pPr>
              <w:ind w:left="60"/>
              <w:spacing w:after="0"/>
              <w:rPr>
                <w:sz w:val="20"/>
                <w:szCs w:val="20"/>
                <w:color w:val="auto"/>
              </w:rPr>
            </w:pPr>
            <w:r>
              <w:rPr>
                <w:rFonts w:ascii="Courier New" w:cs="Courier New" w:eastAsia="Courier New" w:hAnsi="Courier New"/>
                <w:sz w:val="18"/>
                <w:szCs w:val="18"/>
                <w:color w:val="auto"/>
              </w:rPr>
              <w:t>equivalents</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128.1</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78.4</w:t>
            </w: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Liquid investments</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427.7</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354.6</w:t>
            </w: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Receivables</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455.4</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235.7</w:t>
            </w: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204.8</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101.1</w:t>
            </w: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9.1</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w:t>
            </w:r>
          </w:p>
        </w:tc>
        <w:tc>
          <w:tcPr>
            <w:tcW w:w="4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income taxes</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49.0</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20.1</w:t>
            </w:r>
          </w:p>
        </w:tc>
      </w:tr>
      <w:tr>
        <w:trPr>
          <w:trHeight w:val="203"/>
        </w:trPr>
        <w:tc>
          <w:tcPr>
            <w:tcW w:w="9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4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current assets</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1,274.1</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793.2</w:t>
            </w:r>
          </w:p>
        </w:tc>
      </w:tr>
      <w:tr>
        <w:trPr>
          <w:trHeight w:val="405"/>
        </w:trPr>
        <w:tc>
          <w:tcPr>
            <w:tcW w:w="5380" w:type="dxa"/>
            <w:vAlign w:val="bottom"/>
            <w:gridSpan w:val="2"/>
          </w:tcPr>
          <w:p>
            <w:pPr>
              <w:spacing w:after="0"/>
              <w:rPr>
                <w:sz w:val="20"/>
                <w:szCs w:val="20"/>
                <w:color w:val="auto"/>
              </w:rPr>
            </w:pPr>
            <w:r>
              <w:rPr>
                <w:rFonts w:ascii="Courier New" w:cs="Courier New" w:eastAsia="Courier New" w:hAnsi="Courier New"/>
                <w:sz w:val="18"/>
                <w:szCs w:val="18"/>
                <w:color w:val="auto"/>
              </w:rPr>
              <w:t>Product and process technology, net</w:t>
            </w:r>
          </w:p>
        </w:tc>
        <w:tc>
          <w:tcPr>
            <w:tcW w:w="52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41.6</w:t>
            </w: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48.2</w:t>
            </w: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Property, plant, and equipment, net</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1,385.6</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663.5</w:t>
            </w: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73.6</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24.8</w:t>
            </w:r>
          </w:p>
        </w:tc>
      </w:tr>
      <w:tr>
        <w:trPr>
          <w:trHeight w:val="203"/>
        </w:trPr>
        <w:tc>
          <w:tcPr>
            <w:tcW w:w="9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4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assets</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$2,774.9</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$1,529.7</w:t>
            </w:r>
          </w:p>
        </w:tc>
      </w:tr>
      <w:tr>
        <w:trPr>
          <w:trHeight w:val="203"/>
        </w:trPr>
        <w:tc>
          <w:tcPr>
            <w:tcW w:w="9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gridSpan w:val="2"/>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Accounts</w:t>
            </w:r>
          </w:p>
        </w:tc>
        <w:tc>
          <w:tcPr>
            <w:tcW w:w="4480" w:type="dxa"/>
            <w:vAlign w:val="bottom"/>
          </w:tcPr>
          <w:p>
            <w:pPr>
              <w:ind w:left="60"/>
              <w:spacing w:after="0"/>
              <w:rPr>
                <w:sz w:val="20"/>
                <w:szCs w:val="20"/>
                <w:color w:val="auto"/>
              </w:rPr>
            </w:pPr>
            <w:r>
              <w:rPr>
                <w:rFonts w:ascii="Courier New" w:cs="Courier New" w:eastAsia="Courier New" w:hAnsi="Courier New"/>
                <w:sz w:val="18"/>
                <w:szCs w:val="18"/>
                <w:color w:val="auto"/>
              </w:rPr>
              <w:t>payable and accrued expenses</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502.3</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200.2</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w:t>
            </w:r>
          </w:p>
        </w:tc>
        <w:tc>
          <w:tcPr>
            <w:tcW w:w="4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income</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16.4</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w:t>
            </w: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Equipment purchase contracts</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59.6</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31.2</w:t>
            </w: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26.5</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29.8</w:t>
            </w:r>
          </w:p>
        </w:tc>
      </w:tr>
      <w:tr>
        <w:trPr>
          <w:trHeight w:val="203"/>
        </w:trPr>
        <w:tc>
          <w:tcPr>
            <w:tcW w:w="9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4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604.8</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274.2</w:t>
            </w:r>
          </w:p>
        </w:tc>
      </w:tr>
      <w:tr>
        <w:trPr>
          <w:trHeight w:val="405"/>
        </w:trPr>
        <w:tc>
          <w:tcPr>
            <w:tcW w:w="5380" w:type="dxa"/>
            <w:vAlign w:val="bottom"/>
            <w:gridSpan w:val="2"/>
          </w:tcPr>
          <w:p>
            <w:pPr>
              <w:spacing w:after="0"/>
              <w:rPr>
                <w:sz w:val="20"/>
                <w:szCs w:val="20"/>
                <w:color w:val="auto"/>
              </w:rPr>
            </w:pPr>
            <w:r>
              <w:rPr>
                <w:rFonts w:ascii="Courier New" w:cs="Courier New" w:eastAsia="Courier New" w:hAnsi="Courier New"/>
                <w:sz w:val="18"/>
                <w:szCs w:val="18"/>
                <w:color w:val="auto"/>
              </w:rPr>
              <w:t>Long-term debt</w:t>
            </w:r>
          </w:p>
        </w:tc>
        <w:tc>
          <w:tcPr>
            <w:tcW w:w="52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129.4</w:t>
            </w: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124.7</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w:t>
            </w:r>
          </w:p>
        </w:tc>
        <w:tc>
          <w:tcPr>
            <w:tcW w:w="4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income taxes</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93.3</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54.1</w:t>
            </w: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Other liabilities</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51.2</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27.4</w:t>
            </w:r>
          </w:p>
        </w:tc>
      </w:tr>
      <w:tr>
        <w:trPr>
          <w:trHeight w:val="203"/>
        </w:trPr>
        <w:tc>
          <w:tcPr>
            <w:tcW w:w="9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4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liabilities</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878.7</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480.4</w:t>
            </w:r>
          </w:p>
        </w:tc>
      </w:tr>
      <w:tr>
        <w:trPr>
          <w:trHeight w:val="203"/>
        </w:trPr>
        <w:tc>
          <w:tcPr>
            <w:tcW w:w="9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gridSpan w:val="2"/>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5"/>
        </w:trPr>
        <w:tc>
          <w:tcPr>
            <w:tcW w:w="5380" w:type="dxa"/>
            <w:vAlign w:val="bottom"/>
            <w:gridSpan w:val="2"/>
          </w:tcPr>
          <w:p>
            <w:pPr>
              <w:spacing w:after="0"/>
              <w:rPr>
                <w:sz w:val="20"/>
                <w:szCs w:val="20"/>
                <w:color w:val="auto"/>
              </w:rPr>
            </w:pPr>
            <w:r>
              <w:rPr>
                <w:rFonts w:ascii="Courier New" w:cs="Courier New" w:eastAsia="Courier New" w:hAnsi="Courier New"/>
                <w:sz w:val="18"/>
                <w:szCs w:val="18"/>
                <w:color w:val="auto"/>
              </w:rPr>
              <w:t>Common stock, $0.10 par value, authorized 300.0</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million</w:t>
            </w:r>
          </w:p>
        </w:tc>
        <w:tc>
          <w:tcPr>
            <w:tcW w:w="4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issued and outstanding 206.4</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million</w:t>
            </w:r>
          </w:p>
        </w:tc>
        <w:tc>
          <w:tcPr>
            <w:tcW w:w="4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203.8 million shares, respectively</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20.6</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w:t>
            </w: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Additional capital</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391.5</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368.3</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Retained</w:t>
            </w:r>
          </w:p>
        </w:tc>
        <w:tc>
          <w:tcPr>
            <w:tcW w:w="4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earnings</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1,484.1</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670.8</w:t>
            </w:r>
          </w:p>
        </w:tc>
      </w:tr>
      <w:tr>
        <w:trPr>
          <w:trHeight w:val="203"/>
        </w:trPr>
        <w:tc>
          <w:tcPr>
            <w:tcW w:w="9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4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1,896.2</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1,049.3</w:t>
            </w:r>
          </w:p>
        </w:tc>
      </w:tr>
      <w:tr>
        <w:trPr>
          <w:trHeight w:val="203"/>
        </w:trPr>
        <w:tc>
          <w:tcPr>
            <w:tcW w:w="9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4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liabilities and shareholders' equity</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$2,774.9</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$1,529.7</w:t>
            </w:r>
          </w:p>
        </w:tc>
      </w:tr>
      <w:tr>
        <w:trPr>
          <w:trHeight w:val="203"/>
        </w:trPr>
        <w:tc>
          <w:tcPr>
            <w:tcW w:w="9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919"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ectPr>
          <w:pgSz w:w="11900" w:h="16838" w:orient="portrait"/>
          <w:cols w:equalWidth="0" w:num="1">
            <w:col w:w="10219"/>
          </w:cols>
          <w:pgMar w:left="240" w:top="547"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8"/>
          <w:szCs w:val="18"/>
          <w:color w:val="auto"/>
        </w:rPr>
        <w:t>Micron Technology, Inc.</w:t>
      </w:r>
    </w:p>
    <w:p>
      <w:pPr>
        <w:spacing w:after="0" w:line="238" w:lineRule="auto"/>
        <w:rPr>
          <w:sz w:val="20"/>
          <w:szCs w:val="20"/>
          <w:color w:val="auto"/>
        </w:rPr>
      </w:pPr>
      <w:r>
        <w:rPr>
          <w:rFonts w:ascii="Courier New" w:cs="Courier New" w:eastAsia="Courier New" w:hAnsi="Courier New"/>
          <w:sz w:val="18"/>
          <w:szCs w:val="18"/>
          <w:color w:val="auto"/>
        </w:rPr>
        <w:t>Consolidated Statements of Shareholders' Equity</w:t>
      </w:r>
    </w:p>
    <w:p>
      <w:pPr>
        <w:spacing w:after="0"/>
        <w:rPr>
          <w:sz w:val="20"/>
          <w:szCs w:val="20"/>
          <w:color w:val="auto"/>
        </w:rPr>
      </w:pPr>
      <w:r>
        <w:rPr>
          <w:rFonts w:ascii="Courier New" w:cs="Courier New" w:eastAsia="Courier New" w:hAnsi="Courier New"/>
          <w:sz w:val="18"/>
          <w:szCs w:val="18"/>
          <w:color w:val="auto"/>
        </w:rPr>
        <w:t>(Dollars and shares in millions)</w:t>
      </w:r>
    </w:p>
    <w:p>
      <w:pPr>
        <w:spacing w:after="0" w:line="200" w:lineRule="exact"/>
        <w:rPr>
          <w:sz w:val="20"/>
          <w:szCs w:val="20"/>
          <w:color w:val="auto"/>
        </w:rPr>
      </w:pPr>
    </w:p>
    <w:p>
      <w:pPr>
        <w:spacing w:after="0" w:line="203" w:lineRule="exact"/>
        <w:rPr>
          <w:sz w:val="20"/>
          <w:szCs w:val="20"/>
          <w:color w:val="auto"/>
        </w:rPr>
      </w:pPr>
    </w:p>
    <w:p>
      <w:pPr>
        <w:ind w:left="2960"/>
        <w:spacing w:after="0"/>
        <w:tabs>
          <w:tab w:leader="none" w:pos="4720" w:val="left"/>
          <w:tab w:leader="none" w:pos="6840" w:val="left"/>
        </w:tabs>
        <w:rPr>
          <w:sz w:val="20"/>
          <w:szCs w:val="20"/>
          <w:color w:val="auto"/>
        </w:rPr>
      </w:pPr>
      <w:r>
        <w:rPr>
          <w:rFonts w:ascii="Courier New" w:cs="Courier New" w:eastAsia="Courier New" w:hAnsi="Courier New"/>
          <w:sz w:val="18"/>
          <w:szCs w:val="18"/>
          <w:color w:val="auto"/>
        </w:rPr>
        <w:t>August 31,</w:t>
      </w:r>
      <w:r>
        <w:rPr>
          <w:sz w:val="20"/>
          <w:szCs w:val="20"/>
          <w:color w:val="auto"/>
        </w:rPr>
        <w:tab/>
      </w:r>
      <w:r>
        <w:rPr>
          <w:rFonts w:ascii="Courier New" w:cs="Courier New" w:eastAsia="Courier New" w:hAnsi="Courier New"/>
          <w:sz w:val="18"/>
          <w:szCs w:val="18"/>
          <w:color w:val="auto"/>
        </w:rPr>
        <w:t>September 1,</w:t>
      </w:r>
      <w:r>
        <w:rPr>
          <w:sz w:val="20"/>
          <w:szCs w:val="20"/>
          <w:color w:val="auto"/>
        </w:rPr>
        <w:tab/>
      </w:r>
      <w:r>
        <w:rPr>
          <w:rFonts w:ascii="Courier New" w:cs="Courier New" w:eastAsia="Courier New" w:hAnsi="Courier New"/>
          <w:sz w:val="16"/>
          <w:szCs w:val="16"/>
          <w:color w:val="auto"/>
        </w:rPr>
        <w:t>September 2,</w:t>
      </w:r>
    </w:p>
    <w:p>
      <w:pPr>
        <w:spacing w:after="0"/>
        <w:tabs>
          <w:tab w:leader="none" w:pos="3140" w:val="left"/>
          <w:tab w:leader="none" w:pos="5040" w:val="left"/>
          <w:tab w:leader="none" w:pos="7040" w:val="left"/>
        </w:tabs>
        <w:rPr>
          <w:sz w:val="20"/>
          <w:szCs w:val="20"/>
          <w:color w:val="auto"/>
        </w:rPr>
      </w:pPr>
      <w:r>
        <w:rPr>
          <w:rFonts w:ascii="Courier New" w:cs="Courier New" w:eastAsia="Courier New" w:hAnsi="Courier New"/>
          <w:sz w:val="18"/>
          <w:szCs w:val="18"/>
          <w:color w:val="auto"/>
        </w:rPr>
        <w:t>Fiscal year ended</w:t>
      </w:r>
      <w:r>
        <w:rPr>
          <w:sz w:val="20"/>
          <w:szCs w:val="20"/>
          <w:color w:val="auto"/>
        </w:rPr>
        <w:tab/>
      </w:r>
      <w:r>
        <w:rPr>
          <w:rFonts w:ascii="Courier New" w:cs="Courier New" w:eastAsia="Courier New" w:hAnsi="Courier New"/>
          <w:sz w:val="18"/>
          <w:szCs w:val="18"/>
          <w:color w:val="auto"/>
        </w:rPr>
        <w:t>1995</w:t>
      </w:r>
      <w:r>
        <w:rPr>
          <w:sz w:val="20"/>
          <w:szCs w:val="20"/>
          <w:color w:val="auto"/>
        </w:rPr>
        <w:tab/>
      </w: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6"/>
          <w:szCs w:val="16"/>
          <w:color w:val="auto"/>
        </w:rPr>
        <w:t>1993</w:t>
      </w:r>
    </w:p>
    <w:p>
      <w:pPr>
        <w:ind w:left="2640"/>
        <w:spacing w:after="0"/>
        <w:tabs>
          <w:tab w:leader="none" w:pos="3560" w:val="left"/>
          <w:tab w:leader="none" w:pos="4620" w:val="left"/>
          <w:tab w:leader="none" w:pos="5580" w:val="left"/>
          <w:tab w:leader="none" w:pos="6620" w:val="left"/>
          <w:tab w:leader="none" w:pos="7580" w:val="left"/>
        </w:tabs>
        <w:rPr>
          <w:sz w:val="20"/>
          <w:szCs w:val="20"/>
          <w:color w:val="auto"/>
        </w:rPr>
      </w:pPr>
      <w:r>
        <w:rPr>
          <w:rFonts w:ascii="Courier New" w:cs="Courier New" w:eastAsia="Courier New" w:hAnsi="Courier New"/>
          <w:sz w:val="18"/>
          <w:szCs w:val="18"/>
          <w:color w:val="auto"/>
        </w:rPr>
        <w:t>Shares</w:t>
        <w:tab/>
        <w:t>Amount</w:t>
      </w:r>
      <w:r>
        <w:rPr>
          <w:sz w:val="20"/>
          <w:szCs w:val="20"/>
          <w:color w:val="auto"/>
        </w:rPr>
        <w:tab/>
      </w: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Amount</w:t>
      </w:r>
      <w:r>
        <w:rPr>
          <w:sz w:val="20"/>
          <w:szCs w:val="20"/>
          <w:color w:val="auto"/>
        </w:rPr>
        <w:tab/>
      </w: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6"/>
          <w:szCs w:val="16"/>
          <w:color w:val="auto"/>
        </w:rPr>
        <w:t>Amount</w:t>
      </w:r>
    </w:p>
    <w:p>
      <w:pPr>
        <w:spacing w:after="0" w:line="3"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Balance at</w:t>
            </w:r>
          </w:p>
        </w:tc>
        <w:tc>
          <w:tcPr>
            <w:tcW w:w="1280" w:type="dxa"/>
            <w:vAlign w:val="bottom"/>
          </w:tcPr>
          <w:p>
            <w:pPr>
              <w:spacing w:after="0"/>
              <w:rPr>
                <w:sz w:val="20"/>
                <w:szCs w:val="20"/>
                <w:color w:val="auto"/>
              </w:rPr>
            </w:pPr>
            <w:r>
              <w:rPr>
                <w:rFonts w:ascii="Courier New" w:cs="Courier New" w:eastAsia="Courier New" w:hAnsi="Courier New"/>
                <w:sz w:val="18"/>
                <w:szCs w:val="18"/>
                <w:color w:val="auto"/>
              </w:rPr>
              <w:t>beginning</w:t>
            </w: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year</w:t>
            </w:r>
          </w:p>
        </w:tc>
        <w:tc>
          <w:tcPr>
            <w:tcW w:w="1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101.9</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40.1</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sold</w:t>
            </w:r>
          </w:p>
        </w:tc>
        <w:tc>
          <w:tcPr>
            <w:tcW w:w="1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w:t>
            </w:r>
          </w:p>
        </w:tc>
        <w:tc>
          <w:tcPr>
            <w:tcW w:w="3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0.9</w:t>
            </w:r>
          </w:p>
        </w:tc>
        <w:tc>
          <w:tcPr>
            <w:tcW w:w="3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Stock split</w:t>
            </w:r>
          </w:p>
        </w:tc>
        <w:tc>
          <w:tcPr>
            <w:tcW w:w="1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102.9</w:t>
            </w:r>
          </w:p>
        </w:tc>
        <w:tc>
          <w:tcPr>
            <w:tcW w:w="3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60.9</w:t>
            </w:r>
          </w:p>
        </w:tc>
        <w:tc>
          <w:tcPr>
            <w:tcW w:w="3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at</w:t>
            </w:r>
          </w:p>
        </w:tc>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end of year</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206.4</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20.6</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101.9</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40.1</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160" w:type="dxa"/>
            <w:vAlign w:val="bottom"/>
          </w:tcPr>
          <w:p>
            <w:pPr>
              <w:spacing w:after="0"/>
              <w:rPr>
                <w:sz w:val="20"/>
                <w:szCs w:val="20"/>
                <w:color w:val="auto"/>
              </w:rPr>
            </w:pPr>
            <w:r>
              <w:rPr>
                <w:rFonts w:ascii="Courier New" w:cs="Courier New" w:eastAsia="Courier New" w:hAnsi="Courier New"/>
                <w:sz w:val="18"/>
                <w:szCs w:val="18"/>
                <w:color w:val="auto"/>
              </w:rPr>
              <w:t>Additional</w:t>
            </w:r>
          </w:p>
        </w:tc>
        <w:tc>
          <w:tcPr>
            <w:tcW w:w="1280" w:type="dxa"/>
            <w:vAlign w:val="bottom"/>
          </w:tcPr>
          <w:p>
            <w:pPr>
              <w:spacing w:after="0"/>
              <w:rPr>
                <w:sz w:val="20"/>
                <w:szCs w:val="20"/>
                <w:color w:val="auto"/>
              </w:rPr>
            </w:pPr>
            <w:r>
              <w:rPr>
                <w:rFonts w:ascii="Courier New" w:cs="Courier New" w:eastAsia="Courier New" w:hAnsi="Courier New"/>
                <w:sz w:val="18"/>
                <w:szCs w:val="18"/>
                <w:color w:val="auto"/>
              </w:rPr>
              <w:t>capital</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Balance at</w:t>
            </w:r>
          </w:p>
        </w:tc>
        <w:tc>
          <w:tcPr>
            <w:tcW w:w="2220" w:type="dxa"/>
            <w:vAlign w:val="bottom"/>
            <w:gridSpan w:val="2"/>
          </w:tcPr>
          <w:p>
            <w:pPr>
              <w:spacing w:after="0"/>
              <w:rPr>
                <w:sz w:val="20"/>
                <w:szCs w:val="20"/>
                <w:color w:val="auto"/>
              </w:rPr>
            </w:pPr>
            <w:r>
              <w:rPr>
                <w:rFonts w:ascii="Courier New" w:cs="Courier New" w:eastAsia="Courier New" w:hAnsi="Courier New"/>
                <w:sz w:val="18"/>
                <w:szCs w:val="18"/>
                <w:color w:val="auto"/>
              </w:rPr>
              <w:t>beginning of year</w:t>
            </w:r>
          </w:p>
        </w:tc>
        <w:tc>
          <w:tcPr>
            <w:tcW w:w="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368.3</w:t>
            </w:r>
          </w:p>
        </w:tc>
        <w:tc>
          <w:tcPr>
            <w:tcW w:w="900" w:type="dxa"/>
            <w:vAlign w:val="bottom"/>
          </w:tcPr>
          <w:p>
            <w:pPr>
              <w:spacing w:after="0"/>
              <w:rPr>
                <w:sz w:val="24"/>
                <w:szCs w:val="24"/>
                <w:color w:val="auto"/>
              </w:rPr>
            </w:pPr>
          </w:p>
        </w:tc>
        <w:tc>
          <w:tcPr>
            <w:tcW w:w="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353.0</w:t>
            </w:r>
          </w:p>
        </w:tc>
        <w:tc>
          <w:tcPr>
            <w:tcW w:w="900" w:type="dxa"/>
            <w:vAlign w:val="bottom"/>
          </w:tcPr>
          <w:p>
            <w:pPr>
              <w:spacing w:after="0"/>
              <w:rPr>
                <w:sz w:val="24"/>
                <w:szCs w:val="24"/>
                <w:color w:val="auto"/>
              </w:rPr>
            </w:pPr>
          </w:p>
        </w:tc>
        <w:tc>
          <w:tcPr>
            <w:tcW w:w="96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$ 327.2</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sold</w:t>
            </w:r>
          </w:p>
        </w:tc>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17.7</w:t>
            </w: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9.8</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18.2</w:t>
            </w:r>
          </w:p>
        </w:tc>
      </w:tr>
      <w:tr>
        <w:trPr>
          <w:trHeight w:val="203"/>
        </w:trPr>
        <w:tc>
          <w:tcPr>
            <w:tcW w:w="2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Stock option plan</w:t>
            </w: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w:t>
            </w: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Tax effect</w:t>
            </w:r>
          </w:p>
        </w:tc>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of stock purchase</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plans</w:t>
            </w:r>
          </w:p>
        </w:tc>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13.6</w:t>
            </w: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10.6</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7.7</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Stock split</w:t>
            </w:r>
          </w:p>
        </w:tc>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w:t>
            </w: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at</w:t>
            </w:r>
          </w:p>
        </w:tc>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end of year</w:t>
            </w:r>
          </w:p>
        </w:tc>
        <w:tc>
          <w:tcPr>
            <w:tcW w:w="940" w:type="dxa"/>
            <w:vAlign w:val="bottom"/>
          </w:tcPr>
          <w:p>
            <w:pPr>
              <w:spacing w:after="0"/>
              <w:rPr>
                <w:sz w:val="17"/>
                <w:szCs w:val="17"/>
                <w:color w:val="auto"/>
              </w:rPr>
            </w:pP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391.5</w:t>
            </w:r>
          </w:p>
        </w:tc>
        <w:tc>
          <w:tcPr>
            <w:tcW w:w="900" w:type="dxa"/>
            <w:vAlign w:val="bottom"/>
          </w:tcPr>
          <w:p>
            <w:pPr>
              <w:spacing w:after="0"/>
              <w:rPr>
                <w:sz w:val="17"/>
                <w:szCs w:val="17"/>
                <w:color w:val="auto"/>
              </w:rPr>
            </w:pP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368.3</w:t>
            </w:r>
          </w:p>
        </w:tc>
        <w:tc>
          <w:tcPr>
            <w:tcW w:w="90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$ 353.0</w:t>
            </w:r>
          </w:p>
        </w:tc>
      </w:tr>
      <w:tr>
        <w:trPr>
          <w:trHeight w:val="203"/>
        </w:trPr>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440" w:type="dxa"/>
            <w:vAlign w:val="bottom"/>
            <w:gridSpan w:val="2"/>
          </w:tcPr>
          <w:p>
            <w:pPr>
              <w:spacing w:after="0"/>
              <w:rPr>
                <w:sz w:val="20"/>
                <w:szCs w:val="20"/>
                <w:color w:val="auto"/>
              </w:rPr>
            </w:pPr>
            <w:r>
              <w:rPr>
                <w:rFonts w:ascii="Courier New" w:cs="Courier New" w:eastAsia="Courier New" w:hAnsi="Courier New"/>
                <w:sz w:val="18"/>
                <w:szCs w:val="18"/>
                <w:color w:val="auto"/>
              </w:rPr>
              <w:t>Retained earnings</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Balance at</w:t>
            </w:r>
          </w:p>
        </w:tc>
        <w:tc>
          <w:tcPr>
            <w:tcW w:w="2220" w:type="dxa"/>
            <w:vAlign w:val="bottom"/>
            <w:gridSpan w:val="2"/>
          </w:tcPr>
          <w:p>
            <w:pPr>
              <w:spacing w:after="0"/>
              <w:rPr>
                <w:sz w:val="20"/>
                <w:szCs w:val="20"/>
                <w:color w:val="auto"/>
              </w:rPr>
            </w:pPr>
            <w:r>
              <w:rPr>
                <w:rFonts w:ascii="Courier New" w:cs="Courier New" w:eastAsia="Courier New" w:hAnsi="Courier New"/>
                <w:sz w:val="18"/>
                <w:szCs w:val="18"/>
                <w:color w:val="auto"/>
              </w:rPr>
              <w:t>beginning of year</w:t>
            </w:r>
          </w:p>
        </w:tc>
        <w:tc>
          <w:tcPr>
            <w:tcW w:w="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670.8</w:t>
            </w:r>
          </w:p>
        </w:tc>
        <w:tc>
          <w:tcPr>
            <w:tcW w:w="900" w:type="dxa"/>
            <w:vAlign w:val="bottom"/>
          </w:tcPr>
          <w:p>
            <w:pPr>
              <w:spacing w:after="0"/>
              <w:rPr>
                <w:sz w:val="24"/>
                <w:szCs w:val="24"/>
                <w:color w:val="auto"/>
              </w:rPr>
            </w:pPr>
          </w:p>
        </w:tc>
        <w:tc>
          <w:tcPr>
            <w:tcW w:w="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282.5</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$180.3</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844.1</w:t>
            </w: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400.5</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104.1</w:t>
            </w:r>
          </w:p>
        </w:tc>
      </w:tr>
      <w:tr>
        <w:trPr>
          <w:trHeight w:val="203"/>
        </w:trPr>
        <w:tc>
          <w:tcPr>
            <w:tcW w:w="2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Dividends paid</w:t>
            </w: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w:t>
            </w: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at</w:t>
            </w:r>
          </w:p>
        </w:tc>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end of year</w:t>
            </w:r>
          </w:p>
        </w:tc>
        <w:tc>
          <w:tcPr>
            <w:tcW w:w="9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$1,484.1</w:t>
            </w:r>
          </w:p>
        </w:tc>
        <w:tc>
          <w:tcPr>
            <w:tcW w:w="900" w:type="dxa"/>
            <w:vAlign w:val="bottom"/>
          </w:tcPr>
          <w:p>
            <w:pPr>
              <w:spacing w:after="0"/>
              <w:rPr>
                <w:sz w:val="17"/>
                <w:szCs w:val="17"/>
                <w:color w:val="auto"/>
              </w:rPr>
            </w:pP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670.8</w:t>
            </w:r>
          </w:p>
        </w:tc>
        <w:tc>
          <w:tcPr>
            <w:tcW w:w="90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$ 282.5</w:t>
            </w:r>
          </w:p>
        </w:tc>
      </w:tr>
      <w:tr>
        <w:trPr>
          <w:trHeight w:val="203"/>
        </w:trPr>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accompanying notes are an integral part of the financial statements.</w:t>
      </w:r>
    </w:p>
    <w:p>
      <w:pPr>
        <w:sectPr>
          <w:pgSz w:w="11900" w:h="16838" w:orient="portrait"/>
          <w:cols w:equalWidth="0" w:num="1">
            <w:col w:w="10219"/>
          </w:cols>
          <w:pgMar w:left="240" w:top="919"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Micron</w:t>
            </w:r>
          </w:p>
        </w:tc>
        <w:tc>
          <w:tcPr>
            <w:tcW w:w="33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Technology, Inc.</w:t>
            </w: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4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Consolidated Statements of Cash Flows</w:t>
            </w: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(Dollars in</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millions)</w:t>
            </w: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608"/>
        </w:trPr>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August</w:t>
            </w:r>
          </w:p>
        </w:tc>
        <w:tc>
          <w:tcPr>
            <w:tcW w:w="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31,</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September</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September</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Fiscal</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year</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ended</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4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c>
          <w:tcPr>
            <w:tcW w:w="3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1993</w:t>
            </w:r>
          </w:p>
        </w:tc>
        <w:tc>
          <w:tcPr>
            <w:tcW w:w="26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Cash flows of operating activities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844.1</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400.5</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104.1</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Adjustments to reconcile net income to</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cash provided by operating</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activities:</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w:t>
            </w:r>
          </w:p>
        </w:tc>
        <w:tc>
          <w:tcPr>
            <w:tcW w:w="2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199.0</w:t>
            </w:r>
          </w:p>
        </w:tc>
        <w:tc>
          <w:tcPr>
            <w:tcW w:w="480" w:type="dxa"/>
            <w:vAlign w:val="bottom"/>
          </w:tcPr>
          <w:p>
            <w:pPr>
              <w:spacing w:after="0"/>
              <w:rPr>
                <w:sz w:val="17"/>
                <w:szCs w:val="17"/>
                <w:color w:val="auto"/>
              </w:rPr>
            </w:pP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138.8</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111.9</w:t>
            </w:r>
          </w:p>
        </w:tc>
      </w:tr>
      <w:tr>
        <w:trPr>
          <w:trHeight w:val="203"/>
        </w:trPr>
        <w:tc>
          <w:tcPr>
            <w:tcW w:w="4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in receivables</w:t>
            </w:r>
          </w:p>
        </w:tc>
        <w:tc>
          <w:tcPr>
            <w:tcW w:w="2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(197.9)</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(81.0)</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(76.7)</w:t>
            </w:r>
          </w:p>
        </w:tc>
      </w:tr>
      <w:tr>
        <w:trPr>
          <w:trHeight w:val="203"/>
        </w:trPr>
        <w:tc>
          <w:tcPr>
            <w:tcW w:w="4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in inventories</w:t>
            </w:r>
          </w:p>
        </w:tc>
        <w:tc>
          <w:tcPr>
            <w:tcW w:w="2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(76.0)</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(17.9)</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w:t>
            </w:r>
          </w:p>
        </w:tc>
      </w:tr>
      <w:tr>
        <w:trPr>
          <w:trHeight w:val="203"/>
        </w:trPr>
        <w:tc>
          <w:tcPr>
            <w:tcW w:w="4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in accounts payable and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accrued expenses</w:t>
            </w:r>
          </w:p>
        </w:tc>
        <w:tc>
          <w:tcPr>
            <w:tcW w:w="2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249.4</w:t>
            </w:r>
          </w:p>
        </w:tc>
        <w:tc>
          <w:tcPr>
            <w:tcW w:w="480" w:type="dxa"/>
            <w:vAlign w:val="bottom"/>
          </w:tcPr>
          <w:p>
            <w:pPr>
              <w:spacing w:after="0"/>
              <w:rPr>
                <w:sz w:val="17"/>
                <w:szCs w:val="17"/>
                <w:color w:val="auto"/>
              </w:rPr>
            </w:pP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45.2</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96.2</w:t>
            </w:r>
          </w:p>
        </w:tc>
      </w:tr>
      <w:tr>
        <w:trPr>
          <w:trHeight w:val="203"/>
        </w:trPr>
        <w:tc>
          <w:tcPr>
            <w:tcW w:w="4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Gain from merger transaction</w:t>
            </w:r>
          </w:p>
        </w:tc>
        <w:tc>
          <w:tcPr>
            <w:tcW w:w="2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(29.0)</w:t>
            </w:r>
          </w:p>
        </w:tc>
        <w:tc>
          <w:tcPr>
            <w:tcW w:w="480" w:type="dxa"/>
            <w:vAlign w:val="bottom"/>
          </w:tcPr>
          <w:p>
            <w:pPr>
              <w:spacing w:after="0"/>
              <w:rPr>
                <w:sz w:val="17"/>
                <w:szCs w:val="17"/>
                <w:color w:val="auto"/>
              </w:rPr>
            </w:pP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2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49.2</w:t>
            </w:r>
          </w:p>
        </w:tc>
        <w:tc>
          <w:tcPr>
            <w:tcW w:w="480" w:type="dxa"/>
            <w:vAlign w:val="bottom"/>
          </w:tcPr>
          <w:p>
            <w:pPr>
              <w:spacing w:after="0"/>
              <w:rPr>
                <w:sz w:val="17"/>
                <w:szCs w:val="17"/>
                <w:color w:val="auto"/>
              </w:rPr>
            </w:pP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71.9</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30.5</w:t>
            </w:r>
          </w:p>
        </w:tc>
      </w:tr>
      <w:tr>
        <w:trPr>
          <w:trHeight w:val="203"/>
        </w:trPr>
        <w:tc>
          <w:tcPr>
            <w:tcW w:w="412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operating</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activities</w:t>
            </w:r>
          </w:p>
        </w:tc>
        <w:tc>
          <w:tcPr>
            <w:tcW w:w="2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1,038.8</w:t>
            </w:r>
          </w:p>
        </w:tc>
        <w:tc>
          <w:tcPr>
            <w:tcW w:w="480" w:type="dxa"/>
            <w:vAlign w:val="bottom"/>
          </w:tcPr>
          <w:p>
            <w:pPr>
              <w:spacing w:after="0"/>
              <w:rPr>
                <w:sz w:val="17"/>
                <w:szCs w:val="17"/>
                <w:color w:val="auto"/>
              </w:rPr>
            </w:pP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557.5</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257.3</w:t>
            </w:r>
          </w:p>
        </w:tc>
      </w:tr>
      <w:tr>
        <w:trPr>
          <w:trHeight w:val="203"/>
        </w:trPr>
        <w:tc>
          <w:tcPr>
            <w:tcW w:w="412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Cash flows of investing activities</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Purchase of available-for-sale and</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held-to-maturity securities</w:t>
            </w:r>
          </w:p>
        </w:tc>
        <w:tc>
          <w:tcPr>
            <w:tcW w:w="2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(719.6)</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(403.6)</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(218.0)</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sales and maturities</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securities</w:t>
            </w:r>
          </w:p>
        </w:tc>
        <w:tc>
          <w:tcPr>
            <w:tcW w:w="2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651.8</w:t>
            </w:r>
          </w:p>
        </w:tc>
        <w:tc>
          <w:tcPr>
            <w:tcW w:w="480" w:type="dxa"/>
            <w:vAlign w:val="bottom"/>
          </w:tcPr>
          <w:p>
            <w:pPr>
              <w:spacing w:after="0"/>
              <w:rPr>
                <w:sz w:val="17"/>
                <w:szCs w:val="17"/>
                <w:color w:val="auto"/>
              </w:rPr>
            </w:pP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185.3</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114.7</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Expenditures for property, plant,</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equipment</w:t>
            </w:r>
          </w:p>
        </w:tc>
        <w:tc>
          <w:tcPr>
            <w:tcW w:w="2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(730.0)</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(251.0)</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(83.4)</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2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27.2</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(10.5)</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412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cash used for investing activities</w:t>
            </w:r>
          </w:p>
        </w:tc>
        <w:tc>
          <w:tcPr>
            <w:tcW w:w="2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(770.6)</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(479.8)</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(188.5)</w:t>
            </w:r>
          </w:p>
        </w:tc>
      </w:tr>
      <w:tr>
        <w:trPr>
          <w:trHeight w:val="203"/>
        </w:trPr>
        <w:tc>
          <w:tcPr>
            <w:tcW w:w="412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Cash flows of financing activities</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Payments on equipment purchase</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contracts</w:t>
            </w:r>
          </w:p>
        </w:tc>
        <w:tc>
          <w:tcPr>
            <w:tcW w:w="2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(202.5)</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(119.3)</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(63.0)</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issuance of debt</w:t>
            </w:r>
          </w:p>
        </w:tc>
        <w:tc>
          <w:tcPr>
            <w:tcW w:w="2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62.4</w:t>
            </w:r>
          </w:p>
        </w:tc>
        <w:tc>
          <w:tcPr>
            <w:tcW w:w="480" w:type="dxa"/>
            <w:vAlign w:val="bottom"/>
          </w:tcPr>
          <w:p>
            <w:pPr>
              <w:spacing w:after="0"/>
              <w:rPr>
                <w:sz w:val="17"/>
                <w:szCs w:val="17"/>
                <w:color w:val="auto"/>
              </w:rPr>
            </w:pP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119.2</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41.7</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Repayments of debt</w:t>
            </w:r>
          </w:p>
        </w:tc>
        <w:tc>
          <w:tcPr>
            <w:tcW w:w="2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(63.4)</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(46.2)</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(52.8)</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Proceeds from issuance of common stock</w:t>
            </w:r>
          </w:p>
        </w:tc>
        <w:tc>
          <w:tcPr>
            <w:tcW w:w="2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18.4</w:t>
            </w:r>
          </w:p>
        </w:tc>
        <w:tc>
          <w:tcPr>
            <w:tcW w:w="480" w:type="dxa"/>
            <w:vAlign w:val="bottom"/>
          </w:tcPr>
          <w:p>
            <w:pPr>
              <w:spacing w:after="0"/>
              <w:rPr>
                <w:sz w:val="17"/>
                <w:szCs w:val="17"/>
                <w:color w:val="auto"/>
              </w:rPr>
            </w:pP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12.1</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19.3</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Payments of dividends</w:t>
            </w:r>
          </w:p>
        </w:tc>
        <w:tc>
          <w:tcPr>
            <w:tcW w:w="2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(30.8)</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(12.2)</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2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(0.4)</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w:t>
            </w:r>
          </w:p>
        </w:tc>
      </w:tr>
      <w:tr>
        <w:trPr>
          <w:trHeight w:val="203"/>
        </w:trPr>
        <w:tc>
          <w:tcPr>
            <w:tcW w:w="412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cash used for financing activities</w:t>
            </w:r>
          </w:p>
        </w:tc>
        <w:tc>
          <w:tcPr>
            <w:tcW w:w="2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(218.5)</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(46.8)</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(57.0)</w:t>
            </w:r>
          </w:p>
        </w:tc>
      </w:tr>
      <w:tr>
        <w:trPr>
          <w:trHeight w:val="203"/>
        </w:trPr>
        <w:tc>
          <w:tcPr>
            <w:tcW w:w="412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cash and equivalents</w:t>
            </w:r>
          </w:p>
        </w:tc>
        <w:tc>
          <w:tcPr>
            <w:tcW w:w="2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49.7</w:t>
            </w:r>
          </w:p>
        </w:tc>
        <w:tc>
          <w:tcPr>
            <w:tcW w:w="480" w:type="dxa"/>
            <w:vAlign w:val="bottom"/>
          </w:tcPr>
          <w:p>
            <w:pPr>
              <w:spacing w:after="0"/>
              <w:rPr>
                <w:sz w:val="17"/>
                <w:szCs w:val="17"/>
                <w:color w:val="auto"/>
              </w:rPr>
            </w:pP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30.9</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equivalents at beginning of</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year</w:t>
            </w:r>
          </w:p>
        </w:tc>
        <w:tc>
          <w:tcPr>
            <w:tcW w:w="2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78.4</w:t>
            </w:r>
          </w:p>
        </w:tc>
        <w:tc>
          <w:tcPr>
            <w:tcW w:w="480" w:type="dxa"/>
            <w:vAlign w:val="bottom"/>
          </w:tcPr>
          <w:p>
            <w:pPr>
              <w:spacing w:after="0"/>
              <w:rPr>
                <w:sz w:val="17"/>
                <w:szCs w:val="17"/>
                <w:color w:val="auto"/>
              </w:rPr>
            </w:pP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47.5</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35.7</w:t>
            </w:r>
          </w:p>
        </w:tc>
      </w:tr>
      <w:tr>
        <w:trPr>
          <w:trHeight w:val="203"/>
        </w:trPr>
        <w:tc>
          <w:tcPr>
            <w:tcW w:w="412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equivalents at end of year</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128.1</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78.4</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47.5</w:t>
            </w:r>
          </w:p>
        </w:tc>
      </w:tr>
      <w:tr>
        <w:trPr>
          <w:trHeight w:val="203"/>
        </w:trPr>
        <w:tc>
          <w:tcPr>
            <w:tcW w:w="412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Supplemental disclosures</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Income taxes paid, net</w:t>
            </w:r>
          </w:p>
        </w:tc>
        <w:tc>
          <w:tcPr>
            <w:tcW w:w="136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 (438.6)</w:t>
            </w:r>
          </w:p>
        </w:tc>
        <w:tc>
          <w:tcPr>
            <w:tcW w:w="154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 (197.4)</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(22.1)</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paid</w:t>
            </w:r>
          </w:p>
        </w:tc>
        <w:tc>
          <w:tcPr>
            <w:tcW w:w="2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(9.5)</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(6.6)</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Noncash investing and financing</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activities:</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Equipment acquisitions on contracts</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payable and capital leases</w:t>
            </w:r>
          </w:p>
        </w:tc>
        <w:tc>
          <w:tcPr>
            <w:tcW w:w="2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230.8</w:t>
            </w:r>
          </w:p>
        </w:tc>
        <w:tc>
          <w:tcPr>
            <w:tcW w:w="480" w:type="dxa"/>
            <w:vAlign w:val="bottom"/>
          </w:tcPr>
          <w:p>
            <w:pPr>
              <w:spacing w:after="0"/>
              <w:rPr>
                <w:sz w:val="17"/>
                <w:szCs w:val="17"/>
                <w:color w:val="auto"/>
              </w:rPr>
            </w:pP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125.6</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71.0</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Equipment acquisition in exchange</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for license of product and process</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technology</w:t>
            </w:r>
          </w:p>
        </w:tc>
        <w:tc>
          <w:tcPr>
            <w:tcW w:w="2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 acquired, net of cash and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liabilities assumed in merger</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transaction</w:t>
            </w:r>
          </w:p>
        </w:tc>
        <w:tc>
          <w:tcPr>
            <w:tcW w:w="2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26.0</w:t>
            </w:r>
          </w:p>
        </w:tc>
        <w:tc>
          <w:tcPr>
            <w:tcW w:w="480" w:type="dxa"/>
            <w:vAlign w:val="bottom"/>
          </w:tcPr>
          <w:p>
            <w:pPr>
              <w:spacing w:after="0"/>
              <w:rPr>
                <w:sz w:val="17"/>
                <w:szCs w:val="17"/>
                <w:color w:val="auto"/>
              </w:rPr>
            </w:pP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919" w:right="1440" w:bottom="564" w:gutter="0" w:footer="0" w:header="0"/>
        </w:sectPr>
      </w:pPr>
    </w:p>
    <w:bookmarkStart w:id="37" w:name="page38"/>
    <w:bookmarkEnd w:id="37"/>
    <w:p>
      <w:pPr>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ectPr>
          <w:pgSz w:w="11900" w:h="16838" w:orient="portrait"/>
          <w:cols w:equalWidth="0" w:num="1">
            <w:col w:w="10219"/>
          </w:cols>
          <w:pgMar w:left="240" w:top="547"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8"/>
          <w:szCs w:val="18"/>
          <w:color w:val="auto"/>
        </w:rPr>
        <w:t>Micron Technology, Inc.</w:t>
      </w:r>
    </w:p>
    <w:p>
      <w:pPr>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rPr>
          <w:sz w:val="20"/>
          <w:szCs w:val="20"/>
          <w:color w:val="auto"/>
        </w:rPr>
      </w:pPr>
      <w:r>
        <w:rPr>
          <w:rFonts w:ascii="Courier New" w:cs="Courier New" w:eastAsia="Courier New" w:hAnsi="Courier New"/>
          <w:sz w:val="18"/>
          <w:szCs w:val="18"/>
          <w:color w:val="auto"/>
        </w:rPr>
        <w:t>(All tabular dollar and share amounts are stated in millions)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Significant Accounting Policies</w:t>
      </w:r>
    </w:p>
    <w:p>
      <w:pPr>
        <w:spacing w:after="0" w:line="207" w:lineRule="exact"/>
        <w:rPr>
          <w:sz w:val="20"/>
          <w:szCs w:val="20"/>
          <w:color w:val="auto"/>
        </w:rPr>
      </w:pPr>
    </w:p>
    <w:p>
      <w:pPr>
        <w:ind w:right="2839"/>
        <w:spacing w:after="0" w:line="238" w:lineRule="auto"/>
        <w:rPr>
          <w:sz w:val="20"/>
          <w:szCs w:val="20"/>
          <w:color w:val="auto"/>
        </w:rPr>
      </w:pPr>
      <w:r>
        <w:rPr>
          <w:rFonts w:ascii="Courier New" w:cs="Courier New" w:eastAsia="Courier New" w:hAnsi="Courier New"/>
          <w:sz w:val="18"/>
          <w:szCs w:val="18"/>
          <w:color w:val="auto"/>
        </w:rPr>
        <w:t>Basis of presentation: The consolidated financial statements include the accounts of Micron Technology, Inc., and its domestic and foreign subsidiaries (the "Company"). The Company designs, develops, manufactures, and markets semiconductor memory products, including DRAMs and SRAMs, personal computers and complex printed circuit board assemblies. All significant intercompany accounts and transactions have been eliminated. The Company's fiscal year ends on the Thursday closest to August 31. During 1995, the Company acquired ZEOS International, Ltd. ("ZEOS"), a manufacturer of personal computer systems, in a merger transaction accounted for as a purchase. Under terms of the transaction, the Company, merged two of its operating subsidiaries, Micron Computer, Inc., and Micron Custom Manufacturing Services, Inc., with and into ZEOS in exchange for an approximate 79% ownership interest in ZEOS. The newly merged company was renamed Micron Electronics, Inc. ("MEI"), and the results of its operations (including those of the former ZEOS operation subsequent to the merger date) are included in the consolidated financial statements of the Company.</w:t>
      </w:r>
    </w:p>
    <w:p>
      <w:pPr>
        <w:spacing w:after="0" w:line="209"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Revenue recognition: Revenue from product sales to direct customers is recognized upon shipment. The Company defers recognition of sales to distributors, which allow certain rights of return and price protection, until distributors have sold the products. Net sales include construction management fees earned, and revenues under cross-license agreements with third parties and under government research contracts.</w:t>
      </w:r>
    </w:p>
    <w:p>
      <w:pPr>
        <w:spacing w:after="0" w:line="211"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Earnings per share: Earnings per share are computed using the weighted average number of common and common equivalent shares outstanding. Common equivalent shares result from the assumed exercise of outstanding stock options and affect earnings per share when they have a dilutive effect.</w:t>
      </w:r>
    </w:p>
    <w:p>
      <w:pPr>
        <w:spacing w:after="0" w:line="209" w:lineRule="exact"/>
        <w:rPr>
          <w:sz w:val="20"/>
          <w:szCs w:val="20"/>
          <w:color w:val="auto"/>
        </w:rPr>
      </w:pPr>
    </w:p>
    <w:p>
      <w:pPr>
        <w:ind w:right="2939"/>
        <w:spacing w:after="0" w:line="238" w:lineRule="auto"/>
        <w:rPr>
          <w:sz w:val="20"/>
          <w:szCs w:val="20"/>
          <w:color w:val="auto"/>
        </w:rPr>
      </w:pPr>
      <w:r>
        <w:rPr>
          <w:rFonts w:ascii="Courier New" w:cs="Courier New" w:eastAsia="Courier New" w:hAnsi="Courier New"/>
          <w:sz w:val="18"/>
          <w:szCs w:val="18"/>
          <w:color w:val="auto"/>
        </w:rPr>
        <w:t>Financial instruments: Cash equivalents include highly liquid short-term investments with original maturities of three months or less, readily convertible to known amounts of cash. The amounts reported as cash and equivalents, liquid investments, receivables, other assets, accounts payable and accrued expenses, and equipment purchase contracts and long-term debt are considered to be reasonable approximations of their fair values. The fair value estimates presented herein were based on market information available to management as of August 31, 1995. The use of different market assumptions and/or estimation methodologies could have a material effect on the estimated fair value amounts. The reported fair values do not take into consideration potential expenses that would be incurred in an actual settlement.</w:t>
      </w:r>
    </w:p>
    <w:p>
      <w:pPr>
        <w:spacing w:after="0" w:line="207" w:lineRule="exact"/>
        <w:rPr>
          <w:sz w:val="20"/>
          <w:szCs w:val="20"/>
          <w:color w:val="auto"/>
        </w:rPr>
      </w:pPr>
    </w:p>
    <w:p>
      <w:pPr>
        <w:ind w:right="2939"/>
        <w:spacing w:after="0" w:line="238" w:lineRule="auto"/>
        <w:rPr>
          <w:sz w:val="20"/>
          <w:szCs w:val="20"/>
          <w:color w:val="auto"/>
        </w:rPr>
      </w:pPr>
      <w:r>
        <w:rPr>
          <w:rFonts w:ascii="Courier New" w:cs="Courier New" w:eastAsia="Courier New" w:hAnsi="Courier New"/>
          <w:sz w:val="18"/>
          <w:szCs w:val="18"/>
          <w:color w:val="auto"/>
        </w:rPr>
        <w:t>Financial instruments that potentially subject the Company to concentrations of credit risk, consist principally of cash, liquid investments, and trade accounts receivable. The Company invests cash through high-credit-quality financial institutions and performs periodic evaluations of the relative credit standing of these financial institutions. The Company, by policy, limits the concentration of credit exposure by restricting investments with any single obligor, instrument, or geographic area. A concentration of credit risk may exist with respect to trade receivables, as a substantial portion of the Company's customers are affiliated with the computer, telecommunications, and office automation industries. The Company performs ongoing credit evaluations of customers world-wide and generally does not require collateral from its customers. Historically, the Company has not experienced significant losses related to receivables for individual customers or groups of customers in any particular industry or geographic area.</w:t>
      </w:r>
    </w:p>
    <w:p>
      <w:pPr>
        <w:spacing w:after="0" w:line="208"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Inventories: Inventories are stated at the lower of average cost or market. Cost includes labor, material, and overhead costs, including product and process technology costs.</w:t>
      </w:r>
    </w:p>
    <w:p>
      <w:pPr>
        <w:spacing w:after="0" w:line="209"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Property, plant, and equipment: Property, plant, and equipment are stated at cost. Depreciation is computed using the straight-line method over the estimated useful lives of 5 to 30 years for buildings and 2 to 5 years for equipment.</w:t>
      </w:r>
    </w:p>
    <w:p>
      <w:pPr>
        <w:sectPr>
          <w:pgSz w:w="11900" w:h="16838" w:orient="portrait"/>
          <w:cols w:equalWidth="0" w:num="1">
            <w:col w:w="10219"/>
          </w:cols>
          <w:pgMar w:left="240" w:top="717" w:right="1440" w:bottom="0" w:gutter="0" w:footer="0" w:header="0"/>
        </w:sectPr>
      </w:pPr>
    </w:p>
    <w:bookmarkStart w:id="39" w:name="page40"/>
    <w:bookmarkEnd w:id="39"/>
    <w:p>
      <w:pPr>
        <w:ind w:right="3039"/>
        <w:spacing w:after="0" w:line="237" w:lineRule="auto"/>
        <w:rPr>
          <w:sz w:val="20"/>
          <w:szCs w:val="20"/>
          <w:color w:val="auto"/>
        </w:rPr>
      </w:pPr>
      <w:r>
        <w:rPr>
          <w:rFonts w:ascii="Courier New" w:cs="Courier New" w:eastAsia="Courier New" w:hAnsi="Courier New"/>
          <w:sz w:val="18"/>
          <w:szCs w:val="18"/>
          <w:color w:val="auto"/>
        </w:rPr>
        <w:t>Product and process technology: Costs related to the conceptual formulation and design of products and processes are expensed as research and development. Costs incurred to establish patents and acquire product and process technology are capitalized. Capitalized costs are amortized on the units-of-production method and on the straight-line method over the shorter of the estimated useful life of the technology, the patent term, or the agreement, ranging up to 10 years.</w:t>
      </w:r>
    </w:p>
    <w:p>
      <w:pPr>
        <w:spacing w:after="0" w:line="212"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Foreign currency: The U.S. dollar is the Company's functional currency for financial reporting.</w:t>
      </w:r>
    </w:p>
    <w:p>
      <w:pPr>
        <w:sectPr>
          <w:pgSz w:w="11900" w:h="16838" w:orient="portrait"/>
          <w:cols w:equalWidth="0" w:num="1">
            <w:col w:w="10219"/>
          </w:cols>
          <w:pgMar w:left="240" w:top="344" w:right="1440" w:bottom="1440" w:gutter="0" w:footer="0" w:header="0"/>
        </w:sectPr>
      </w:pPr>
    </w:p>
    <w:bookmarkStart w:id="40" w:name="page41"/>
    <w:bookmarkEnd w:id="40"/>
    <w:p>
      <w:pPr>
        <w:ind w:right="2839"/>
        <w:spacing w:after="0" w:line="237" w:lineRule="auto"/>
        <w:rPr>
          <w:sz w:val="20"/>
          <w:szCs w:val="20"/>
          <w:color w:val="auto"/>
        </w:rPr>
      </w:pPr>
      <w:r>
        <w:rPr>
          <w:rFonts w:ascii="Courier New" w:cs="Courier New" w:eastAsia="Courier New" w:hAnsi="Courier New"/>
          <w:sz w:val="18"/>
          <w:szCs w:val="18"/>
          <w:color w:val="auto"/>
        </w:rPr>
        <w:t>Restatements and reclassifications: On March 27, 1995, the Company's Board of Directors announced a 2 for 1 stock split effected in the form of a stock dividend to shareholders of record as of May 4, 1995. On March 1, 1994, the Company's Board of Directors announced a 5 for 2 stock split effected in the form of a stock dividend to shareholders of record as of April 1, 1994. The Company distributed cash in lieu of fractional shares resulting from the stock split. The Company's par value of $0.10 per share remained unchanged. Historical share and per share amounts have been restated to reflect retroactively the stock splits.</w:t>
      </w:r>
    </w:p>
    <w:p>
      <w:pPr>
        <w:spacing w:after="0" w:line="215"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Certain reclassifications have been made, none of which affected results of operations, to present the financial statements on a consistent basis.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 Investments</w:t>
      </w:r>
    </w:p>
    <w:p>
      <w:pPr>
        <w:spacing w:after="0" w:line="200" w:lineRule="exact"/>
        <w:rPr>
          <w:sz w:val="20"/>
          <w:szCs w:val="20"/>
          <w:color w:val="auto"/>
        </w:rPr>
      </w:pPr>
    </w:p>
    <w:p>
      <w:pPr>
        <w:spacing w:after="0" w:line="209"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Company adopted Statement of Financial Accounting Standards ("SFAS") No. 115 "Accounting for Certain Investments in Debt and Equity Securities" as of September 1, 1994. Securities classified as available-for-sale are stated at their fair values which approximate cost. Securities classified as held-to-maturity are stated at amortized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900"/>
        <w:spacing w:after="0"/>
        <w:tabs>
          <w:tab w:leader="none" w:pos="7460" w:val="left"/>
        </w:tabs>
        <w:rPr>
          <w:sz w:val="20"/>
          <w:szCs w:val="20"/>
          <w:color w:val="auto"/>
        </w:rPr>
      </w:pPr>
      <w:r>
        <w:rPr>
          <w:rFonts w:ascii="Courier New" w:cs="Courier New" w:eastAsia="Courier New" w:hAnsi="Courier New"/>
          <w:sz w:val="18"/>
          <w:szCs w:val="18"/>
          <w:color w:val="auto"/>
        </w:rPr>
        <w:t>8/31/95</w:t>
      </w:r>
      <w:r>
        <w:rPr>
          <w:sz w:val="20"/>
          <w:szCs w:val="20"/>
          <w:color w:val="auto"/>
        </w:rPr>
        <w:tab/>
      </w:r>
      <w:r>
        <w:rPr>
          <w:rFonts w:ascii="Courier New" w:cs="Courier New" w:eastAsia="Courier New" w:hAnsi="Courier New"/>
          <w:sz w:val="18"/>
          <w:szCs w:val="18"/>
          <w:color w:val="auto"/>
        </w:rPr>
        <w:t>9/1/94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20"/>
                <w:szCs w:val="20"/>
                <w:color w:val="auto"/>
              </w:rPr>
            </w:pPr>
            <w:r>
              <w:rPr>
                <w:rFonts w:ascii="Courier New" w:cs="Courier New" w:eastAsia="Courier New" w:hAnsi="Courier New"/>
                <w:sz w:val="18"/>
                <w:szCs w:val="18"/>
                <w:color w:val="auto"/>
              </w:rPr>
              <w:t>Available-for-sale securities:</w:t>
            </w:r>
          </w:p>
        </w:tc>
        <w:tc>
          <w:tcPr>
            <w:tcW w:w="1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U.S. Government agency</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28.6</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36.9</w:t>
            </w: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State and local governments</w:t>
            </w:r>
          </w:p>
        </w:tc>
        <w:tc>
          <w:tcPr>
            <w:tcW w:w="154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7.6</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Corporate notes</w:t>
            </w:r>
          </w:p>
        </w:tc>
        <w:tc>
          <w:tcPr>
            <w:tcW w:w="154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4.0</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4480" w:type="dxa"/>
            <w:vAlign w:val="bottom"/>
          </w:tcPr>
          <w:p>
            <w:pPr>
              <w:spacing w:after="0"/>
              <w:rPr>
                <w:sz w:val="17"/>
                <w:szCs w:val="17"/>
                <w:color w:val="auto"/>
              </w:rPr>
            </w:pPr>
          </w:p>
        </w:tc>
        <w:tc>
          <w:tcPr>
            <w:tcW w:w="25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40.2</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42.9</w:t>
            </w:r>
          </w:p>
        </w:tc>
      </w:tr>
      <w:tr>
        <w:trPr>
          <w:trHeight w:val="203"/>
        </w:trPr>
        <w:tc>
          <w:tcPr>
            <w:tcW w:w="4480" w:type="dxa"/>
            <w:vAlign w:val="bottom"/>
          </w:tcPr>
          <w:p>
            <w:pPr>
              <w:spacing w:after="0"/>
              <w:rPr>
                <w:sz w:val="17"/>
                <w:szCs w:val="17"/>
                <w:color w:val="auto"/>
              </w:rPr>
            </w:pPr>
          </w:p>
        </w:tc>
        <w:tc>
          <w:tcPr>
            <w:tcW w:w="25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Held-to-maturity securities:</w:t>
            </w:r>
          </w:p>
        </w:tc>
        <w:tc>
          <w:tcPr>
            <w:tcW w:w="1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State and local governments</w:t>
            </w:r>
          </w:p>
        </w:tc>
        <w:tc>
          <w:tcPr>
            <w:tcW w:w="154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196.2</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140.3</w:t>
            </w: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Commercial paper</w:t>
            </w:r>
          </w:p>
        </w:tc>
        <w:tc>
          <w:tcPr>
            <w:tcW w:w="154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118.3</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76.9</w:t>
            </w: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U.S. Government agency</w:t>
            </w:r>
          </w:p>
        </w:tc>
        <w:tc>
          <w:tcPr>
            <w:tcW w:w="154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88.8</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51.1</w:t>
            </w: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Bankers' acceptances</w:t>
            </w:r>
          </w:p>
        </w:tc>
        <w:tc>
          <w:tcPr>
            <w:tcW w:w="154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44.5</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42.5</w:t>
            </w: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Corporate notes</w:t>
            </w:r>
          </w:p>
        </w:tc>
        <w:tc>
          <w:tcPr>
            <w:tcW w:w="154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16.5</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28.8</w:t>
            </w: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Certificate of deposit</w:t>
            </w:r>
          </w:p>
        </w:tc>
        <w:tc>
          <w:tcPr>
            <w:tcW w:w="154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w:t>
            </w:r>
          </w:p>
        </w:tc>
        <w:tc>
          <w:tcPr>
            <w:tcW w:w="154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3.1</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w:t>
            </w:r>
          </w:p>
        </w:tc>
      </w:tr>
      <w:tr>
        <w:trPr>
          <w:trHeight w:val="203"/>
        </w:trPr>
        <w:tc>
          <w:tcPr>
            <w:tcW w:w="4480" w:type="dxa"/>
            <w:vAlign w:val="bottom"/>
          </w:tcPr>
          <w:p>
            <w:pPr>
              <w:spacing w:after="0"/>
              <w:rPr>
                <w:sz w:val="17"/>
                <w:szCs w:val="17"/>
                <w:color w:val="auto"/>
              </w:rPr>
            </w:pPr>
          </w:p>
        </w:tc>
        <w:tc>
          <w:tcPr>
            <w:tcW w:w="25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investments</w:t>
            </w:r>
          </w:p>
        </w:tc>
        <w:tc>
          <w:tcPr>
            <w:tcW w:w="154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468.4</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346.7</w:t>
            </w:r>
          </w:p>
        </w:tc>
      </w:tr>
      <w:tr>
        <w:trPr>
          <w:trHeight w:val="203"/>
        </w:trPr>
        <w:tc>
          <w:tcPr>
            <w:tcW w:w="4480" w:type="dxa"/>
            <w:vAlign w:val="bottom"/>
          </w:tcPr>
          <w:p>
            <w:pPr>
              <w:spacing w:after="0"/>
              <w:rPr>
                <w:sz w:val="17"/>
                <w:szCs w:val="17"/>
                <w:color w:val="auto"/>
              </w:rPr>
            </w:pPr>
          </w:p>
        </w:tc>
        <w:tc>
          <w:tcPr>
            <w:tcW w:w="25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508.6</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389.6</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cash equivalents</w:t>
            </w:r>
          </w:p>
        </w:tc>
        <w:tc>
          <w:tcPr>
            <w:tcW w:w="1540" w:type="dxa"/>
            <w:vAlign w:val="bottom"/>
          </w:tcPr>
          <w:p>
            <w:pPr>
              <w:spacing w:after="0"/>
              <w:rPr>
                <w:sz w:val="17"/>
                <w:szCs w:val="17"/>
                <w:color w:val="auto"/>
              </w:rPr>
            </w:pP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(80.9)</w:t>
            </w:r>
          </w:p>
        </w:tc>
        <w:tc>
          <w:tcPr>
            <w:tcW w:w="4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w:t>
            </w:r>
          </w:p>
        </w:tc>
      </w:tr>
      <w:tr>
        <w:trPr>
          <w:trHeight w:val="203"/>
        </w:trPr>
        <w:tc>
          <w:tcPr>
            <w:tcW w:w="4480" w:type="dxa"/>
            <w:vAlign w:val="bottom"/>
          </w:tcPr>
          <w:p>
            <w:pPr>
              <w:spacing w:after="0"/>
              <w:rPr>
                <w:sz w:val="17"/>
                <w:szCs w:val="17"/>
                <w:color w:val="auto"/>
              </w:rPr>
            </w:pPr>
          </w:p>
        </w:tc>
        <w:tc>
          <w:tcPr>
            <w:tcW w:w="25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rPr>
                <w:sz w:val="17"/>
                <w:szCs w:val="17"/>
                <w:color w:val="auto"/>
              </w:rPr>
            </w:pP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427.7</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354.6</w:t>
            </w:r>
          </w:p>
        </w:tc>
      </w:tr>
      <w:tr>
        <w:trPr>
          <w:trHeight w:val="203"/>
        </w:trPr>
        <w:tc>
          <w:tcPr>
            <w:tcW w:w="4480" w:type="dxa"/>
            <w:vAlign w:val="bottom"/>
          </w:tcPr>
          <w:p>
            <w:pPr>
              <w:spacing w:after="0"/>
              <w:rPr>
                <w:sz w:val="17"/>
                <w:szCs w:val="17"/>
                <w:color w:val="auto"/>
              </w:rPr>
            </w:pPr>
          </w:p>
        </w:tc>
        <w:tc>
          <w:tcPr>
            <w:tcW w:w="25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Securities classified as available-for-sale mature within one to three years, and securities classified as held-to-maturity have remaining maturities within one year.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Receivables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900"/>
        <w:spacing w:after="0"/>
        <w:tabs>
          <w:tab w:leader="none" w:pos="7460" w:val="left"/>
        </w:tabs>
        <w:rPr>
          <w:sz w:val="20"/>
          <w:szCs w:val="20"/>
          <w:color w:val="auto"/>
        </w:rPr>
      </w:pPr>
      <w:r>
        <w:rPr>
          <w:rFonts w:ascii="Courier New" w:cs="Courier New" w:eastAsia="Courier New" w:hAnsi="Courier New"/>
          <w:sz w:val="18"/>
          <w:szCs w:val="18"/>
          <w:color w:val="auto"/>
        </w:rPr>
        <w:t>8/31/95</w:t>
      </w:r>
      <w:r>
        <w:rPr>
          <w:sz w:val="20"/>
          <w:szCs w:val="20"/>
          <w:color w:val="auto"/>
        </w:rPr>
        <w:tab/>
      </w:r>
      <w:r>
        <w:rPr>
          <w:rFonts w:ascii="Courier New" w:cs="Courier New" w:eastAsia="Courier New" w:hAnsi="Courier New"/>
          <w:sz w:val="18"/>
          <w:szCs w:val="18"/>
          <w:color w:val="auto"/>
        </w:rPr>
        <w:t>9/1/94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20"/>
                <w:szCs w:val="20"/>
                <w:color w:val="auto"/>
              </w:rPr>
            </w:pPr>
            <w:r>
              <w:rPr>
                <w:rFonts w:ascii="Courier New" w:cs="Courier New" w:eastAsia="Courier New" w:hAnsi="Courier New"/>
                <w:sz w:val="18"/>
                <w:szCs w:val="18"/>
                <w:color w:val="auto"/>
              </w:rPr>
              <w:t>Trade receivables</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457.4</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227.6</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28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14.6</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15.9</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Allowance for returns and discounts</w:t>
            </w:r>
          </w:p>
        </w:tc>
        <w:tc>
          <w:tcPr>
            <w:tcW w:w="1280" w:type="dxa"/>
            <w:vAlign w:val="bottom"/>
          </w:tcPr>
          <w:p>
            <w:pPr>
              <w:spacing w:after="0"/>
              <w:rPr>
                <w:sz w:val="17"/>
                <w:szCs w:val="17"/>
                <w:color w:val="auto"/>
              </w:rPr>
            </w:pP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(9.2)</w:t>
            </w:r>
          </w:p>
        </w:tc>
        <w:tc>
          <w:tcPr>
            <w:tcW w:w="4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Allowance for doubtful accounts</w:t>
            </w:r>
          </w:p>
        </w:tc>
        <w:tc>
          <w:tcPr>
            <w:tcW w:w="1280" w:type="dxa"/>
            <w:vAlign w:val="bottom"/>
          </w:tcPr>
          <w:p>
            <w:pPr>
              <w:spacing w:after="0"/>
              <w:rPr>
                <w:sz w:val="17"/>
                <w:szCs w:val="17"/>
                <w:color w:val="auto"/>
              </w:rPr>
            </w:pP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(7.4)</w:t>
            </w:r>
          </w:p>
        </w:tc>
        <w:tc>
          <w:tcPr>
            <w:tcW w:w="4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4740" w:type="dxa"/>
            <w:vAlign w:val="bottom"/>
          </w:tcPr>
          <w:p>
            <w:pPr>
              <w:spacing w:after="0"/>
              <w:rPr>
                <w:sz w:val="17"/>
                <w:szCs w:val="17"/>
                <w:color w:val="auto"/>
              </w:rPr>
            </w:pPr>
          </w:p>
        </w:tc>
        <w:tc>
          <w:tcPr>
            <w:tcW w:w="22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455.4</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235.7</w:t>
            </w:r>
          </w:p>
        </w:tc>
      </w:tr>
      <w:tr>
        <w:trPr>
          <w:trHeight w:val="203"/>
        </w:trPr>
        <w:tc>
          <w:tcPr>
            <w:tcW w:w="4740" w:type="dxa"/>
            <w:vAlign w:val="bottom"/>
          </w:tcPr>
          <w:p>
            <w:pPr>
              <w:spacing w:after="0"/>
              <w:rPr>
                <w:sz w:val="17"/>
                <w:szCs w:val="17"/>
                <w:color w:val="auto"/>
              </w:rPr>
            </w:pPr>
          </w:p>
        </w:tc>
        <w:tc>
          <w:tcPr>
            <w:tcW w:w="22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723" w:right="1440" w:bottom="159"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60" w:type="dxa"/>
            <w:vAlign w:val="bottom"/>
          </w:tcPr>
          <w:p>
            <w:pPr>
              <w:jc w:val="right"/>
              <w:ind w:right="5812"/>
              <w:spacing w:after="0"/>
              <w:rPr>
                <w:sz w:val="20"/>
                <w:szCs w:val="20"/>
                <w:color w:val="auto"/>
              </w:rPr>
            </w:pPr>
            <w:r>
              <w:rPr>
                <w:rFonts w:ascii="Courier New" w:cs="Courier New" w:eastAsia="Courier New" w:hAnsi="Courier New"/>
                <w:sz w:val="18"/>
                <w:szCs w:val="18"/>
                <w:color w:val="auto"/>
                <w:w w:val="95"/>
              </w:rPr>
              <w:t>Inventories</w:t>
            </w:r>
          </w:p>
        </w:tc>
        <w:tc>
          <w:tcPr>
            <w:tcW w:w="1060" w:type="dxa"/>
            <w:vAlign w:val="bottom"/>
          </w:tcPr>
          <w:p>
            <w:pPr>
              <w:spacing w:after="0"/>
              <w:rPr>
                <w:sz w:val="17"/>
                <w:szCs w:val="17"/>
                <w:color w:val="auto"/>
              </w:rPr>
            </w:pPr>
          </w:p>
        </w:tc>
      </w:tr>
      <w:tr>
        <w:trPr>
          <w:trHeight w:val="810"/>
        </w:trPr>
        <w:tc>
          <w:tcPr>
            <w:tcW w:w="7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8/31/95</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9/1/94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20"/>
                <w:szCs w:val="20"/>
                <w:color w:val="auto"/>
              </w:rPr>
            </w:pPr>
            <w:r>
              <w:rPr>
                <w:rFonts w:ascii="Courier New" w:cs="Courier New" w:eastAsia="Courier New" w:hAnsi="Courier New"/>
                <w:sz w:val="18"/>
                <w:szCs w:val="18"/>
                <w:color w:val="auto"/>
              </w:rPr>
              <w:t>Finished goods</w:t>
            </w:r>
          </w:p>
        </w:tc>
        <w:tc>
          <w:tcPr>
            <w:tcW w:w="1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17.8</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5.2</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Work in progress</w:t>
            </w:r>
          </w:p>
        </w:tc>
        <w:tc>
          <w:tcPr>
            <w:tcW w:w="174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99.1</w:t>
            </w:r>
          </w:p>
        </w:tc>
        <w:tc>
          <w:tcPr>
            <w:tcW w:w="5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64.2</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Raw materials and supplies</w:t>
            </w:r>
          </w:p>
        </w:tc>
        <w:tc>
          <w:tcPr>
            <w:tcW w:w="174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87.9</w:t>
            </w:r>
          </w:p>
        </w:tc>
        <w:tc>
          <w:tcPr>
            <w:tcW w:w="5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31.7</w:t>
            </w:r>
          </w:p>
        </w:tc>
      </w:tr>
      <w:tr>
        <w:trPr>
          <w:trHeight w:val="203"/>
        </w:trPr>
        <w:tc>
          <w:tcPr>
            <w:tcW w:w="4280" w:type="dxa"/>
            <w:vAlign w:val="bottom"/>
          </w:tcPr>
          <w:p>
            <w:pPr>
              <w:spacing w:after="0"/>
              <w:rPr>
                <w:sz w:val="17"/>
                <w:szCs w:val="17"/>
                <w:color w:val="auto"/>
              </w:rPr>
            </w:pPr>
          </w:p>
        </w:tc>
        <w:tc>
          <w:tcPr>
            <w:tcW w:w="2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4"/>
                <w:szCs w:val="24"/>
                <w:color w:val="auto"/>
              </w:rPr>
            </w:pPr>
          </w:p>
        </w:tc>
        <w:tc>
          <w:tcPr>
            <w:tcW w:w="1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204.8</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101.1</w:t>
            </w:r>
          </w:p>
        </w:tc>
      </w:tr>
      <w:tr>
        <w:trPr>
          <w:trHeight w:val="203"/>
        </w:trPr>
        <w:tc>
          <w:tcPr>
            <w:tcW w:w="4280" w:type="dxa"/>
            <w:vAlign w:val="bottom"/>
          </w:tcPr>
          <w:p>
            <w:pPr>
              <w:spacing w:after="0"/>
              <w:rPr>
                <w:sz w:val="17"/>
                <w:szCs w:val="17"/>
                <w:color w:val="auto"/>
              </w:rPr>
            </w:pPr>
          </w:p>
        </w:tc>
        <w:tc>
          <w:tcPr>
            <w:tcW w:w="2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Product and Process Technology</w:t>
      </w:r>
    </w:p>
    <w:p>
      <w:pPr>
        <w:spacing w:after="0" w:line="200" w:lineRule="exact"/>
        <w:rPr>
          <w:sz w:val="20"/>
          <w:szCs w:val="20"/>
          <w:color w:val="auto"/>
        </w:rPr>
      </w:pPr>
    </w:p>
    <w:p>
      <w:pPr>
        <w:spacing w:after="0" w:line="209"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Amortization of capitalized product and process technology costs charged to operations was $10.3 million in 1995; $40.9 million in 1994; and $26.2 million in 1993. Accumulated amortization was $110.7 million and $100.4 million as of August 31, 1995, and September 1, 1994, respectively.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900"/>
        <w:spacing w:after="0"/>
        <w:tabs>
          <w:tab w:leader="none" w:pos="7460" w:val="left"/>
        </w:tabs>
        <w:rPr>
          <w:sz w:val="20"/>
          <w:szCs w:val="20"/>
          <w:color w:val="auto"/>
        </w:rPr>
      </w:pPr>
      <w:r>
        <w:rPr>
          <w:rFonts w:ascii="Courier New" w:cs="Courier New" w:eastAsia="Courier New" w:hAnsi="Courier New"/>
          <w:sz w:val="18"/>
          <w:szCs w:val="18"/>
          <w:color w:val="auto"/>
        </w:rPr>
        <w:t>8/31/95</w:t>
      </w:r>
      <w:r>
        <w:rPr>
          <w:sz w:val="20"/>
          <w:szCs w:val="20"/>
          <w:color w:val="auto"/>
        </w:rPr>
        <w:tab/>
      </w:r>
      <w:r>
        <w:rPr>
          <w:rFonts w:ascii="Courier New" w:cs="Courier New" w:eastAsia="Courier New" w:hAnsi="Courier New"/>
          <w:sz w:val="18"/>
          <w:szCs w:val="18"/>
          <w:color w:val="auto"/>
        </w:rPr>
        <w:t>9/1/94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20" w:type="dxa"/>
            <w:vAlign w:val="bottom"/>
          </w:tcPr>
          <w:p>
            <w:pPr>
              <w:spacing w:after="0"/>
              <w:rPr>
                <w:sz w:val="20"/>
                <w:szCs w:val="20"/>
                <w:color w:val="auto"/>
              </w:rPr>
            </w:pPr>
            <w:r>
              <w:rPr>
                <w:rFonts w:ascii="Courier New" w:cs="Courier New" w:eastAsia="Courier New" w:hAnsi="Courier New"/>
                <w:sz w:val="18"/>
                <w:szCs w:val="18"/>
                <w:color w:val="auto"/>
              </w:rPr>
              <w:t>Land</w:t>
            </w:r>
          </w:p>
        </w:tc>
        <w:tc>
          <w:tcPr>
            <w:tcW w:w="17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   34.4</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7.9</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w:t>
            </w:r>
          </w:p>
        </w:tc>
        <w:tc>
          <w:tcPr>
            <w:tcW w:w="17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392.0</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260.0</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Equipment</w:t>
            </w:r>
          </w:p>
        </w:tc>
        <w:tc>
          <w:tcPr>
            <w:tcW w:w="17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1,338.4</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825.5</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Construction in progress</w:t>
            </w:r>
          </w:p>
        </w:tc>
        <w:tc>
          <w:tcPr>
            <w:tcW w:w="17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259.2</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68.7</w:t>
            </w:r>
          </w:p>
        </w:tc>
      </w:tr>
      <w:tr>
        <w:trPr>
          <w:trHeight w:val="203"/>
        </w:trPr>
        <w:tc>
          <w:tcPr>
            <w:tcW w:w="5320" w:type="dxa"/>
            <w:vAlign w:val="bottom"/>
          </w:tcPr>
          <w:p>
            <w:pPr>
              <w:spacing w:after="0"/>
              <w:rPr>
                <w:sz w:val="17"/>
                <w:szCs w:val="17"/>
                <w:color w:val="auto"/>
              </w:rPr>
            </w:pPr>
          </w:p>
        </w:tc>
        <w:tc>
          <w:tcPr>
            <w:tcW w:w="17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spacing w:after="0"/>
              <w:rPr>
                <w:sz w:val="17"/>
                <w:szCs w:val="17"/>
                <w:color w:val="auto"/>
              </w:rPr>
            </w:pPr>
          </w:p>
        </w:tc>
        <w:tc>
          <w:tcPr>
            <w:tcW w:w="17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2,024.0</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1,162.1</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accumulated depreciation and amortization</w:t>
            </w: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(638.4)</w:t>
            </w:r>
          </w:p>
        </w:tc>
        <w:tc>
          <w:tcPr>
            <w:tcW w:w="3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(498.6)</w:t>
            </w:r>
          </w:p>
        </w:tc>
      </w:tr>
      <w:tr>
        <w:trPr>
          <w:trHeight w:val="203"/>
        </w:trPr>
        <w:tc>
          <w:tcPr>
            <w:tcW w:w="5320" w:type="dxa"/>
            <w:vAlign w:val="bottom"/>
          </w:tcPr>
          <w:p>
            <w:pPr>
              <w:spacing w:after="0"/>
              <w:rPr>
                <w:sz w:val="17"/>
                <w:szCs w:val="17"/>
                <w:color w:val="auto"/>
              </w:rPr>
            </w:pPr>
          </w:p>
        </w:tc>
        <w:tc>
          <w:tcPr>
            <w:tcW w:w="17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spacing w:after="0"/>
              <w:rPr>
                <w:sz w:val="17"/>
                <w:szCs w:val="17"/>
                <w:color w:val="auto"/>
              </w:rPr>
            </w:pPr>
          </w:p>
        </w:tc>
        <w:tc>
          <w:tcPr>
            <w:tcW w:w="17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$1,385.6</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663.5</w:t>
            </w:r>
          </w:p>
        </w:tc>
      </w:tr>
      <w:tr>
        <w:trPr>
          <w:trHeight w:val="203"/>
        </w:trPr>
        <w:tc>
          <w:tcPr>
            <w:tcW w:w="5320" w:type="dxa"/>
            <w:vAlign w:val="bottom"/>
          </w:tcPr>
          <w:p>
            <w:pPr>
              <w:spacing w:after="0"/>
              <w:rPr>
                <w:sz w:val="17"/>
                <w:szCs w:val="17"/>
                <w:color w:val="auto"/>
              </w:rPr>
            </w:pPr>
          </w:p>
        </w:tc>
        <w:tc>
          <w:tcPr>
            <w:tcW w:w="17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320" w:type="dxa"/>
            <w:vAlign w:val="bottom"/>
          </w:tcPr>
          <w:p>
            <w:pPr>
              <w:spacing w:after="0"/>
              <w:rPr>
                <w:sz w:val="20"/>
                <w:szCs w:val="20"/>
                <w:color w:val="auto"/>
              </w:rPr>
            </w:pPr>
            <w:r>
              <w:rPr>
                <w:rFonts w:ascii="Courier New" w:cs="Courier New" w:eastAsia="Courier New" w:hAnsi="Courier New"/>
                <w:sz w:val="18"/>
                <w:szCs w:val="18"/>
                <w:color w:val="auto"/>
              </w:rPr>
              <w:t>Accounts Payable and Accrued Expenses</w:t>
            </w: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810"/>
        </w:trPr>
        <w:tc>
          <w:tcPr>
            <w:tcW w:w="5320" w:type="dxa"/>
            <w:vAlign w:val="bottom"/>
          </w:tcPr>
          <w:p>
            <w:pPr>
              <w:spacing w:after="0"/>
              <w:rPr>
                <w:sz w:val="24"/>
                <w:szCs w:val="24"/>
                <w:color w:val="auto"/>
              </w:rPr>
            </w:pPr>
          </w:p>
        </w:tc>
        <w:tc>
          <w:tcPr>
            <w:tcW w:w="17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8/31/95</w:t>
            </w:r>
          </w:p>
        </w:tc>
        <w:tc>
          <w:tcPr>
            <w:tcW w:w="36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9/1/94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spacing w:after="0"/>
              <w:rPr>
                <w:sz w:val="20"/>
                <w:szCs w:val="20"/>
                <w:color w:val="auto"/>
              </w:rPr>
            </w:pPr>
            <w:r>
              <w:rPr>
                <w:rFonts w:ascii="Courier New" w:cs="Courier New" w:eastAsia="Courier New" w:hAnsi="Courier New"/>
                <w:sz w:val="18"/>
                <w:szCs w:val="18"/>
                <w:color w:val="auto"/>
              </w:rPr>
              <w:t>Accounts payable</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193.2</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55.3</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Salaries, wages, and benefits</w:t>
            </w:r>
          </w:p>
        </w:tc>
        <w:tc>
          <w:tcPr>
            <w:tcW w:w="11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103.2</w:t>
            </w:r>
          </w:p>
        </w:tc>
        <w:tc>
          <w:tcPr>
            <w:tcW w:w="5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63.5</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 and process technology payable</w:t>
            </w:r>
          </w:p>
        </w:tc>
        <w:tc>
          <w:tcPr>
            <w:tcW w:w="11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91.5</w:t>
            </w:r>
          </w:p>
        </w:tc>
        <w:tc>
          <w:tcPr>
            <w:tcW w:w="5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1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72.7</w:t>
            </w:r>
          </w:p>
        </w:tc>
        <w:tc>
          <w:tcPr>
            <w:tcW w:w="5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44.0</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1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41.7</w:t>
            </w:r>
          </w:p>
        </w:tc>
        <w:tc>
          <w:tcPr>
            <w:tcW w:w="5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20.8</w:t>
            </w:r>
          </w:p>
        </w:tc>
      </w:tr>
      <w:tr>
        <w:trPr>
          <w:trHeight w:val="203"/>
        </w:trPr>
        <w:tc>
          <w:tcPr>
            <w:tcW w:w="4900" w:type="dxa"/>
            <w:vAlign w:val="bottom"/>
          </w:tcPr>
          <w:p>
            <w:pPr>
              <w:spacing w:after="0"/>
              <w:rPr>
                <w:sz w:val="17"/>
                <w:szCs w:val="17"/>
                <w:color w:val="auto"/>
              </w:rPr>
            </w:pPr>
          </w:p>
        </w:tc>
        <w:tc>
          <w:tcPr>
            <w:tcW w:w="2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502.3</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4900" w:type="dxa"/>
            <w:vAlign w:val="bottom"/>
          </w:tcPr>
          <w:p>
            <w:pPr>
              <w:spacing w:after="0"/>
              <w:rPr>
                <w:sz w:val="17"/>
                <w:szCs w:val="17"/>
                <w:color w:val="auto"/>
              </w:rPr>
            </w:pPr>
          </w:p>
        </w:tc>
        <w:tc>
          <w:tcPr>
            <w:tcW w:w="2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717"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8"/>
          <w:szCs w:val="18"/>
          <w:color w:val="auto"/>
        </w:rPr>
        <w:t>Long-Term Debt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900"/>
        <w:spacing w:after="0"/>
        <w:tabs>
          <w:tab w:leader="none" w:pos="7460" w:val="left"/>
        </w:tabs>
        <w:rPr>
          <w:sz w:val="20"/>
          <w:szCs w:val="20"/>
          <w:color w:val="auto"/>
        </w:rPr>
      </w:pPr>
      <w:r>
        <w:rPr>
          <w:rFonts w:ascii="Courier New" w:cs="Courier New" w:eastAsia="Courier New" w:hAnsi="Courier New"/>
          <w:sz w:val="18"/>
          <w:szCs w:val="18"/>
          <w:color w:val="auto"/>
        </w:rPr>
        <w:t>8/31/95</w:t>
      </w:r>
      <w:r>
        <w:rPr>
          <w:sz w:val="20"/>
          <w:szCs w:val="20"/>
          <w:color w:val="auto"/>
        </w:rPr>
        <w:tab/>
      </w:r>
      <w:r>
        <w:rPr>
          <w:rFonts w:ascii="Courier New" w:cs="Courier New" w:eastAsia="Courier New" w:hAnsi="Courier New"/>
          <w:sz w:val="18"/>
          <w:szCs w:val="18"/>
          <w:color w:val="auto"/>
        </w:rPr>
        <w:t>9/1/94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00" w:type="dxa"/>
            <w:vAlign w:val="bottom"/>
          </w:tcPr>
          <w:p>
            <w:pPr>
              <w:spacing w:after="0"/>
              <w:rPr>
                <w:sz w:val="20"/>
                <w:szCs w:val="20"/>
                <w:color w:val="auto"/>
              </w:rPr>
            </w:pPr>
            <w:r>
              <w:rPr>
                <w:rFonts w:ascii="Courier New" w:cs="Courier New" w:eastAsia="Courier New" w:hAnsi="Courier New"/>
                <w:sz w:val="18"/>
                <w:szCs w:val="18"/>
                <w:color w:val="auto"/>
              </w:rPr>
              <w:t>Notes payable in periodic installments through</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July 2015, weighted average interest rate 6.82%</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7.30%, respectively</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89.3</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78.7</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Noninterest bearing obligations, $19.8 million due</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June 1997, $3 million due October 1997 and $20.5</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million due December 1997, weighted average imputed</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rate of 6.85% and 6.50%, respectively</w:t>
            </w:r>
          </w:p>
        </w:tc>
        <w:tc>
          <w:tcPr>
            <w:tcW w:w="32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37.8</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16.6</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w w:val="99"/>
              </w:rPr>
              <w:t>Notes payable, due at maturity, ranging from December</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1996 to December 1997, weighted average interest</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rate of 5.49% and 5.11%, respectively</w:t>
            </w:r>
          </w:p>
        </w:tc>
        <w:tc>
          <w:tcPr>
            <w:tcW w:w="32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20.0</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37.0</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Capitalized lease obligations payable in monthly</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installments through April 1998, weighted average</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rate 8.94% and 7.93%, respectively</w:t>
            </w:r>
          </w:p>
        </w:tc>
        <w:tc>
          <w:tcPr>
            <w:tcW w:w="32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8.8</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12.4</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Noninterest bearing obligation, paid in November</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1994, original face amount of $50.0 million (net of</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discount based on imputed interest rate of 10.25%)</w:t>
            </w:r>
          </w:p>
        </w:tc>
        <w:tc>
          <w:tcPr>
            <w:tcW w:w="32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w:t>
            </w:r>
          </w:p>
        </w:tc>
      </w:tr>
      <w:tr>
        <w:trPr>
          <w:trHeight w:val="203"/>
        </w:trPr>
        <w:tc>
          <w:tcPr>
            <w:tcW w:w="5700" w:type="dxa"/>
            <w:vAlign w:val="bottom"/>
          </w:tcPr>
          <w:p>
            <w:pPr>
              <w:spacing w:after="0"/>
              <w:rPr>
                <w:sz w:val="17"/>
                <w:szCs w:val="17"/>
                <w:color w:val="auto"/>
              </w:rPr>
            </w:pPr>
          </w:p>
        </w:tc>
        <w:tc>
          <w:tcPr>
            <w:tcW w:w="13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155.9</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154.5</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current portion</w:t>
            </w:r>
          </w:p>
        </w:tc>
        <w:tc>
          <w:tcPr>
            <w:tcW w:w="320" w:type="dxa"/>
            <w:vAlign w:val="bottom"/>
          </w:tcPr>
          <w:p>
            <w:pPr>
              <w:spacing w:after="0"/>
              <w:rPr>
                <w:sz w:val="17"/>
                <w:szCs w:val="17"/>
                <w:color w:val="auto"/>
              </w:rPr>
            </w:pP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(26.5)</w:t>
            </w:r>
          </w:p>
        </w:tc>
        <w:tc>
          <w:tcPr>
            <w:tcW w:w="4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(29.8)</w:t>
            </w:r>
          </w:p>
        </w:tc>
      </w:tr>
      <w:tr>
        <w:trPr>
          <w:trHeight w:val="203"/>
        </w:trPr>
        <w:tc>
          <w:tcPr>
            <w:tcW w:w="5700" w:type="dxa"/>
            <w:vAlign w:val="bottom"/>
          </w:tcPr>
          <w:p>
            <w:pPr>
              <w:spacing w:after="0"/>
              <w:rPr>
                <w:sz w:val="17"/>
                <w:szCs w:val="17"/>
                <w:color w:val="auto"/>
              </w:rPr>
            </w:pPr>
          </w:p>
        </w:tc>
        <w:tc>
          <w:tcPr>
            <w:tcW w:w="13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spacing w:after="0"/>
              <w:rPr>
                <w:sz w:val="17"/>
                <w:szCs w:val="17"/>
                <w:color w:val="auto"/>
              </w:rPr>
            </w:pP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129.4</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124.7</w:t>
            </w:r>
          </w:p>
        </w:tc>
      </w:tr>
      <w:tr>
        <w:trPr>
          <w:trHeight w:val="203"/>
        </w:trPr>
        <w:tc>
          <w:tcPr>
            <w:tcW w:w="5700" w:type="dxa"/>
            <w:vAlign w:val="bottom"/>
          </w:tcPr>
          <w:p>
            <w:pPr>
              <w:spacing w:after="0"/>
              <w:rPr>
                <w:sz w:val="17"/>
                <w:szCs w:val="17"/>
                <w:color w:val="auto"/>
              </w:rPr>
            </w:pPr>
          </w:p>
        </w:tc>
        <w:tc>
          <w:tcPr>
            <w:tcW w:w="13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739"/>
        <w:spacing w:after="0" w:line="271" w:lineRule="auto"/>
        <w:rPr>
          <w:sz w:val="20"/>
          <w:szCs w:val="20"/>
          <w:color w:val="auto"/>
        </w:rPr>
      </w:pPr>
      <w:r>
        <w:rPr>
          <w:rFonts w:ascii="Courier New" w:cs="Courier New" w:eastAsia="Courier New" w:hAnsi="Courier New"/>
          <w:sz w:val="16"/>
          <w:szCs w:val="16"/>
          <w:color w:val="auto"/>
        </w:rPr>
        <w:t>Certain notes payable are collateralized by plant and equipment with a total cost of approximately $103.3 million and accumulated depreciation of approximately $42.7 million as of August 31, 1995. Equipment under capital leases, and the accumulated depreciation thereon, were approximately $16.7 million and $10.7 million, respectively, as of August 31, 1995, and $16.9 million and $8.5 million, respectively, as of September 1, 1994. Maturities of long-term debt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Noninterest</w:t>
      </w:r>
    </w:p>
    <w:p>
      <w:pPr>
        <w:ind w:left="4320"/>
        <w:spacing w:after="0"/>
        <w:tabs>
          <w:tab w:leader="none" w:pos="5780" w:val="left"/>
          <w:tab w:leader="none" w:pos="7360" w:val="left"/>
        </w:tabs>
        <w:rPr>
          <w:sz w:val="20"/>
          <w:szCs w:val="20"/>
          <w:color w:val="auto"/>
        </w:rPr>
      </w:pPr>
      <w:r>
        <w:rPr>
          <w:rFonts w:ascii="Courier New" w:cs="Courier New" w:eastAsia="Courier New" w:hAnsi="Courier New"/>
          <w:sz w:val="18"/>
          <w:szCs w:val="18"/>
          <w:color w:val="auto"/>
        </w:rPr>
        <w:t>Notes</w:t>
      </w:r>
      <w:r>
        <w:rPr>
          <w:sz w:val="20"/>
          <w:szCs w:val="20"/>
          <w:color w:val="auto"/>
        </w:rPr>
        <w:tab/>
      </w:r>
      <w:r>
        <w:rPr>
          <w:rFonts w:ascii="Courier New" w:cs="Courier New" w:eastAsia="Courier New" w:hAnsi="Courier New"/>
          <w:sz w:val="18"/>
          <w:szCs w:val="18"/>
          <w:color w:val="auto"/>
        </w:rPr>
        <w:t>bearing</w:t>
      </w:r>
      <w:r>
        <w:rPr>
          <w:sz w:val="20"/>
          <w:szCs w:val="20"/>
          <w:color w:val="auto"/>
        </w:rPr>
        <w:tab/>
      </w:r>
      <w:r>
        <w:rPr>
          <w:rFonts w:ascii="Courier New" w:cs="Courier New" w:eastAsia="Courier New" w:hAnsi="Courier New"/>
          <w:sz w:val="16"/>
          <w:szCs w:val="16"/>
          <w:color w:val="auto"/>
        </w:rPr>
        <w:t>Capital</w:t>
      </w:r>
    </w:p>
    <w:p>
      <w:pPr>
        <w:spacing w:after="0"/>
        <w:tabs>
          <w:tab w:leader="none" w:pos="4200" w:val="left"/>
          <w:tab w:leader="none" w:pos="5580" w:val="left"/>
          <w:tab w:leader="none" w:pos="7360" w:val="left"/>
        </w:tabs>
        <w:rPr>
          <w:sz w:val="20"/>
          <w:szCs w:val="20"/>
          <w:color w:val="auto"/>
        </w:rPr>
      </w:pPr>
      <w:r>
        <w:rPr>
          <w:rFonts w:ascii="Courier New" w:cs="Courier New" w:eastAsia="Courier New" w:hAnsi="Courier New"/>
          <w:sz w:val="18"/>
          <w:szCs w:val="18"/>
          <w:color w:val="auto"/>
        </w:rPr>
        <w:t>Fiscal year</w:t>
      </w:r>
      <w:r>
        <w:rPr>
          <w:sz w:val="20"/>
          <w:szCs w:val="20"/>
          <w:color w:val="auto"/>
        </w:rPr>
        <w:tab/>
      </w:r>
      <w:r>
        <w:rPr>
          <w:rFonts w:ascii="Courier New" w:cs="Courier New" w:eastAsia="Courier New" w:hAnsi="Courier New"/>
          <w:sz w:val="18"/>
          <w:szCs w:val="18"/>
          <w:color w:val="auto"/>
        </w:rPr>
        <w:t>payable</w:t>
      </w:r>
      <w:r>
        <w:rPr>
          <w:sz w:val="20"/>
          <w:szCs w:val="20"/>
          <w:color w:val="auto"/>
        </w:rPr>
        <w:tab/>
      </w:r>
      <w:r>
        <w:rPr>
          <w:rFonts w:ascii="Courier New" w:cs="Courier New" w:eastAsia="Courier New" w:hAnsi="Courier New"/>
          <w:sz w:val="18"/>
          <w:szCs w:val="18"/>
          <w:color w:val="auto"/>
        </w:rPr>
        <w:t>obligations</w:t>
      </w:r>
      <w:r>
        <w:rPr>
          <w:sz w:val="20"/>
          <w:szCs w:val="20"/>
          <w:color w:val="auto"/>
        </w:rPr>
        <w:tab/>
      </w:r>
      <w:r>
        <w:rPr>
          <w:rFonts w:ascii="Courier New" w:cs="Courier New" w:eastAsia="Courier New" w:hAnsi="Courier New"/>
          <w:sz w:val="16"/>
          <w:szCs w:val="16"/>
          <w:color w:val="auto"/>
        </w:rPr>
        <w:t>leases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1996</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23.5</w:t>
            </w:r>
          </w:p>
        </w:tc>
        <w:tc>
          <w:tcPr>
            <w:tcW w:w="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3.5</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1997</w:t>
            </w:r>
          </w:p>
        </w:tc>
        <w:tc>
          <w:tcPr>
            <w:tcW w:w="96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61.0</w:t>
            </w:r>
          </w:p>
        </w:tc>
        <w:tc>
          <w:tcPr>
            <w:tcW w:w="620" w:type="dxa"/>
            <w:vAlign w:val="bottom"/>
          </w:tcPr>
          <w:p>
            <w:pPr>
              <w:spacing w:after="0"/>
              <w:rPr>
                <w:sz w:val="17"/>
                <w:szCs w:val="17"/>
                <w:color w:val="auto"/>
              </w:rPr>
            </w:pP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19.8</w:t>
            </w:r>
          </w:p>
        </w:tc>
        <w:tc>
          <w:tcPr>
            <w:tcW w:w="52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1998</w:t>
            </w:r>
          </w:p>
        </w:tc>
        <w:tc>
          <w:tcPr>
            <w:tcW w:w="96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17.4</w:t>
            </w:r>
          </w:p>
        </w:tc>
        <w:tc>
          <w:tcPr>
            <w:tcW w:w="620" w:type="dxa"/>
            <w:vAlign w:val="bottom"/>
          </w:tcPr>
          <w:p>
            <w:pPr>
              <w:spacing w:after="0"/>
              <w:rPr>
                <w:sz w:val="17"/>
                <w:szCs w:val="17"/>
                <w:color w:val="auto"/>
              </w:rPr>
            </w:pP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23.5</w:t>
            </w:r>
          </w:p>
        </w:tc>
        <w:tc>
          <w:tcPr>
            <w:tcW w:w="52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0.8</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1999</w:t>
            </w:r>
          </w:p>
        </w:tc>
        <w:tc>
          <w:tcPr>
            <w:tcW w:w="96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6.9</w:t>
            </w:r>
          </w:p>
        </w:tc>
        <w:tc>
          <w:tcPr>
            <w:tcW w:w="620" w:type="dxa"/>
            <w:vAlign w:val="bottom"/>
          </w:tcPr>
          <w:p>
            <w:pPr>
              <w:spacing w:after="0"/>
              <w:rPr>
                <w:sz w:val="17"/>
                <w:szCs w:val="17"/>
                <w:color w:val="auto"/>
              </w:rPr>
            </w:pP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2000</w:t>
            </w:r>
          </w:p>
        </w:tc>
        <w:tc>
          <w:tcPr>
            <w:tcW w:w="96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0.5</w:t>
            </w:r>
          </w:p>
        </w:tc>
        <w:tc>
          <w:tcPr>
            <w:tcW w:w="620" w:type="dxa"/>
            <w:vAlign w:val="bottom"/>
          </w:tcPr>
          <w:p>
            <w:pPr>
              <w:spacing w:after="0"/>
              <w:rPr>
                <w:sz w:val="17"/>
                <w:szCs w:val="17"/>
                <w:color w:val="auto"/>
              </w:rPr>
            </w:pP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discount and interest</w:t>
            </w:r>
          </w:p>
        </w:tc>
        <w:tc>
          <w:tcPr>
            <w:tcW w:w="96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(5.5)</w:t>
            </w:r>
          </w:p>
        </w:tc>
        <w:tc>
          <w:tcPr>
            <w:tcW w:w="5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(0.7)</w:t>
            </w:r>
          </w:p>
        </w:tc>
      </w:tr>
      <w:tr>
        <w:trPr>
          <w:trHeight w:val="203"/>
        </w:trPr>
        <w:tc>
          <w:tcPr>
            <w:tcW w:w="3480" w:type="dxa"/>
            <w:vAlign w:val="bottom"/>
          </w:tcPr>
          <w:p>
            <w:pPr>
              <w:spacing w:after="0"/>
              <w:rPr>
                <w:sz w:val="17"/>
                <w:szCs w:val="17"/>
                <w:color w:val="auto"/>
              </w:rPr>
            </w:pPr>
          </w:p>
        </w:tc>
        <w:tc>
          <w:tcPr>
            <w:tcW w:w="19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109.3</w:t>
            </w: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37.8</w:t>
            </w:r>
          </w:p>
        </w:tc>
        <w:tc>
          <w:tcPr>
            <w:tcW w:w="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w:t>
            </w:r>
          </w:p>
        </w:tc>
      </w:tr>
      <w:tr>
        <w:trPr>
          <w:trHeight w:val="203"/>
        </w:trPr>
        <w:tc>
          <w:tcPr>
            <w:tcW w:w="3480" w:type="dxa"/>
            <w:vAlign w:val="bottom"/>
          </w:tcPr>
          <w:p>
            <w:pPr>
              <w:spacing w:after="0"/>
              <w:rPr>
                <w:sz w:val="17"/>
                <w:szCs w:val="17"/>
                <w:color w:val="auto"/>
              </w:rPr>
            </w:pPr>
          </w:p>
        </w:tc>
        <w:tc>
          <w:tcPr>
            <w:tcW w:w="19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Interest income in 1995 and 1994 is net of interest expense of $7.3 million and $5.8 million, respectively. Interest expense in 1993 is net of $4.5 million of interest income. Construction period interest of $4.9 million, $2.6 million, and $0.3 million was capitalized in 1995, 1994, and 1993, respectively.</w:t>
      </w:r>
    </w:p>
    <w:p>
      <w:pPr>
        <w:sectPr>
          <w:pgSz w:w="11900" w:h="16838" w:orient="portrait"/>
          <w:cols w:equalWidth="0" w:num="1">
            <w:col w:w="10219"/>
          </w:cols>
          <w:pgMar w:left="240" w:top="717" w:right="1440" w:bottom="971" w:gutter="0" w:footer="0" w:header="0"/>
        </w:sectPr>
      </w:pPr>
    </w:p>
    <w:bookmarkStart w:id="43" w:name="page44"/>
    <w:bookmarkEnd w:id="43"/>
    <w:p>
      <w:pPr>
        <w:spacing w:after="0"/>
        <w:rPr>
          <w:sz w:val="20"/>
          <w:szCs w:val="20"/>
          <w:color w:val="auto"/>
        </w:rPr>
      </w:pPr>
      <w:r>
        <w:rPr>
          <w:rFonts w:ascii="Courier New" w:cs="Courier New" w:eastAsia="Courier New" w:hAnsi="Courier New"/>
          <w:sz w:val="18"/>
          <w:szCs w:val="18"/>
          <w:color w:val="auto"/>
        </w:rPr>
        <w:t>Stock Purchase Plans</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The Company's 1985 and 1994 Incentive Stock Option Plans ("ISO Plans") provide for the granting of incentive or nonstatutory stock options. As of August 31, 1995, there was an aggregate of 22.1 million shares of common stock reserved for issuance of which 18.8 million are committed under the ISO Plans. Options are subject to terms and conditions determined by the Board of Directors, and generally are exercisable in increments of 20% during each year of employment beginning one year from date of grant and expire six years from date of grant.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 activity under the ISO Plans is summarized as follows: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Fiscal year ended</w:t>
            </w:r>
          </w:p>
        </w:tc>
        <w:tc>
          <w:tcPr>
            <w:tcW w:w="24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8/31/95</w:t>
            </w:r>
          </w:p>
        </w:tc>
        <w:tc>
          <w:tcPr>
            <w:tcW w:w="15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9/1/94</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9/2/93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20"/>
                <w:szCs w:val="20"/>
                <w:color w:val="auto"/>
              </w:rPr>
            </w:pPr>
            <w:r>
              <w:rPr>
                <w:rFonts w:ascii="Courier New" w:cs="Courier New" w:eastAsia="Courier New" w:hAnsi="Courier New"/>
                <w:sz w:val="18"/>
                <w:szCs w:val="18"/>
                <w:color w:val="auto"/>
              </w:rPr>
              <w:t>Outstanding at beginning of year</w:t>
            </w: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11.6</w:t>
            </w:r>
          </w:p>
        </w:tc>
        <w:tc>
          <w:tcPr>
            <w:tcW w:w="15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9.7</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12.4</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Granted</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5.0</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Terminated or cancelled</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Exercised</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(3.1)</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w:t>
            </w:r>
          </w:p>
        </w:tc>
      </w:tr>
      <w:tr>
        <w:trPr>
          <w:trHeight w:val="203"/>
        </w:trPr>
        <w:tc>
          <w:tcPr>
            <w:tcW w:w="390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 at end of year</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13.7</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11.6</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w:t>
            </w:r>
          </w:p>
        </w:tc>
      </w:tr>
      <w:tr>
        <w:trPr>
          <w:trHeight w:val="203"/>
        </w:trPr>
        <w:tc>
          <w:tcPr>
            <w:tcW w:w="390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Exercisable at end of year</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390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available for future grants</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3.3</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5.8</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10.7</w:t>
            </w:r>
          </w:p>
        </w:tc>
      </w:tr>
      <w:tr>
        <w:trPr>
          <w:trHeight w:val="203"/>
        </w:trPr>
        <w:tc>
          <w:tcPr>
            <w:tcW w:w="390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Options outstanding under the ISO Plans as of August 31, 1995, were at per share prices ranging from $1.53 to $72.20. Options exercised were at per share prices ranging from $1.30 to $21.33 in 1995, $1.30 to $4.71 in 1994, and $.85 to $4.06 in 1993.</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1989 Employee Stock Purchase Plan allows eligible employees to purchase shares of the Company's common stock through payroll deductions. The shares can be purchased for 85% of the lower of the beginning or ending fair market value of each three-month offering period and are restricted from resale for a period of one year from the date of purchase. Purchases are limited to 20% of an employee's eligible compensation. A total of 2.5 million shares are reserved for issuance under the plan, of which 1.2 million shares have been issued as of August 31, 1995.</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 Savings Plan</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The Company has a 401(k) profit-sharing plan ("RAM Plan") in which substantially all employees are participants. Employees may contribute from 2% - 16% of their eligible pay to various savings alternatives in the RAM Plan. In 1994, the RAM Plan was modified, changing the Company's contribution, to provide for an annual match of the first $1,500 of eligible employee contributions, in addition to contributions based on the Company's financial performance. The Company's RAM Plan expense was $15.9 million in 1995, $8.2 million in 1994, and $2.4 million in 1993.</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Commitments</w:t>
      </w:r>
    </w:p>
    <w:p>
      <w:pPr>
        <w:spacing w:after="0" w:line="207"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As of August 31, 1995, the Company had commitments of $643.4 million for equipment purchases and $34.6 million for the construction of buildings.</w:t>
      </w:r>
    </w:p>
    <w:p>
      <w:pPr>
        <w:sectPr>
          <w:pgSz w:w="11900" w:h="16838" w:orient="portrait"/>
          <w:cols w:equalWidth="0" w:num="1">
            <w:col w:w="10219"/>
          </w:cols>
          <w:pgMar w:left="240" w:top="717"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Effective the first day of fiscal 1994, the Company adopted SFAS No. 109, "Accounting for Income Taxes," which prescribes the liability method of accounting for income taxes. Adoption of SFAS No. 109 did not have a material effect on the Company's financial position or results of operations. Previously, income taxes were accounted for in accordance with SFAS No. 96.</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provision for income taxes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Fiscal year ended</w:t>
            </w:r>
          </w:p>
        </w:tc>
        <w:tc>
          <w:tcPr>
            <w:tcW w:w="24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8/31/95</w:t>
            </w:r>
          </w:p>
        </w:tc>
        <w:tc>
          <w:tcPr>
            <w:tcW w:w="15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9/1/94</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9/2/93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Current:</w:t>
            </w: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U.S. federal</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409.3</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192.4</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57.9</w:t>
            </w: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State</w:t>
            </w:r>
          </w:p>
        </w:tc>
        <w:tc>
          <w:tcPr>
            <w:tcW w:w="128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64.6</w:t>
            </w:r>
          </w:p>
        </w:tc>
        <w:tc>
          <w:tcPr>
            <w:tcW w:w="58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25.2</w:t>
            </w:r>
          </w:p>
        </w:tc>
        <w:tc>
          <w:tcPr>
            <w:tcW w:w="58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Foreign</w:t>
            </w:r>
          </w:p>
        </w:tc>
        <w:tc>
          <w:tcPr>
            <w:tcW w:w="128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7.0</w:t>
            </w:r>
          </w:p>
        </w:tc>
        <w:tc>
          <w:tcPr>
            <w:tcW w:w="58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w:t>
            </w:r>
          </w:p>
        </w:tc>
        <w:tc>
          <w:tcPr>
            <w:tcW w:w="58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3160" w:type="dxa"/>
            <w:vAlign w:val="bottom"/>
          </w:tcPr>
          <w:p>
            <w:pPr>
              <w:spacing w:after="0"/>
              <w:rPr>
                <w:sz w:val="17"/>
                <w:szCs w:val="17"/>
                <w:color w:val="auto"/>
              </w:rPr>
            </w:pPr>
          </w:p>
        </w:tc>
        <w:tc>
          <w:tcPr>
            <w:tcW w:w="22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480.9</w:t>
            </w:r>
          </w:p>
        </w:tc>
        <w:tc>
          <w:tcPr>
            <w:tcW w:w="58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222.6</w:t>
            </w:r>
          </w:p>
        </w:tc>
        <w:tc>
          <w:tcPr>
            <w:tcW w:w="58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63.7</w:t>
            </w:r>
          </w:p>
        </w:tc>
      </w:tr>
      <w:tr>
        <w:trPr>
          <w:trHeight w:val="203"/>
        </w:trPr>
        <w:tc>
          <w:tcPr>
            <w:tcW w:w="3160" w:type="dxa"/>
            <w:vAlign w:val="bottom"/>
          </w:tcPr>
          <w:p>
            <w:pPr>
              <w:spacing w:after="0"/>
              <w:rPr>
                <w:sz w:val="17"/>
                <w:szCs w:val="17"/>
                <w:color w:val="auto"/>
              </w:rPr>
            </w:pPr>
          </w:p>
        </w:tc>
        <w:tc>
          <w:tcPr>
            <w:tcW w:w="22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Deferred:</w:t>
            </w: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U.S. federal</w:t>
            </w:r>
          </w:p>
        </w:tc>
        <w:tc>
          <w:tcPr>
            <w:tcW w:w="128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21.6</w:t>
            </w:r>
          </w:p>
        </w:tc>
        <w:tc>
          <w:tcPr>
            <w:tcW w:w="58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w:t>
            </w:r>
          </w:p>
        </w:tc>
        <w:tc>
          <w:tcPr>
            <w:tcW w:w="5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State</w:t>
            </w:r>
          </w:p>
        </w:tc>
        <w:tc>
          <w:tcPr>
            <w:tcW w:w="128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3.9</w:t>
            </w:r>
          </w:p>
        </w:tc>
        <w:tc>
          <w:tcPr>
            <w:tcW w:w="58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0.4</w:t>
            </w:r>
          </w:p>
        </w:tc>
        <w:tc>
          <w:tcPr>
            <w:tcW w:w="58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Foreign</w:t>
            </w:r>
          </w:p>
        </w:tc>
        <w:tc>
          <w:tcPr>
            <w:tcW w:w="128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w:t>
            </w:r>
          </w:p>
        </w:tc>
      </w:tr>
      <w:tr>
        <w:trPr>
          <w:trHeight w:val="203"/>
        </w:trPr>
        <w:tc>
          <w:tcPr>
            <w:tcW w:w="3160" w:type="dxa"/>
            <w:vAlign w:val="bottom"/>
          </w:tcPr>
          <w:p>
            <w:pPr>
              <w:spacing w:after="0"/>
              <w:rPr>
                <w:sz w:val="17"/>
                <w:szCs w:val="17"/>
                <w:color w:val="auto"/>
              </w:rPr>
            </w:pPr>
          </w:p>
        </w:tc>
        <w:tc>
          <w:tcPr>
            <w:tcW w:w="22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25.5</w:t>
            </w:r>
          </w:p>
        </w:tc>
        <w:tc>
          <w:tcPr>
            <w:tcW w:w="58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w:t>
            </w:r>
          </w:p>
        </w:tc>
        <w:tc>
          <w:tcPr>
            <w:tcW w:w="5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3160" w:type="dxa"/>
            <w:vAlign w:val="bottom"/>
          </w:tcPr>
          <w:p>
            <w:pPr>
              <w:spacing w:after="0"/>
              <w:rPr>
                <w:sz w:val="17"/>
                <w:szCs w:val="17"/>
                <w:color w:val="auto"/>
              </w:rPr>
            </w:pPr>
          </w:p>
        </w:tc>
        <w:tc>
          <w:tcPr>
            <w:tcW w:w="22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provision</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506.4</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225.3</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58.5</w:t>
            </w:r>
          </w:p>
        </w:tc>
      </w:tr>
      <w:tr>
        <w:trPr>
          <w:trHeight w:val="203"/>
        </w:trPr>
        <w:tc>
          <w:tcPr>
            <w:tcW w:w="3160" w:type="dxa"/>
            <w:vAlign w:val="bottom"/>
          </w:tcPr>
          <w:p>
            <w:pPr>
              <w:spacing w:after="0"/>
              <w:rPr>
                <w:sz w:val="17"/>
                <w:szCs w:val="17"/>
                <w:color w:val="auto"/>
              </w:rPr>
            </w:pPr>
          </w:p>
        </w:tc>
        <w:tc>
          <w:tcPr>
            <w:tcW w:w="22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tax benefit associated with disqualifying dispositions by employees of shares issued in the Company's stock purchase plans reduced taxes payable by $13.6 million and $10.6 million for 1995 and 1994, respectively. Such benefits are credited to additional capital.</w:t>
      </w:r>
    </w:p>
    <w:p>
      <w:pPr>
        <w:spacing w:after="0" w:line="207"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A reconciliation between income tax computed using the federal statutory rate and the income tax provision follows: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20"/>
                <w:szCs w:val="20"/>
                <w:color w:val="auto"/>
              </w:rPr>
            </w:pPr>
            <w:r>
              <w:rPr>
                <w:rFonts w:ascii="Courier New" w:cs="Courier New" w:eastAsia="Courier New" w:hAnsi="Courier New"/>
                <w:sz w:val="18"/>
                <w:szCs w:val="18"/>
                <w:color w:val="auto"/>
              </w:rPr>
              <w:t>U.S. federal income tax at statutory</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rate</w:t>
            </w:r>
          </w:p>
        </w:tc>
        <w:tc>
          <w:tcPr>
            <w:tcW w:w="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472.7</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219.0</w:t>
            </w:r>
          </w:p>
        </w:tc>
        <w:tc>
          <w:tcPr>
            <w:tcW w:w="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56.4</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taxes, net of federal benefit</w:t>
            </w:r>
          </w:p>
        </w:tc>
        <w:tc>
          <w:tcPr>
            <w:tcW w:w="42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47.4</w:t>
            </w:r>
          </w:p>
        </w:tc>
        <w:tc>
          <w:tcPr>
            <w:tcW w:w="54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16.7</w:t>
            </w:r>
          </w:p>
        </w:tc>
        <w:tc>
          <w:tcPr>
            <w:tcW w:w="52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4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(13.7)</w:t>
            </w:r>
          </w:p>
        </w:tc>
        <w:tc>
          <w:tcPr>
            <w:tcW w:w="540" w:type="dxa"/>
            <w:vAlign w:val="bottom"/>
          </w:tcPr>
          <w:p>
            <w:pPr>
              <w:spacing w:after="0"/>
              <w:rPr>
                <w:sz w:val="17"/>
                <w:szCs w:val="17"/>
                <w:color w:val="auto"/>
              </w:rPr>
            </w:pP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(10.4)</w:t>
            </w:r>
          </w:p>
        </w:tc>
        <w:tc>
          <w:tcPr>
            <w:tcW w:w="5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4020" w:type="dxa"/>
            <w:vAlign w:val="bottom"/>
          </w:tcPr>
          <w:p>
            <w:pPr>
              <w:spacing w:after="0"/>
              <w:rPr>
                <w:sz w:val="17"/>
                <w:szCs w:val="17"/>
                <w:color w:val="auto"/>
              </w:rPr>
            </w:pPr>
          </w:p>
        </w:tc>
        <w:tc>
          <w:tcPr>
            <w:tcW w:w="14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provision</w:t>
            </w:r>
          </w:p>
        </w:tc>
        <w:tc>
          <w:tcPr>
            <w:tcW w:w="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506.4</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225.3</w:t>
            </w:r>
          </w:p>
        </w:tc>
        <w:tc>
          <w:tcPr>
            <w:tcW w:w="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58.5</w:t>
            </w:r>
          </w:p>
        </w:tc>
      </w:tr>
      <w:tr>
        <w:trPr>
          <w:trHeight w:val="203"/>
        </w:trPr>
        <w:tc>
          <w:tcPr>
            <w:tcW w:w="4020" w:type="dxa"/>
            <w:vAlign w:val="bottom"/>
          </w:tcPr>
          <w:p>
            <w:pPr>
              <w:spacing w:after="0"/>
              <w:rPr>
                <w:sz w:val="17"/>
                <w:szCs w:val="17"/>
                <w:color w:val="auto"/>
              </w:rPr>
            </w:pPr>
          </w:p>
        </w:tc>
        <w:tc>
          <w:tcPr>
            <w:tcW w:w="14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State taxes reflect utilization of investment tax credits of $19.1 million, $20.1 million and $4.9 million for 1995, 1994 and 1993, respectively.</w:t>
      </w:r>
    </w:p>
    <w:p>
      <w:pPr>
        <w:sectPr>
          <w:pgSz w:w="11900" w:h="16838" w:orient="portrait"/>
          <w:cols w:equalWidth="0" w:num="1">
            <w:col w:w="10219"/>
          </w:cols>
          <w:pgMar w:left="240" w:top="919" w:right="1440" w:bottom="1440" w:gutter="0" w:footer="0" w:header="0"/>
        </w:sectPr>
      </w:pPr>
    </w:p>
    <w:bookmarkStart w:id="45" w:name="page46"/>
    <w:bookmarkEnd w:id="45"/>
    <w:p>
      <w:pPr>
        <w:ind w:right="2939"/>
        <w:spacing w:after="0" w:line="237" w:lineRule="auto"/>
        <w:rPr>
          <w:sz w:val="20"/>
          <w:szCs w:val="20"/>
          <w:color w:val="auto"/>
        </w:rPr>
      </w:pPr>
      <w:r>
        <w:rPr>
          <w:rFonts w:ascii="Courier New" w:cs="Courier New" w:eastAsia="Courier New" w:hAnsi="Courier New"/>
          <w:sz w:val="18"/>
          <w:szCs w:val="18"/>
          <w:color w:val="auto"/>
        </w:rPr>
        <w:t>Deferred income taxes reflect the net tax effects of temporary differences between the basis of assets and liabilities for financial reporting and income tax purposes. The approximate tax effects of temporary differences which give rise to the net deferred tax liability are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5"/>
              </w:rPr>
              <w:t>8/31/95</w:t>
            </w:r>
          </w:p>
        </w:tc>
        <w:tc>
          <w:tcPr>
            <w:tcW w:w="420" w:type="dxa"/>
            <w:vAlign w:val="bottom"/>
          </w:tcPr>
          <w:p>
            <w:pPr>
              <w:spacing w:after="0"/>
              <w:rPr>
                <w:sz w:val="17"/>
                <w:szCs w:val="17"/>
                <w:color w:val="auto"/>
              </w:rPr>
            </w:pP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9/1/94</w:t>
            </w:r>
          </w:p>
        </w:tc>
      </w:tr>
      <w:tr>
        <w:trPr>
          <w:trHeight w:val="203"/>
        </w:trPr>
        <w:tc>
          <w:tcPr>
            <w:tcW w:w="5120" w:type="dxa"/>
            <w:vAlign w:val="bottom"/>
          </w:tcPr>
          <w:p>
            <w:pPr>
              <w:spacing w:after="0"/>
              <w:rPr>
                <w:sz w:val="17"/>
                <w:szCs w:val="17"/>
                <w:color w:val="auto"/>
              </w:rPr>
            </w:pPr>
          </w:p>
        </w:tc>
        <w:tc>
          <w:tcPr>
            <w:tcW w:w="190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120" w:type="dxa"/>
            <w:vAlign w:val="bottom"/>
          </w:tcPr>
          <w:p>
            <w:pPr>
              <w:spacing w:after="0"/>
              <w:rPr>
                <w:sz w:val="20"/>
                <w:szCs w:val="20"/>
                <w:color w:val="auto"/>
              </w:rPr>
            </w:pPr>
            <w:r>
              <w:rPr>
                <w:rFonts w:ascii="Courier New" w:cs="Courier New" w:eastAsia="Courier New" w:hAnsi="Courier New"/>
                <w:sz w:val="18"/>
                <w:szCs w:val="18"/>
                <w:color w:val="auto"/>
              </w:rPr>
              <w:t>Current deferred tax asset:</w:t>
            </w: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5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Accrued product and process technology</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10.4</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Inventory</w:t>
            </w:r>
          </w:p>
        </w:tc>
        <w:tc>
          <w:tcPr>
            <w:tcW w:w="78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9.7</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5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Accrued compensation</w:t>
            </w:r>
          </w:p>
        </w:tc>
        <w:tc>
          <w:tcPr>
            <w:tcW w:w="78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6.0</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w:t>
            </w:r>
          </w:p>
        </w:tc>
      </w:tr>
      <w:tr>
        <w:trPr>
          <w:trHeight w:val="203"/>
        </w:trPr>
        <w:tc>
          <w:tcPr>
            <w:tcW w:w="5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income</w:t>
            </w:r>
          </w:p>
        </w:tc>
        <w:tc>
          <w:tcPr>
            <w:tcW w:w="78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3.4</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5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operating loss acquired in merger</w:t>
            </w:r>
          </w:p>
        </w:tc>
        <w:tc>
          <w:tcPr>
            <w:tcW w:w="78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2.8</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w:t>
            </w:r>
          </w:p>
        </w:tc>
        <w:tc>
          <w:tcPr>
            <w:tcW w:w="78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16.7</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w:t>
            </w:r>
          </w:p>
        </w:tc>
      </w:tr>
      <w:tr>
        <w:trPr>
          <w:trHeight w:val="203"/>
        </w:trPr>
        <w:tc>
          <w:tcPr>
            <w:tcW w:w="5120" w:type="dxa"/>
            <w:vAlign w:val="bottom"/>
          </w:tcPr>
          <w:p>
            <w:pPr>
              <w:spacing w:after="0"/>
              <w:rPr>
                <w:sz w:val="17"/>
                <w:szCs w:val="17"/>
                <w:color w:val="auto"/>
              </w:rPr>
            </w:pPr>
          </w:p>
        </w:tc>
        <w:tc>
          <w:tcPr>
            <w:tcW w:w="190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deferred tax asset</w:t>
            </w:r>
          </w:p>
        </w:tc>
        <w:tc>
          <w:tcPr>
            <w:tcW w:w="78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49.0</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w:t>
            </w:r>
          </w:p>
        </w:tc>
      </w:tr>
      <w:tr>
        <w:trPr>
          <w:trHeight w:val="203"/>
        </w:trPr>
        <w:tc>
          <w:tcPr>
            <w:tcW w:w="5120" w:type="dxa"/>
            <w:vAlign w:val="bottom"/>
          </w:tcPr>
          <w:p>
            <w:pPr>
              <w:spacing w:after="0"/>
              <w:rPr>
                <w:sz w:val="17"/>
                <w:szCs w:val="17"/>
                <w:color w:val="auto"/>
              </w:rPr>
            </w:pPr>
          </w:p>
        </w:tc>
        <w:tc>
          <w:tcPr>
            <w:tcW w:w="190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Noncurrent deferred tax asset (liability):</w:t>
            </w: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5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Excess tax over book depreciation</w:t>
            </w:r>
          </w:p>
        </w:tc>
        <w:tc>
          <w:tcPr>
            <w:tcW w:w="78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(83.5)</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(58.2)</w:t>
            </w:r>
          </w:p>
        </w:tc>
      </w:tr>
      <w:tr>
        <w:trPr>
          <w:trHeight w:val="203"/>
        </w:trPr>
        <w:tc>
          <w:tcPr>
            <w:tcW w:w="5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Accrued product and process technology</w:t>
            </w:r>
          </w:p>
        </w:tc>
        <w:tc>
          <w:tcPr>
            <w:tcW w:w="78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15.3</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w:t>
            </w:r>
          </w:p>
        </w:tc>
      </w:tr>
      <w:tr>
        <w:trPr>
          <w:trHeight w:val="203"/>
        </w:trPr>
        <w:tc>
          <w:tcPr>
            <w:tcW w:w="5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in subsidiary</w:t>
            </w:r>
          </w:p>
        </w:tc>
        <w:tc>
          <w:tcPr>
            <w:tcW w:w="78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(11.5)</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w:t>
            </w:r>
          </w:p>
        </w:tc>
        <w:tc>
          <w:tcPr>
            <w:tcW w:w="78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(13.6)</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5120" w:type="dxa"/>
            <w:vAlign w:val="bottom"/>
          </w:tcPr>
          <w:p>
            <w:pPr>
              <w:spacing w:after="0"/>
              <w:rPr>
                <w:sz w:val="17"/>
                <w:szCs w:val="17"/>
                <w:color w:val="auto"/>
              </w:rPr>
            </w:pPr>
          </w:p>
        </w:tc>
        <w:tc>
          <w:tcPr>
            <w:tcW w:w="190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deferred tax liability</w:t>
            </w:r>
          </w:p>
        </w:tc>
        <w:tc>
          <w:tcPr>
            <w:tcW w:w="78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(93.3)</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(54.1)</w:t>
            </w:r>
          </w:p>
        </w:tc>
      </w:tr>
      <w:tr>
        <w:trPr>
          <w:trHeight w:val="203"/>
        </w:trPr>
        <w:tc>
          <w:tcPr>
            <w:tcW w:w="5120" w:type="dxa"/>
            <w:vAlign w:val="bottom"/>
          </w:tcPr>
          <w:p>
            <w:pPr>
              <w:spacing w:after="0"/>
              <w:rPr>
                <w:sz w:val="17"/>
                <w:szCs w:val="17"/>
                <w:color w:val="auto"/>
              </w:rPr>
            </w:pPr>
          </w:p>
        </w:tc>
        <w:tc>
          <w:tcPr>
            <w:tcW w:w="190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net deferred tax liability</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(44.3)</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(34.0)</w:t>
            </w:r>
          </w:p>
        </w:tc>
      </w:tr>
      <w:tr>
        <w:trPr>
          <w:trHeight w:val="203"/>
        </w:trPr>
        <w:tc>
          <w:tcPr>
            <w:tcW w:w="5120" w:type="dxa"/>
            <w:vAlign w:val="bottom"/>
          </w:tcPr>
          <w:p>
            <w:pPr>
              <w:spacing w:after="0"/>
              <w:rPr>
                <w:sz w:val="17"/>
                <w:szCs w:val="17"/>
                <w:color w:val="auto"/>
              </w:rPr>
            </w:pPr>
          </w:p>
        </w:tc>
        <w:tc>
          <w:tcPr>
            <w:tcW w:w="190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During 1993, in accordance with SFAS No. 96, deferred income taxes were provided for significant temporary differences comprised of product and process technology of $14.5 million, depreciation of $2.8 million, and other items of $6.5 million.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Export Sales and Major Customers</w:t>
      </w:r>
    </w:p>
    <w:p>
      <w:pPr>
        <w:spacing w:after="0" w:line="207"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Export sales were $753.7 million, $471.0 million, and $250.9 million in 1995, 1994, and 1993, respectively. Sales to one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personal computer manufacturing customer approximated 11% and 10% of total net sales in 1994 and 1993, respectively. No other customer individually accounted for 10% or more of the Company's total net sales.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Contingencies</w:t>
      </w:r>
    </w:p>
    <w:p>
      <w:pPr>
        <w:spacing w:after="0" w:line="207" w:lineRule="exact"/>
        <w:rPr>
          <w:sz w:val="20"/>
          <w:szCs w:val="20"/>
          <w:color w:val="auto"/>
        </w:rPr>
      </w:pPr>
    </w:p>
    <w:p>
      <w:pPr>
        <w:ind w:right="2839"/>
        <w:spacing w:after="0" w:line="269" w:lineRule="auto"/>
        <w:rPr>
          <w:sz w:val="20"/>
          <w:szCs w:val="20"/>
          <w:color w:val="auto"/>
        </w:rPr>
      </w:pPr>
      <w:r>
        <w:rPr>
          <w:rFonts w:ascii="Courier New" w:cs="Courier New" w:eastAsia="Courier New" w:hAnsi="Courier New"/>
          <w:sz w:val="16"/>
          <w:szCs w:val="16"/>
          <w:color w:val="auto"/>
        </w:rPr>
        <w:t>Periodically, the Company is made aware that technology used by the Company in the manufacture of some or all of its products may infringe on product or process technology rights held by others. The Company has accrued a liability and charged operations for the estimated costs of settlement or adjudication of asserted and unasserted claims for infringement prior to the balance sheet date. Management can give no assurance that the amounts accrued have been adequate and cannot estimate the range of additional possible loss, if any, from resolution of these uncertainties. Resolution of whether the Company's manufacture of products has infringed on valid rights held by others may have a material adverse effect on the Company's financial position or results of operations, and may require material changes in production processes and products. The Company has various product and process technology agreements which expire in calendar 1995, including an agreement with IBM. The Company is unable to predict whether these license agreements can be obtained or renewed on terms acceptable to the Company. Failure to renew such licenses could result in litigation and the attendant cost and diversion of resources associated therewith and could result in material changes in the Company's production processes or products. An adverse decision on any such litigation or such material changes could have a material effect on the Company's financial position or results of operations. The Company is not able to predict whether these license agreements can be renewed on terms acceptable to the Company.</w:t>
      </w:r>
    </w:p>
    <w:p>
      <w:pPr>
        <w:sectPr>
          <w:pgSz w:w="11900" w:h="16838" w:orient="portrait"/>
          <w:cols w:equalWidth="0" w:num="1">
            <w:col w:w="10219"/>
          </w:cols>
          <w:pgMar w:left="240" w:top="925" w:right="1440" w:bottom="345" w:gutter="0" w:footer="0" w:header="0"/>
        </w:sectPr>
      </w:pPr>
    </w:p>
    <w:bookmarkStart w:id="46" w:name="page47"/>
    <w:bookmarkEnd w:id="46"/>
    <w:p>
      <w:pPr>
        <w:ind w:right="2839"/>
        <w:spacing w:after="0" w:line="237" w:lineRule="auto"/>
        <w:rPr>
          <w:sz w:val="20"/>
          <w:szCs w:val="20"/>
          <w:color w:val="auto"/>
        </w:rPr>
      </w:pPr>
      <w:r>
        <w:rPr>
          <w:rFonts w:ascii="Courier New" w:cs="Courier New" w:eastAsia="Courier New" w:hAnsi="Courier New"/>
          <w:sz w:val="18"/>
          <w:szCs w:val="18"/>
          <w:color w:val="auto"/>
        </w:rPr>
        <w:t>The Company is currently a party to various other legal actions arising out of the normal course of business, none of which are expected to have a material effect on the Company's financial position or results of operations.</w:t>
      </w:r>
    </w:p>
    <w:p>
      <w:pPr>
        <w:sectPr>
          <w:pgSz w:w="11900" w:h="16838" w:orient="portrait"/>
          <w:cols w:equalWidth="0" w:num="1">
            <w:col w:w="10219"/>
          </w:cols>
          <w:pgMar w:left="240" w:top="142"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8"/>
          <w:szCs w:val="18"/>
          <w:color w:val="auto"/>
        </w:rPr>
        <w:t>Quarterly Financial and Market Information (Unaudited)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(Dollars in millions, except for per share amounts)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1995 Quarter</w:t>
            </w:r>
          </w:p>
        </w:tc>
        <w:tc>
          <w:tcPr>
            <w:tcW w:w="260" w:type="dxa"/>
            <w:vAlign w:val="bottom"/>
          </w:tcPr>
          <w:p>
            <w:pPr>
              <w:spacing w:after="0"/>
              <w:rPr>
                <w:sz w:val="17"/>
                <w:szCs w:val="17"/>
                <w:color w:val="auto"/>
              </w:rPr>
            </w:pPr>
          </w:p>
        </w:tc>
        <w:tc>
          <w:tcPr>
            <w:tcW w:w="9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1st</w:t>
            </w:r>
          </w:p>
        </w:tc>
        <w:tc>
          <w:tcPr>
            <w:tcW w:w="380" w:type="dxa"/>
            <w:vAlign w:val="bottom"/>
          </w:tcPr>
          <w:p>
            <w:pPr>
              <w:spacing w:after="0"/>
              <w:rPr>
                <w:sz w:val="17"/>
                <w:szCs w:val="17"/>
                <w:color w:val="auto"/>
              </w:rPr>
            </w:pPr>
          </w:p>
        </w:tc>
        <w:tc>
          <w:tcPr>
            <w:tcW w:w="8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2nd</w:t>
            </w:r>
          </w:p>
        </w:tc>
        <w:tc>
          <w:tcPr>
            <w:tcW w:w="380" w:type="dxa"/>
            <w:vAlign w:val="bottom"/>
          </w:tcPr>
          <w:p>
            <w:pPr>
              <w:spacing w:after="0"/>
              <w:rPr>
                <w:sz w:val="17"/>
                <w:szCs w:val="17"/>
                <w:color w:val="auto"/>
              </w:rPr>
            </w:pPr>
          </w:p>
        </w:tc>
        <w:tc>
          <w:tcPr>
            <w:tcW w:w="9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3rd</w:t>
            </w:r>
          </w:p>
        </w:tc>
        <w:tc>
          <w:tcPr>
            <w:tcW w:w="300" w:type="dxa"/>
            <w:vAlign w:val="bottom"/>
          </w:tcPr>
          <w:p>
            <w:pPr>
              <w:spacing w:after="0"/>
              <w:rPr>
                <w:sz w:val="17"/>
                <w:szCs w:val="17"/>
                <w:color w:val="auto"/>
              </w:rPr>
            </w:pPr>
          </w:p>
        </w:tc>
        <w:tc>
          <w:tcPr>
            <w:tcW w:w="740" w:type="dxa"/>
            <w:vAlign w:val="bottom"/>
          </w:tcPr>
          <w:p>
            <w:pPr>
              <w:ind w:left="120"/>
              <w:spacing w:after="0"/>
              <w:rPr>
                <w:sz w:val="20"/>
                <w:szCs w:val="20"/>
                <w:color w:val="auto"/>
              </w:rPr>
            </w:pPr>
            <w:r>
              <w:rPr>
                <w:rFonts w:ascii="Courier New" w:cs="Courier New" w:eastAsia="Courier New" w:hAnsi="Courier New"/>
                <w:sz w:val="18"/>
                <w:szCs w:val="18"/>
                <w:color w:val="auto"/>
              </w:rPr>
              <w:t>4th</w:t>
            </w:r>
          </w:p>
        </w:tc>
      </w:tr>
      <w:tr>
        <w:trPr>
          <w:trHeight w:val="203"/>
        </w:trPr>
        <w:tc>
          <w:tcPr>
            <w:tcW w:w="3480" w:type="dxa"/>
            <w:vAlign w:val="bottom"/>
          </w:tcPr>
          <w:p>
            <w:pPr>
              <w:spacing w:after="0"/>
              <w:rPr>
                <w:sz w:val="17"/>
                <w:szCs w:val="17"/>
                <w:color w:val="auto"/>
              </w:rPr>
            </w:pP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4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535.0</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628.5</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761.2</w:t>
            </w:r>
          </w:p>
        </w:tc>
        <w:tc>
          <w:tcPr>
            <w:tcW w:w="10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$1,028.0</w:t>
            </w:r>
          </w:p>
        </w:tc>
      </w:tr>
      <w:tr>
        <w:trPr>
          <w:trHeight w:val="203"/>
        </w:trPr>
        <w:tc>
          <w:tcPr>
            <w:tcW w:w="3480" w:type="dxa"/>
            <w:vAlign w:val="bottom"/>
          </w:tcPr>
          <w:p>
            <w:pPr>
              <w:spacing w:after="0"/>
              <w:rPr>
                <w:sz w:val="17"/>
                <w:szCs w:val="17"/>
                <w:color w:val="auto"/>
              </w:rPr>
            </w:pP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2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224.5</w:t>
            </w:r>
          </w:p>
        </w:tc>
        <w:tc>
          <w:tcPr>
            <w:tcW w:w="38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267.5</w:t>
            </w:r>
          </w:p>
        </w:tc>
        <w:tc>
          <w:tcPr>
            <w:tcW w:w="38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357.2</w:t>
            </w:r>
          </w:p>
        </w:tc>
        <w:tc>
          <w:tcPr>
            <w:tcW w:w="3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479.5</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w:t>
            </w:r>
          </w:p>
        </w:tc>
        <w:tc>
          <w:tcPr>
            <w:tcW w:w="2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38.2</w:t>
            </w:r>
          </w:p>
        </w:tc>
        <w:tc>
          <w:tcPr>
            <w:tcW w:w="38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39.0</w:t>
            </w:r>
          </w:p>
        </w:tc>
        <w:tc>
          <w:tcPr>
            <w:tcW w:w="38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54.4</w:t>
            </w:r>
          </w:p>
        </w:tc>
        <w:tc>
          <w:tcPr>
            <w:tcW w:w="3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67.1</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2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27.0</w:t>
            </w:r>
          </w:p>
        </w:tc>
        <w:tc>
          <w:tcPr>
            <w:tcW w:w="38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28.9</w:t>
            </w:r>
          </w:p>
        </w:tc>
        <w:tc>
          <w:tcPr>
            <w:tcW w:w="38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33.6</w:t>
            </w:r>
          </w:p>
        </w:tc>
        <w:tc>
          <w:tcPr>
            <w:tcW w:w="3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39.3</w:t>
            </w:r>
          </w:p>
        </w:tc>
      </w:tr>
      <w:tr>
        <w:trPr>
          <w:trHeight w:val="203"/>
        </w:trPr>
        <w:tc>
          <w:tcPr>
            <w:tcW w:w="3480" w:type="dxa"/>
            <w:vAlign w:val="bottom"/>
          </w:tcPr>
          <w:p>
            <w:pPr>
              <w:spacing w:after="0"/>
              <w:rPr>
                <w:sz w:val="17"/>
                <w:szCs w:val="17"/>
                <w:color w:val="auto"/>
              </w:rPr>
            </w:pP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costs and expenses</w:t>
            </w:r>
          </w:p>
        </w:tc>
        <w:tc>
          <w:tcPr>
            <w:tcW w:w="2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289.7</w:t>
            </w:r>
          </w:p>
        </w:tc>
        <w:tc>
          <w:tcPr>
            <w:tcW w:w="38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335.4</w:t>
            </w:r>
          </w:p>
        </w:tc>
        <w:tc>
          <w:tcPr>
            <w:tcW w:w="38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445.2</w:t>
            </w:r>
          </w:p>
        </w:tc>
        <w:tc>
          <w:tcPr>
            <w:tcW w:w="3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585.9</w:t>
            </w:r>
          </w:p>
        </w:tc>
      </w:tr>
      <w:tr>
        <w:trPr>
          <w:trHeight w:val="203"/>
        </w:trPr>
        <w:tc>
          <w:tcPr>
            <w:tcW w:w="3480" w:type="dxa"/>
            <w:vAlign w:val="bottom"/>
          </w:tcPr>
          <w:p>
            <w:pPr>
              <w:spacing w:after="0"/>
              <w:rPr>
                <w:sz w:val="17"/>
                <w:szCs w:val="17"/>
                <w:color w:val="auto"/>
              </w:rPr>
            </w:pP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2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245.3</w:t>
            </w:r>
          </w:p>
        </w:tc>
        <w:tc>
          <w:tcPr>
            <w:tcW w:w="38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293.1</w:t>
            </w:r>
          </w:p>
        </w:tc>
        <w:tc>
          <w:tcPr>
            <w:tcW w:w="38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316.0</w:t>
            </w:r>
          </w:p>
        </w:tc>
        <w:tc>
          <w:tcPr>
            <w:tcW w:w="3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442.1</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Gain from merger transaction</w:t>
            </w:r>
          </w:p>
        </w:tc>
        <w:tc>
          <w:tcPr>
            <w:tcW w:w="2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29.0</w:t>
            </w:r>
          </w:p>
        </w:tc>
        <w:tc>
          <w:tcPr>
            <w:tcW w:w="3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 net</w:t>
            </w:r>
          </w:p>
        </w:tc>
        <w:tc>
          <w:tcPr>
            <w:tcW w:w="2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w:t>
            </w:r>
          </w:p>
        </w:tc>
        <w:tc>
          <w:tcPr>
            <w:tcW w:w="38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6.5</w:t>
            </w:r>
          </w:p>
        </w:tc>
        <w:tc>
          <w:tcPr>
            <w:tcW w:w="38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7.4</w:t>
            </w:r>
          </w:p>
        </w:tc>
        <w:tc>
          <w:tcPr>
            <w:tcW w:w="3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w:t>
            </w:r>
          </w:p>
        </w:tc>
      </w:tr>
      <w:tr>
        <w:trPr>
          <w:trHeight w:val="203"/>
        </w:trPr>
        <w:tc>
          <w:tcPr>
            <w:tcW w:w="3480" w:type="dxa"/>
            <w:vAlign w:val="bottom"/>
          </w:tcPr>
          <w:p>
            <w:pPr>
              <w:spacing w:after="0"/>
              <w:rPr>
                <w:sz w:val="17"/>
                <w:szCs w:val="17"/>
                <w:color w:val="auto"/>
              </w:rPr>
            </w:pP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2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248.9</w:t>
            </w:r>
          </w:p>
        </w:tc>
        <w:tc>
          <w:tcPr>
            <w:tcW w:w="38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299.6</w:t>
            </w:r>
          </w:p>
        </w:tc>
        <w:tc>
          <w:tcPr>
            <w:tcW w:w="38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352.4</w:t>
            </w:r>
          </w:p>
        </w:tc>
        <w:tc>
          <w:tcPr>
            <w:tcW w:w="3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449.6</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provision</w:t>
            </w:r>
          </w:p>
        </w:tc>
        <w:tc>
          <w:tcPr>
            <w:tcW w:w="2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89.6</w:t>
            </w:r>
          </w:p>
        </w:tc>
        <w:tc>
          <w:tcPr>
            <w:tcW w:w="38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116.1</w:t>
            </w:r>
          </w:p>
        </w:tc>
        <w:tc>
          <w:tcPr>
            <w:tcW w:w="38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132.2</w:t>
            </w:r>
          </w:p>
        </w:tc>
        <w:tc>
          <w:tcPr>
            <w:tcW w:w="3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168.5</w:t>
            </w:r>
          </w:p>
        </w:tc>
      </w:tr>
      <w:tr>
        <w:trPr>
          <w:trHeight w:val="203"/>
        </w:trPr>
        <w:tc>
          <w:tcPr>
            <w:tcW w:w="3480" w:type="dxa"/>
            <w:vAlign w:val="bottom"/>
          </w:tcPr>
          <w:p>
            <w:pPr>
              <w:spacing w:after="0"/>
              <w:rPr>
                <w:sz w:val="17"/>
                <w:szCs w:val="17"/>
                <w:color w:val="auto"/>
              </w:rPr>
            </w:pP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159.3</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183.5</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220.2</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281.1</w:t>
            </w:r>
          </w:p>
        </w:tc>
      </w:tr>
      <w:tr>
        <w:trPr>
          <w:trHeight w:val="203"/>
        </w:trPr>
        <w:tc>
          <w:tcPr>
            <w:tcW w:w="3480" w:type="dxa"/>
            <w:vAlign w:val="bottom"/>
          </w:tcPr>
          <w:p>
            <w:pPr>
              <w:spacing w:after="0"/>
              <w:rPr>
                <w:sz w:val="17"/>
                <w:szCs w:val="17"/>
                <w:color w:val="auto"/>
              </w:rPr>
            </w:pP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Fully diluted earnings per share</w:t>
            </w:r>
          </w:p>
        </w:tc>
        <w:tc>
          <w:tcPr>
            <w:tcW w:w="2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w:t>
            </w:r>
          </w:p>
        </w:tc>
        <w:tc>
          <w:tcPr>
            <w:tcW w:w="38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$.86</w:t>
            </w:r>
          </w:p>
        </w:tc>
        <w:tc>
          <w:tcPr>
            <w:tcW w:w="38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$1.02</w:t>
            </w:r>
          </w:p>
        </w:tc>
        <w:tc>
          <w:tcPr>
            <w:tcW w:w="3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Quarterly stock price:</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High</w:t>
            </w:r>
          </w:p>
        </w:tc>
        <w:tc>
          <w:tcPr>
            <w:tcW w:w="2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$21.63</w:t>
            </w:r>
          </w:p>
        </w:tc>
        <w:tc>
          <w:tcPr>
            <w:tcW w:w="38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$33.13</w:t>
            </w:r>
          </w:p>
        </w:tc>
        <w:tc>
          <w:tcPr>
            <w:tcW w:w="38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$50.75</w:t>
            </w:r>
          </w:p>
        </w:tc>
        <w:tc>
          <w:tcPr>
            <w:tcW w:w="3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$78.00</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Low</w:t>
            </w:r>
          </w:p>
        </w:tc>
        <w:tc>
          <w:tcPr>
            <w:tcW w:w="2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15.25</w:t>
            </w:r>
          </w:p>
        </w:tc>
        <w:tc>
          <w:tcPr>
            <w:tcW w:w="38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19.94</w:t>
            </w:r>
          </w:p>
        </w:tc>
        <w:tc>
          <w:tcPr>
            <w:tcW w:w="38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32.56</w:t>
            </w:r>
          </w:p>
        </w:tc>
        <w:tc>
          <w:tcPr>
            <w:tcW w:w="3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44.75</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 declared per share</w:t>
            </w:r>
          </w:p>
        </w:tc>
        <w:tc>
          <w:tcPr>
            <w:tcW w:w="2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0.025</w:t>
            </w:r>
          </w:p>
        </w:tc>
        <w:tc>
          <w:tcPr>
            <w:tcW w:w="38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0.025</w:t>
            </w:r>
          </w:p>
        </w:tc>
        <w:tc>
          <w:tcPr>
            <w:tcW w:w="38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0.050</w:t>
            </w:r>
          </w:p>
        </w:tc>
        <w:tc>
          <w:tcPr>
            <w:tcW w:w="3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0.050</w:t>
            </w:r>
          </w:p>
        </w:tc>
      </w:tr>
      <w:tr>
        <w:trPr>
          <w:trHeight w:val="608"/>
        </w:trPr>
        <w:tc>
          <w:tcPr>
            <w:tcW w:w="3480" w:type="dxa"/>
            <w:vAlign w:val="bottom"/>
          </w:tcPr>
          <w:p>
            <w:pPr>
              <w:spacing w:after="0"/>
              <w:rPr>
                <w:sz w:val="20"/>
                <w:szCs w:val="20"/>
                <w:color w:val="auto"/>
              </w:rPr>
            </w:pPr>
            <w:r>
              <w:rPr>
                <w:rFonts w:ascii="Courier New" w:cs="Courier New" w:eastAsia="Courier New" w:hAnsi="Courier New"/>
                <w:sz w:val="18"/>
                <w:szCs w:val="18"/>
                <w:color w:val="auto"/>
              </w:rPr>
              <w:t>1994 Quarter</w:t>
            </w:r>
          </w:p>
        </w:tc>
        <w:tc>
          <w:tcPr>
            <w:tcW w:w="260" w:type="dxa"/>
            <w:vAlign w:val="bottom"/>
          </w:tcPr>
          <w:p>
            <w:pPr>
              <w:spacing w:after="0"/>
              <w:rPr>
                <w:sz w:val="24"/>
                <w:szCs w:val="24"/>
                <w:color w:val="auto"/>
              </w:rPr>
            </w:pPr>
          </w:p>
        </w:tc>
        <w:tc>
          <w:tcPr>
            <w:tcW w:w="9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1st</w:t>
            </w:r>
          </w:p>
        </w:tc>
        <w:tc>
          <w:tcPr>
            <w:tcW w:w="380" w:type="dxa"/>
            <w:vAlign w:val="bottom"/>
          </w:tcPr>
          <w:p>
            <w:pPr>
              <w:spacing w:after="0"/>
              <w:rPr>
                <w:sz w:val="24"/>
                <w:szCs w:val="24"/>
                <w:color w:val="auto"/>
              </w:rPr>
            </w:pPr>
          </w:p>
        </w:tc>
        <w:tc>
          <w:tcPr>
            <w:tcW w:w="8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2nd</w:t>
            </w:r>
          </w:p>
        </w:tc>
        <w:tc>
          <w:tcPr>
            <w:tcW w:w="380" w:type="dxa"/>
            <w:vAlign w:val="bottom"/>
          </w:tcPr>
          <w:p>
            <w:pPr>
              <w:spacing w:after="0"/>
              <w:rPr>
                <w:sz w:val="24"/>
                <w:szCs w:val="24"/>
                <w:color w:val="auto"/>
              </w:rPr>
            </w:pPr>
          </w:p>
        </w:tc>
        <w:tc>
          <w:tcPr>
            <w:tcW w:w="9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3rd</w:t>
            </w:r>
          </w:p>
        </w:tc>
        <w:tc>
          <w:tcPr>
            <w:tcW w:w="300" w:type="dxa"/>
            <w:vAlign w:val="bottom"/>
          </w:tcPr>
          <w:p>
            <w:pPr>
              <w:spacing w:after="0"/>
              <w:rPr>
                <w:sz w:val="24"/>
                <w:szCs w:val="24"/>
                <w:color w:val="auto"/>
              </w:rPr>
            </w:pPr>
          </w:p>
        </w:tc>
        <w:tc>
          <w:tcPr>
            <w:tcW w:w="740" w:type="dxa"/>
            <w:vAlign w:val="bottom"/>
          </w:tcPr>
          <w:p>
            <w:pPr>
              <w:ind w:left="120"/>
              <w:spacing w:after="0"/>
              <w:rPr>
                <w:sz w:val="20"/>
                <w:szCs w:val="20"/>
                <w:color w:val="auto"/>
              </w:rPr>
            </w:pPr>
            <w:r>
              <w:rPr>
                <w:rFonts w:ascii="Courier New" w:cs="Courier New" w:eastAsia="Courier New" w:hAnsi="Courier New"/>
                <w:sz w:val="18"/>
                <w:szCs w:val="18"/>
                <w:color w:val="auto"/>
              </w:rPr>
              <w:t>4th</w:t>
            </w:r>
          </w:p>
        </w:tc>
      </w:tr>
      <w:tr>
        <w:trPr>
          <w:trHeight w:val="203"/>
        </w:trPr>
        <w:tc>
          <w:tcPr>
            <w:tcW w:w="3480" w:type="dxa"/>
            <w:vAlign w:val="bottom"/>
          </w:tcPr>
          <w:p>
            <w:pPr>
              <w:spacing w:after="0"/>
              <w:rPr>
                <w:sz w:val="17"/>
                <w:szCs w:val="17"/>
                <w:color w:val="auto"/>
              </w:rPr>
            </w:pP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320.1</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390.5</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426.4</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491.6</w:t>
            </w:r>
          </w:p>
        </w:tc>
      </w:tr>
      <w:tr>
        <w:trPr>
          <w:trHeight w:val="203"/>
        </w:trPr>
        <w:tc>
          <w:tcPr>
            <w:tcW w:w="3480" w:type="dxa"/>
            <w:vAlign w:val="bottom"/>
          </w:tcPr>
          <w:p>
            <w:pPr>
              <w:spacing w:after="0"/>
              <w:rPr>
                <w:sz w:val="17"/>
                <w:szCs w:val="17"/>
                <w:color w:val="auto"/>
              </w:rPr>
            </w:pP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2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166.6</w:t>
            </w:r>
          </w:p>
        </w:tc>
        <w:tc>
          <w:tcPr>
            <w:tcW w:w="38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204.1</w:t>
            </w:r>
          </w:p>
        </w:tc>
        <w:tc>
          <w:tcPr>
            <w:tcW w:w="38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207.0</w:t>
            </w:r>
          </w:p>
        </w:tc>
        <w:tc>
          <w:tcPr>
            <w:tcW w:w="3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211.7</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w:t>
            </w:r>
          </w:p>
        </w:tc>
        <w:tc>
          <w:tcPr>
            <w:tcW w:w="2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34.1</w:t>
            </w:r>
          </w:p>
        </w:tc>
        <w:tc>
          <w:tcPr>
            <w:tcW w:w="38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33.1</w:t>
            </w:r>
          </w:p>
        </w:tc>
        <w:tc>
          <w:tcPr>
            <w:tcW w:w="38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35.8</w:t>
            </w:r>
          </w:p>
        </w:tc>
        <w:tc>
          <w:tcPr>
            <w:tcW w:w="3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32.7</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2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14.3</w:t>
            </w:r>
          </w:p>
        </w:tc>
        <w:tc>
          <w:tcPr>
            <w:tcW w:w="38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18.7</w:t>
            </w:r>
          </w:p>
        </w:tc>
        <w:tc>
          <w:tcPr>
            <w:tcW w:w="38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22.9</w:t>
            </w:r>
          </w:p>
        </w:tc>
        <w:tc>
          <w:tcPr>
            <w:tcW w:w="3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27.5</w:t>
            </w:r>
          </w:p>
        </w:tc>
      </w:tr>
      <w:tr>
        <w:trPr>
          <w:trHeight w:val="203"/>
        </w:trPr>
        <w:tc>
          <w:tcPr>
            <w:tcW w:w="3480" w:type="dxa"/>
            <w:vAlign w:val="bottom"/>
          </w:tcPr>
          <w:p>
            <w:pPr>
              <w:spacing w:after="0"/>
              <w:rPr>
                <w:sz w:val="17"/>
                <w:szCs w:val="17"/>
                <w:color w:val="auto"/>
              </w:rPr>
            </w:pP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costs and expenses</w:t>
            </w:r>
          </w:p>
        </w:tc>
        <w:tc>
          <w:tcPr>
            <w:tcW w:w="2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215.0</w:t>
            </w:r>
          </w:p>
        </w:tc>
        <w:tc>
          <w:tcPr>
            <w:tcW w:w="38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255.9</w:t>
            </w:r>
          </w:p>
        </w:tc>
        <w:tc>
          <w:tcPr>
            <w:tcW w:w="38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265.7</w:t>
            </w:r>
          </w:p>
        </w:tc>
        <w:tc>
          <w:tcPr>
            <w:tcW w:w="3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271.9</w:t>
            </w:r>
          </w:p>
        </w:tc>
      </w:tr>
      <w:tr>
        <w:trPr>
          <w:trHeight w:val="203"/>
        </w:trPr>
        <w:tc>
          <w:tcPr>
            <w:tcW w:w="3480" w:type="dxa"/>
            <w:vAlign w:val="bottom"/>
          </w:tcPr>
          <w:p>
            <w:pPr>
              <w:spacing w:after="0"/>
              <w:rPr>
                <w:sz w:val="17"/>
                <w:szCs w:val="17"/>
                <w:color w:val="auto"/>
              </w:rPr>
            </w:pP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2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105.1</w:t>
            </w:r>
          </w:p>
        </w:tc>
        <w:tc>
          <w:tcPr>
            <w:tcW w:w="38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134.6</w:t>
            </w:r>
          </w:p>
        </w:tc>
        <w:tc>
          <w:tcPr>
            <w:tcW w:w="38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160.7</w:t>
            </w:r>
          </w:p>
        </w:tc>
        <w:tc>
          <w:tcPr>
            <w:tcW w:w="3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219.7</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 net</w:t>
            </w:r>
          </w:p>
        </w:tc>
        <w:tc>
          <w:tcPr>
            <w:tcW w:w="2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0.4</w:t>
            </w:r>
          </w:p>
        </w:tc>
        <w:tc>
          <w:tcPr>
            <w:tcW w:w="38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w:t>
            </w:r>
          </w:p>
        </w:tc>
        <w:tc>
          <w:tcPr>
            <w:tcW w:w="38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w:t>
            </w:r>
          </w:p>
        </w:tc>
        <w:tc>
          <w:tcPr>
            <w:tcW w:w="3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3480" w:type="dxa"/>
            <w:vAlign w:val="bottom"/>
          </w:tcPr>
          <w:p>
            <w:pPr>
              <w:spacing w:after="0"/>
              <w:rPr>
                <w:sz w:val="17"/>
                <w:szCs w:val="17"/>
                <w:color w:val="auto"/>
              </w:rPr>
            </w:pP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2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105.5</w:t>
            </w:r>
          </w:p>
        </w:tc>
        <w:tc>
          <w:tcPr>
            <w:tcW w:w="38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135.6</w:t>
            </w:r>
          </w:p>
        </w:tc>
        <w:tc>
          <w:tcPr>
            <w:tcW w:w="38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163.0</w:t>
            </w:r>
          </w:p>
        </w:tc>
        <w:tc>
          <w:tcPr>
            <w:tcW w:w="3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221.7</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provision</w:t>
            </w:r>
          </w:p>
        </w:tc>
        <w:tc>
          <w:tcPr>
            <w:tcW w:w="2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38.0</w:t>
            </w:r>
          </w:p>
        </w:tc>
        <w:tc>
          <w:tcPr>
            <w:tcW w:w="38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48.8</w:t>
            </w:r>
          </w:p>
        </w:tc>
        <w:tc>
          <w:tcPr>
            <w:tcW w:w="38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58.7</w:t>
            </w:r>
          </w:p>
        </w:tc>
        <w:tc>
          <w:tcPr>
            <w:tcW w:w="3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79.8</w:t>
            </w:r>
          </w:p>
        </w:tc>
      </w:tr>
      <w:tr>
        <w:trPr>
          <w:trHeight w:val="203"/>
        </w:trPr>
        <w:tc>
          <w:tcPr>
            <w:tcW w:w="3480" w:type="dxa"/>
            <w:vAlign w:val="bottom"/>
          </w:tcPr>
          <w:p>
            <w:pPr>
              <w:spacing w:after="0"/>
              <w:rPr>
                <w:sz w:val="17"/>
                <w:szCs w:val="17"/>
                <w:color w:val="auto"/>
              </w:rPr>
            </w:pP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67.5</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86.8</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104.3</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141.9</w:t>
            </w:r>
          </w:p>
        </w:tc>
      </w:tr>
      <w:tr>
        <w:trPr>
          <w:trHeight w:val="203"/>
        </w:trPr>
        <w:tc>
          <w:tcPr>
            <w:tcW w:w="3480" w:type="dxa"/>
            <w:vAlign w:val="bottom"/>
          </w:tcPr>
          <w:p>
            <w:pPr>
              <w:spacing w:after="0"/>
              <w:rPr>
                <w:sz w:val="17"/>
                <w:szCs w:val="17"/>
                <w:color w:val="auto"/>
              </w:rPr>
            </w:pP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480" w:type="dxa"/>
            <w:vAlign w:val="bottom"/>
          </w:tcPr>
          <w:p>
            <w:pPr>
              <w:spacing w:after="0"/>
              <w:rPr>
                <w:sz w:val="20"/>
                <w:szCs w:val="20"/>
                <w:color w:val="auto"/>
              </w:rPr>
            </w:pPr>
            <w:r>
              <w:rPr>
                <w:rFonts w:ascii="Courier New" w:cs="Courier New" w:eastAsia="Courier New" w:hAnsi="Courier New"/>
                <w:sz w:val="18"/>
                <w:szCs w:val="18"/>
                <w:color w:val="auto"/>
              </w:rPr>
              <w:t>Fully diluted earnings per share</w:t>
            </w:r>
          </w:p>
        </w:tc>
        <w:tc>
          <w:tcPr>
            <w:tcW w:w="260" w:type="dxa"/>
            <w:vAlign w:val="bottom"/>
          </w:tcPr>
          <w:p>
            <w:pPr>
              <w:spacing w:after="0"/>
              <w:rPr>
                <w:sz w:val="24"/>
                <w:szCs w:val="24"/>
                <w:color w:val="auto"/>
              </w:rPr>
            </w:pPr>
          </w:p>
        </w:tc>
        <w:tc>
          <w:tcPr>
            <w:tcW w:w="9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$0.33</w:t>
            </w:r>
          </w:p>
        </w:tc>
        <w:tc>
          <w:tcPr>
            <w:tcW w:w="380" w:type="dxa"/>
            <w:vAlign w:val="bottom"/>
          </w:tcPr>
          <w:p>
            <w:pPr>
              <w:spacing w:after="0"/>
              <w:rPr>
                <w:sz w:val="24"/>
                <w:szCs w:val="24"/>
                <w:color w:val="auto"/>
              </w:rPr>
            </w:pPr>
          </w:p>
        </w:tc>
        <w:tc>
          <w:tcPr>
            <w:tcW w:w="8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$0.41</w:t>
            </w:r>
          </w:p>
        </w:tc>
        <w:tc>
          <w:tcPr>
            <w:tcW w:w="380" w:type="dxa"/>
            <w:vAlign w:val="bottom"/>
          </w:tcPr>
          <w:p>
            <w:pPr>
              <w:spacing w:after="0"/>
              <w:rPr>
                <w:sz w:val="24"/>
                <w:szCs w:val="24"/>
                <w:color w:val="auto"/>
              </w:rPr>
            </w:pP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$0.49</w:t>
            </w:r>
          </w:p>
        </w:tc>
        <w:tc>
          <w:tcPr>
            <w:tcW w:w="300" w:type="dxa"/>
            <w:vAlign w:val="bottom"/>
          </w:tcPr>
          <w:p>
            <w:pPr>
              <w:spacing w:after="0"/>
              <w:rPr>
                <w:sz w:val="24"/>
                <w:szCs w:val="24"/>
                <w:color w:val="auto"/>
              </w:rPr>
            </w:pPr>
          </w:p>
        </w:tc>
        <w:tc>
          <w:tcPr>
            <w:tcW w:w="740" w:type="dxa"/>
            <w:vAlign w:val="bottom"/>
          </w:tcPr>
          <w:p>
            <w:pPr>
              <w:ind w:left="120"/>
              <w:spacing w:after="0"/>
              <w:rPr>
                <w:sz w:val="20"/>
                <w:szCs w:val="20"/>
                <w:color w:val="auto"/>
              </w:rPr>
            </w:pPr>
            <w:r>
              <w:rPr>
                <w:rFonts w:ascii="Courier New" w:cs="Courier New" w:eastAsia="Courier New" w:hAnsi="Courier New"/>
                <w:sz w:val="18"/>
                <w:szCs w:val="18"/>
                <w:color w:val="auto"/>
              </w:rPr>
              <w:t>$0.67</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Quarterly stock price:</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High</w:t>
            </w:r>
          </w:p>
        </w:tc>
        <w:tc>
          <w:tcPr>
            <w:tcW w:w="2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$12.73</w:t>
            </w:r>
          </w:p>
        </w:tc>
        <w:tc>
          <w:tcPr>
            <w:tcW w:w="38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$15.30</w:t>
            </w:r>
          </w:p>
        </w:tc>
        <w:tc>
          <w:tcPr>
            <w:tcW w:w="38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$19.95</w:t>
            </w:r>
          </w:p>
        </w:tc>
        <w:tc>
          <w:tcPr>
            <w:tcW w:w="3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$22.44</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Low</w:t>
            </w:r>
          </w:p>
        </w:tc>
        <w:tc>
          <w:tcPr>
            <w:tcW w:w="2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7.58</w:t>
            </w:r>
          </w:p>
        </w:tc>
        <w:tc>
          <w:tcPr>
            <w:tcW w:w="38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8.73</w:t>
            </w:r>
          </w:p>
        </w:tc>
        <w:tc>
          <w:tcPr>
            <w:tcW w:w="38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14.13</w:t>
            </w:r>
          </w:p>
        </w:tc>
        <w:tc>
          <w:tcPr>
            <w:tcW w:w="300" w:type="dxa"/>
            <w:vAlign w:val="bottom"/>
          </w:tcPr>
          <w:p>
            <w:pPr>
              <w:spacing w:after="0"/>
              <w:rPr>
                <w:sz w:val="17"/>
                <w:szCs w:val="17"/>
                <w:color w:val="auto"/>
              </w:rPr>
            </w:pP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15.31</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 declared per share</w:t>
            </w:r>
          </w:p>
        </w:tc>
        <w:tc>
          <w:tcPr>
            <w:tcW w:w="26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0.010</w:t>
            </w:r>
          </w:p>
        </w:tc>
        <w:tc>
          <w:tcPr>
            <w:tcW w:w="38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0.025</w:t>
            </w:r>
          </w:p>
        </w:tc>
        <w:tc>
          <w:tcPr>
            <w:tcW w:w="300" w:type="dxa"/>
            <w:vAlign w:val="bottom"/>
          </w:tcPr>
          <w:p>
            <w:pPr>
              <w:spacing w:after="0"/>
              <w:rPr>
                <w:sz w:val="17"/>
                <w:szCs w:val="17"/>
                <w:color w:val="auto"/>
              </w:rPr>
            </w:pP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0.025</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of August 31, 1995, the Company had 5,649 shareholders of record.</w:t>
      </w:r>
    </w:p>
    <w:p>
      <w:pPr>
        <w:spacing w:after="0" w:line="207"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Cost of goods sold for the third quarter of 1995 included a $25.0 million pretax charge associated with contingencies for product and process technology rights.</w:t>
      </w:r>
    </w:p>
    <w:p>
      <w:pPr>
        <w:sectPr>
          <w:pgSz w:w="11900" w:h="16838" w:orient="portrait"/>
          <w:cols w:equalWidth="0" w:num="1">
            <w:col w:w="10219"/>
          </w:cols>
          <w:pgMar w:left="240" w:top="717" w:right="1440" w:bottom="769" w:gutter="0" w:footer="0" w:header="0"/>
        </w:sectPr>
      </w:pPr>
    </w:p>
    <w:bookmarkStart w:id="48" w:name="page49"/>
    <w:bookmarkEnd w:id="48"/>
    <w:p>
      <w:pPr>
        <w:spacing w:after="0"/>
        <w:rPr>
          <w:sz w:val="20"/>
          <w:szCs w:val="20"/>
          <w:color w:val="auto"/>
        </w:rPr>
      </w:pPr>
      <w:r>
        <w:rPr>
          <w:rFonts w:ascii="Courier New" w:cs="Courier New" w:eastAsia="Courier New" w:hAnsi="Courier New"/>
          <w:sz w:val="18"/>
          <w:szCs w:val="18"/>
          <w:color w:val="auto"/>
        </w:rPr>
        <w:t>Report of Independent Accountants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Shareholders and Board of Directors</w:t>
      </w:r>
    </w:p>
    <w:p>
      <w:pPr>
        <w:spacing w:after="0" w:line="238" w:lineRule="auto"/>
        <w:rPr>
          <w:sz w:val="20"/>
          <w:szCs w:val="20"/>
          <w:color w:val="auto"/>
        </w:rPr>
      </w:pPr>
      <w:r>
        <w:rPr>
          <w:rFonts w:ascii="Courier New" w:cs="Courier New" w:eastAsia="Courier New" w:hAnsi="Courier New"/>
          <w:sz w:val="18"/>
          <w:szCs w:val="18"/>
          <w:color w:val="auto"/>
        </w:rPr>
        <w:t>Micron Technology, Inc.</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We have audited the consolidated financial statements of Micron Technology, Inc., listed in the index on page 40 of this Form 10-K. These financial statements are the responsibility of the Company's management. Our responsibility is to express an opinion on these financial statements based on our audits.</w:t>
      </w:r>
    </w:p>
    <w:p>
      <w:pPr>
        <w:spacing w:after="0" w:line="209" w:lineRule="exact"/>
        <w:rPr>
          <w:sz w:val="20"/>
          <w:szCs w:val="20"/>
          <w:color w:val="auto"/>
        </w:rPr>
      </w:pPr>
    </w:p>
    <w:p>
      <w:pPr>
        <w:ind w:right="2839"/>
        <w:spacing w:after="0" w:line="271"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4" w:lineRule="exact"/>
        <w:rPr>
          <w:sz w:val="20"/>
          <w:szCs w:val="20"/>
          <w:color w:val="auto"/>
        </w:rPr>
      </w:pPr>
    </w:p>
    <w:p>
      <w:pPr>
        <w:ind w:right="2839"/>
        <w:spacing w:after="0" w:line="272"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consolidated financial position of Micron Technology, Inc., as of August 31, 1995, and September 1, 1994, and the consolidated results of their operations and their cash flows for each of the three years in the period ended August 31, 1995, in conformity with generally accepted accounting principles.</w:t>
      </w:r>
    </w:p>
    <w:p>
      <w:pPr>
        <w:spacing w:after="0" w:line="186"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As discussed in the contingencies note to the consolidated financial statements, management can give no assurance that the amounts accrued as of August 31, 1995, for estimated costs of settlement or adjudication of asserted and unasserted claims for infringement of product and process technology rights held by others, have been adequate, nor can management estimate the range of additional possible loss, if any, from resolution of these uncertainties.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Coopers &amp; Lybrand L.L.P.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Boise, Idaho</w:t>
      </w:r>
    </w:p>
    <w:p>
      <w:pPr>
        <w:spacing w:after="0" w:line="238" w:lineRule="auto"/>
        <w:rPr>
          <w:sz w:val="20"/>
          <w:szCs w:val="20"/>
          <w:color w:val="auto"/>
        </w:rPr>
      </w:pPr>
      <w:r>
        <w:rPr>
          <w:rFonts w:ascii="Courier New" w:cs="Courier New" w:eastAsia="Courier New" w:hAnsi="Courier New"/>
          <w:sz w:val="18"/>
          <w:szCs w:val="18"/>
          <w:color w:val="auto"/>
        </w:rPr>
        <w:t>September 21, 1995</w:t>
      </w:r>
    </w:p>
    <w:p>
      <w:pPr>
        <w:sectPr>
          <w:pgSz w:w="11900" w:h="16838" w:orient="portrait"/>
          <w:cols w:equalWidth="0" w:num="1">
            <w:col w:w="10219"/>
          </w:cols>
          <w:pgMar w:left="240" w:top="717" w:right="1440" w:bottom="1440" w:gutter="0" w:footer="0" w:header="0"/>
        </w:sectPr>
      </w:pPr>
    </w:p>
    <w:bookmarkStart w:id="49" w:name="page50"/>
    <w:bookmarkEnd w:id="49"/>
    <w:p>
      <w:pPr>
        <w:ind w:right="3159"/>
        <w:spacing w:after="0" w:line="235" w:lineRule="auto"/>
        <w:rPr>
          <w:sz w:val="20"/>
          <w:szCs w:val="20"/>
          <w:color w:val="auto"/>
        </w:rPr>
      </w:pPr>
      <w:r>
        <w:rPr>
          <w:rFonts w:ascii="Courier New" w:cs="Courier New" w:eastAsia="Courier New" w:hAnsi="Courier New"/>
          <w:sz w:val="18"/>
          <w:szCs w:val="18"/>
          <w:color w:val="auto"/>
        </w:rPr>
        <w:t>Item 9. Changes in and Disagreements with Accountants on Accounting and Financial Disclosure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PART III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Directors and Executive Officers of the Registrant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11. Executive Compensation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12. Security Ownership of Certain Beneficial Owners and Management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13. Certain Relationships and Related Transactions</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Certain information concerning the registrant's executive officers is included under the caption "Executive Officers of the Registrant" following Part I, Item 1 of this report. Other information required by Items 10, 11, 12 and 13 will be contained in the registrant's Proxy Statement which will be filed with the Securities and Exchange Commission within 120 days after August 31, 1995, and is incorporated herein by reference.</w:t>
      </w:r>
    </w:p>
    <w:p>
      <w:pPr>
        <w:sectPr>
          <w:pgSz w:w="11900" w:h="16838" w:orient="portrait"/>
          <w:cols w:equalWidth="0" w:num="1">
            <w:col w:w="10219"/>
          </w:cols>
          <w:pgMar w:left="240" w:top="925" w:right="1440" w:bottom="1440" w:gutter="0" w:footer="0" w:header="0"/>
        </w:sectPr>
      </w:pPr>
    </w:p>
    <w:bookmarkStart w:id="50" w:name="page51"/>
    <w:bookmarkEnd w:id="50"/>
    <w:p>
      <w:pPr>
        <w:jc w:val="center"/>
        <w:ind w:right="2739"/>
        <w:spacing w:after="0"/>
        <w:rPr>
          <w:sz w:val="20"/>
          <w:szCs w:val="20"/>
          <w:color w:val="auto"/>
        </w:rPr>
      </w:pPr>
      <w:r>
        <w:rPr>
          <w:rFonts w:ascii="Courier New" w:cs="Courier New" w:eastAsia="Courier New" w:hAnsi="Courier New"/>
          <w:sz w:val="18"/>
          <w:szCs w:val="18"/>
          <w:color w:val="auto"/>
        </w:rPr>
        <w:t>PART IV</w:t>
      </w:r>
    </w:p>
    <w:p>
      <w:pPr>
        <w:spacing w:after="0" w:line="207"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Item 14. Exhibits, Financial Statement Schedules, and Reports on Form 8-K</w:t>
      </w:r>
    </w:p>
    <w:p>
      <w:pPr>
        <w:spacing w:after="0" w:line="203"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documents are filed as part of this report: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Consolidated financial statements and financial statement schedules</w:t>
      </w:r>
    </w:p>
    <w:p>
      <w:pPr>
        <w:spacing w:after="0" w:line="4" w:lineRule="exact"/>
        <w:rPr>
          <w:sz w:val="20"/>
          <w:szCs w:val="20"/>
          <w:color w:val="auto"/>
        </w:rPr>
      </w:pPr>
    </w:p>
    <w:p>
      <w:pPr>
        <w:ind w:right="26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see "Item 8. Financial Statements and Supplementary Data - Notes to Consolidated Financial Statements - Contingencies."</w:t>
      </w:r>
    </w:p>
    <w:p>
      <w:pPr>
        <w:spacing w:after="0" w:line="203" w:lineRule="exact"/>
        <w:rPr>
          <w:sz w:val="20"/>
          <w:szCs w:val="20"/>
          <w:color w:val="auto"/>
        </w:rPr>
      </w:pPr>
    </w:p>
    <w:p>
      <w:pPr>
        <w:ind w:left="120"/>
        <w:spacing w:after="0"/>
        <w:tabs>
          <w:tab w:leader="none" w:pos="1360" w:val="left"/>
        </w:tabs>
        <w:rPr>
          <w:sz w:val="20"/>
          <w:szCs w:val="20"/>
          <w:color w:val="auto"/>
        </w:rPr>
      </w:pPr>
      <w:r>
        <w:rPr>
          <w:rFonts w:ascii="Courier New" w:cs="Courier New" w:eastAsia="Courier New" w:hAnsi="Courier New"/>
          <w:sz w:val="18"/>
          <w:szCs w:val="18"/>
          <w:color w:val="auto"/>
        </w:rPr>
        <w:t>Exhibit</w:t>
      </w:r>
      <w:r>
        <w:rPr>
          <w:sz w:val="20"/>
          <w:szCs w:val="20"/>
          <w:color w:val="auto"/>
        </w:rPr>
        <w:tab/>
      </w:r>
      <w:r>
        <w:rPr>
          <w:rFonts w:ascii="Courier New" w:cs="Courier New" w:eastAsia="Courier New" w:hAnsi="Courier New"/>
          <w:sz w:val="18"/>
          <w:szCs w:val="18"/>
          <w:color w:val="auto"/>
        </w:rPr>
        <w:t>Description</w:t>
      </w:r>
    </w:p>
    <w:p>
      <w:pPr>
        <w:spacing w:after="0" w:line="201" w:lineRule="exact"/>
        <w:rPr>
          <w:sz w:val="20"/>
          <w:szCs w:val="20"/>
          <w:color w:val="auto"/>
        </w:rPr>
      </w:pPr>
    </w:p>
    <w:p>
      <w:pPr>
        <w:ind w:left="220"/>
        <w:spacing w:after="0"/>
        <w:tabs>
          <w:tab w:leader="none" w:pos="114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Certificate of Incorporation of the Registrant, as amended.</w:t>
      </w:r>
    </w:p>
    <w:p>
      <w:pPr>
        <w:ind w:left="220"/>
        <w:spacing w:after="0"/>
        <w:tabs>
          <w:tab w:leader="none" w:pos="1140" w:val="left"/>
        </w:tabs>
        <w:rPr>
          <w:sz w:val="20"/>
          <w:szCs w:val="20"/>
          <w:color w:val="auto"/>
        </w:rPr>
      </w:pPr>
      <w:r>
        <w:rPr>
          <w:rFonts w:ascii="Courier New" w:cs="Courier New" w:eastAsia="Courier New" w:hAnsi="Courier New"/>
          <w:sz w:val="18"/>
          <w:szCs w:val="18"/>
          <w:color w:val="auto"/>
        </w:rPr>
        <w:t>3.7</w:t>
      </w:r>
      <w:r>
        <w:rPr>
          <w:sz w:val="20"/>
          <w:szCs w:val="20"/>
          <w:color w:val="auto"/>
        </w:rPr>
        <w:tab/>
      </w:r>
      <w:r>
        <w:rPr>
          <w:rFonts w:ascii="Courier New" w:cs="Courier New" w:eastAsia="Courier New" w:hAnsi="Courier New"/>
          <w:sz w:val="16"/>
          <w:szCs w:val="16"/>
          <w:color w:val="auto"/>
        </w:rPr>
        <w:t>Bylaws of the Registrant, as amended.</w:t>
      </w:r>
    </w:p>
    <w:p>
      <w:pPr>
        <w:spacing w:after="0" w:line="5" w:lineRule="exact"/>
        <w:rPr>
          <w:sz w:val="20"/>
          <w:szCs w:val="20"/>
          <w:color w:val="auto"/>
        </w:rPr>
      </w:pPr>
    </w:p>
    <w:p>
      <w:pPr>
        <w:ind w:left="1160" w:right="2739" w:hanging="947"/>
        <w:spacing w:after="0" w:line="235" w:lineRule="auto"/>
        <w:tabs>
          <w:tab w:leader="none" w:pos="1140" w:val="left"/>
        </w:tabs>
        <w:rPr>
          <w:sz w:val="20"/>
          <w:szCs w:val="20"/>
          <w:color w:val="auto"/>
        </w:rPr>
      </w:pPr>
      <w:r>
        <w:rPr>
          <w:rFonts w:ascii="Courier New" w:cs="Courier New" w:eastAsia="Courier New" w:hAnsi="Courier New"/>
          <w:sz w:val="18"/>
          <w:szCs w:val="18"/>
          <w:color w:val="auto"/>
        </w:rPr>
        <w:t>10.82</w:t>
      </w:r>
      <w:r>
        <w:rPr>
          <w:sz w:val="20"/>
          <w:szCs w:val="20"/>
          <w:color w:val="auto"/>
        </w:rPr>
        <w:tab/>
      </w:r>
      <w:r>
        <w:rPr>
          <w:rFonts w:ascii="Courier New" w:cs="Courier New" w:eastAsia="Courier New" w:hAnsi="Courier New"/>
          <w:sz w:val="18"/>
          <w:szCs w:val="18"/>
          <w:color w:val="auto"/>
        </w:rPr>
        <w:t>Form of Indemnification Agreement between the Registrant and its officers and directors.(1)</w:t>
      </w:r>
    </w:p>
    <w:p>
      <w:pPr>
        <w:spacing w:after="0" w:line="6" w:lineRule="exact"/>
        <w:rPr>
          <w:sz w:val="20"/>
          <w:szCs w:val="20"/>
          <w:color w:val="auto"/>
        </w:rPr>
      </w:pPr>
    </w:p>
    <w:p>
      <w:pPr>
        <w:ind w:left="1160" w:right="2199" w:hanging="947"/>
        <w:spacing w:after="0" w:line="268" w:lineRule="auto"/>
        <w:tabs>
          <w:tab w:leader="none" w:pos="1140" w:val="left"/>
        </w:tabs>
        <w:rPr>
          <w:sz w:val="20"/>
          <w:szCs w:val="20"/>
          <w:color w:val="auto"/>
        </w:rPr>
      </w:pPr>
      <w:r>
        <w:rPr>
          <w:rFonts w:ascii="Courier New" w:cs="Courier New" w:eastAsia="Courier New" w:hAnsi="Courier New"/>
          <w:sz w:val="18"/>
          <w:szCs w:val="18"/>
          <w:color w:val="auto"/>
        </w:rPr>
        <w:t>10.91</w:t>
      </w:r>
      <w:r>
        <w:rPr>
          <w:sz w:val="20"/>
          <w:szCs w:val="20"/>
          <w:color w:val="auto"/>
        </w:rPr>
        <w:tab/>
      </w:r>
      <w:r>
        <w:rPr>
          <w:rFonts w:ascii="Courier New" w:cs="Courier New" w:eastAsia="Courier New" w:hAnsi="Courier New"/>
          <w:sz w:val="16"/>
          <w:szCs w:val="16"/>
          <w:color w:val="auto"/>
        </w:rPr>
        <w:t>Board Resolution regarding stock and bonus plan vesting schedules in the event of change in control of the Registrant.(2)</w:t>
      </w:r>
    </w:p>
    <w:p>
      <w:pPr>
        <w:ind w:left="1160" w:right="2519" w:hanging="947"/>
        <w:spacing w:after="0" w:line="235" w:lineRule="auto"/>
        <w:tabs>
          <w:tab w:leader="none" w:pos="1140" w:val="left"/>
        </w:tabs>
        <w:rPr>
          <w:sz w:val="20"/>
          <w:szCs w:val="20"/>
          <w:color w:val="auto"/>
        </w:rPr>
      </w:pPr>
      <w:r>
        <w:rPr>
          <w:rFonts w:ascii="Courier New" w:cs="Courier New" w:eastAsia="Courier New" w:hAnsi="Courier New"/>
          <w:sz w:val="18"/>
          <w:szCs w:val="18"/>
          <w:color w:val="auto"/>
        </w:rPr>
        <w:t>10.92</w:t>
      </w:r>
      <w:r>
        <w:rPr>
          <w:sz w:val="20"/>
          <w:szCs w:val="20"/>
          <w:color w:val="auto"/>
        </w:rPr>
        <w:tab/>
      </w:r>
      <w:r>
        <w:rPr>
          <w:rFonts w:ascii="Courier New" w:cs="Courier New" w:eastAsia="Courier New" w:hAnsi="Courier New"/>
          <w:sz w:val="18"/>
          <w:szCs w:val="18"/>
          <w:color w:val="auto"/>
        </w:rPr>
        <w:t>Additional provisions related to Management Bonus Arrangements for Certain Executive Officers.(2)</w:t>
      </w:r>
    </w:p>
    <w:p>
      <w:pPr>
        <w:spacing w:after="0" w:line="6" w:lineRule="exact"/>
        <w:rPr>
          <w:sz w:val="20"/>
          <w:szCs w:val="20"/>
          <w:color w:val="auto"/>
        </w:rPr>
      </w:pPr>
    </w:p>
    <w:p>
      <w:pPr>
        <w:ind w:left="1160" w:right="2619" w:hanging="947"/>
        <w:spacing w:after="0" w:line="268" w:lineRule="auto"/>
        <w:tabs>
          <w:tab w:leader="none" w:pos="1140" w:val="left"/>
        </w:tabs>
        <w:rPr>
          <w:sz w:val="20"/>
          <w:szCs w:val="20"/>
          <w:color w:val="auto"/>
        </w:rPr>
      </w:pPr>
      <w:r>
        <w:rPr>
          <w:rFonts w:ascii="Courier New" w:cs="Courier New" w:eastAsia="Courier New" w:hAnsi="Courier New"/>
          <w:sz w:val="18"/>
          <w:szCs w:val="18"/>
          <w:color w:val="auto"/>
        </w:rPr>
        <w:t>10.96</w:t>
      </w:r>
      <w:r>
        <w:rPr>
          <w:sz w:val="20"/>
          <w:szCs w:val="20"/>
          <w:color w:val="auto"/>
        </w:rPr>
        <w:tab/>
      </w:r>
      <w:r>
        <w:rPr>
          <w:rFonts w:ascii="Courier New" w:cs="Courier New" w:eastAsia="Courier New" w:hAnsi="Courier New"/>
          <w:sz w:val="16"/>
          <w:szCs w:val="16"/>
          <w:color w:val="auto"/>
        </w:rPr>
        <w:t>Form of Termination Agreement for members of the Registrant's Operations Committee and other Officers of the Company.(3)</w:t>
      </w:r>
    </w:p>
    <w:p>
      <w:pPr>
        <w:ind w:left="220"/>
        <w:spacing w:after="0"/>
        <w:tabs>
          <w:tab w:leader="none" w:pos="1140" w:val="left"/>
        </w:tabs>
        <w:rPr>
          <w:sz w:val="20"/>
          <w:szCs w:val="20"/>
          <w:color w:val="auto"/>
        </w:rPr>
      </w:pPr>
      <w:r>
        <w:rPr>
          <w:rFonts w:ascii="Courier New" w:cs="Courier New" w:eastAsia="Courier New" w:hAnsi="Courier New"/>
          <w:sz w:val="18"/>
          <w:szCs w:val="18"/>
          <w:color w:val="auto"/>
        </w:rPr>
        <w:t>10.100</w:t>
      </w:r>
      <w:r>
        <w:rPr>
          <w:sz w:val="20"/>
          <w:szCs w:val="20"/>
          <w:color w:val="auto"/>
        </w:rPr>
        <w:tab/>
      </w:r>
      <w:r>
        <w:rPr>
          <w:rFonts w:ascii="Courier New" w:cs="Courier New" w:eastAsia="Courier New" w:hAnsi="Courier New"/>
          <w:sz w:val="16"/>
          <w:szCs w:val="16"/>
          <w:color w:val="auto"/>
        </w:rPr>
        <w:t>Amended and Restated 1985 Incentive Stock Option Plan.(4)</w:t>
      </w:r>
    </w:p>
    <w:p>
      <w:pPr>
        <w:spacing w:after="0" w:line="5" w:lineRule="exact"/>
        <w:rPr>
          <w:sz w:val="20"/>
          <w:szCs w:val="20"/>
          <w:color w:val="auto"/>
        </w:rPr>
      </w:pPr>
    </w:p>
    <w:p>
      <w:pPr>
        <w:ind w:left="1160" w:right="1999" w:hanging="947"/>
        <w:spacing w:after="0" w:line="237" w:lineRule="auto"/>
        <w:tabs>
          <w:tab w:leader="none" w:pos="1140" w:val="left"/>
        </w:tabs>
        <w:rPr>
          <w:sz w:val="20"/>
          <w:szCs w:val="20"/>
          <w:color w:val="auto"/>
        </w:rPr>
      </w:pPr>
      <w:r>
        <w:rPr>
          <w:rFonts w:ascii="Courier New" w:cs="Courier New" w:eastAsia="Courier New" w:hAnsi="Courier New"/>
          <w:sz w:val="18"/>
          <w:szCs w:val="18"/>
          <w:color w:val="auto"/>
        </w:rPr>
        <w:t>10.103</w:t>
        <w:tab/>
        <w:t>Real Estate Agreement and Addendum dated May 29, 1991 between the Registrant and Thomas T. Nicholson, Allen T. Noble, Don J. Simplot, J. R. Simplot, Ronald C. Yanke, Semienterprises, a partnership and Macron, a partnership.(5)</w:t>
      </w:r>
    </w:p>
    <w:p>
      <w:pPr>
        <w:spacing w:after="0" w:line="5" w:lineRule="exact"/>
        <w:rPr>
          <w:sz w:val="20"/>
          <w:szCs w:val="20"/>
          <w:color w:val="auto"/>
        </w:rPr>
      </w:pPr>
    </w:p>
    <w:p>
      <w:pPr>
        <w:ind w:left="1160" w:right="2419" w:hanging="947"/>
        <w:spacing w:after="0" w:line="236" w:lineRule="auto"/>
        <w:tabs>
          <w:tab w:leader="none" w:pos="1140" w:val="left"/>
        </w:tabs>
        <w:rPr>
          <w:sz w:val="20"/>
          <w:szCs w:val="20"/>
          <w:color w:val="auto"/>
        </w:rPr>
      </w:pPr>
      <w:r>
        <w:rPr>
          <w:rFonts w:ascii="Courier New" w:cs="Courier New" w:eastAsia="Courier New" w:hAnsi="Courier New"/>
          <w:sz w:val="18"/>
          <w:szCs w:val="18"/>
          <w:color w:val="auto"/>
        </w:rPr>
        <w:t>10.105</w:t>
        <w:tab/>
        <w:t>Form of Management bonus arrangements for Executive Officers of Micron Technology, Inc., and Micron Semiconductor, Inc., for 1993.(5)</w:t>
      </w:r>
    </w:p>
    <w:p>
      <w:pPr>
        <w:spacing w:after="0" w:line="6" w:lineRule="exact"/>
        <w:rPr>
          <w:sz w:val="20"/>
          <w:szCs w:val="20"/>
          <w:color w:val="auto"/>
        </w:rPr>
      </w:pPr>
    </w:p>
    <w:p>
      <w:pPr>
        <w:ind w:left="1160" w:right="2419" w:hanging="947"/>
        <w:spacing w:after="0" w:line="236" w:lineRule="auto"/>
        <w:tabs>
          <w:tab w:leader="none" w:pos="1140" w:val="left"/>
        </w:tabs>
        <w:rPr>
          <w:sz w:val="20"/>
          <w:szCs w:val="20"/>
          <w:color w:val="auto"/>
        </w:rPr>
      </w:pPr>
      <w:r>
        <w:rPr>
          <w:rFonts w:ascii="Courier New" w:cs="Courier New" w:eastAsia="Courier New" w:hAnsi="Courier New"/>
          <w:sz w:val="18"/>
          <w:szCs w:val="18"/>
          <w:color w:val="auto"/>
        </w:rPr>
        <w:t>10.109</w:t>
        <w:tab/>
        <w:t>Form of Management bonus arrangements for Executive Officers of Micron Technology, Inc., and Micron Semiconductor, Inc., for 1994.(6)</w:t>
      </w:r>
    </w:p>
    <w:p>
      <w:pPr>
        <w:spacing w:after="0" w:line="1" w:lineRule="exact"/>
        <w:rPr>
          <w:sz w:val="20"/>
          <w:szCs w:val="20"/>
          <w:color w:val="auto"/>
        </w:rPr>
      </w:pPr>
    </w:p>
    <w:p>
      <w:pPr>
        <w:ind w:left="220"/>
        <w:spacing w:after="0"/>
        <w:tabs>
          <w:tab w:leader="none" w:pos="1140" w:val="left"/>
        </w:tabs>
        <w:rPr>
          <w:sz w:val="20"/>
          <w:szCs w:val="20"/>
          <w:color w:val="auto"/>
        </w:rPr>
      </w:pPr>
      <w:r>
        <w:rPr>
          <w:rFonts w:ascii="Courier New" w:cs="Courier New" w:eastAsia="Courier New" w:hAnsi="Courier New"/>
          <w:sz w:val="18"/>
          <w:szCs w:val="18"/>
          <w:color w:val="auto"/>
        </w:rPr>
        <w:t>10.110</w:t>
      </w:r>
      <w:r>
        <w:rPr>
          <w:sz w:val="20"/>
          <w:szCs w:val="20"/>
          <w:color w:val="auto"/>
        </w:rPr>
        <w:tab/>
      </w:r>
      <w:r>
        <w:rPr>
          <w:rFonts w:ascii="Courier New" w:cs="Courier New" w:eastAsia="Courier New" w:hAnsi="Courier New"/>
          <w:sz w:val="16"/>
          <w:szCs w:val="16"/>
          <w:color w:val="auto"/>
        </w:rPr>
        <w:t>1994 Stock Option Plan</w:t>
      </w:r>
    </w:p>
    <w:p>
      <w:pPr>
        <w:ind w:left="220"/>
        <w:spacing w:after="0"/>
        <w:tabs>
          <w:tab w:leader="none" w:pos="1140" w:val="left"/>
        </w:tabs>
        <w:rPr>
          <w:sz w:val="20"/>
          <w:szCs w:val="20"/>
          <w:color w:val="auto"/>
        </w:rPr>
      </w:pPr>
      <w:r>
        <w:rPr>
          <w:rFonts w:ascii="Courier New" w:cs="Courier New" w:eastAsia="Courier New" w:hAnsi="Courier New"/>
          <w:sz w:val="18"/>
          <w:szCs w:val="18"/>
          <w:color w:val="auto"/>
        </w:rPr>
        <w:t>10.111</w:t>
      </w:r>
      <w:r>
        <w:rPr>
          <w:sz w:val="20"/>
          <w:szCs w:val="20"/>
          <w:color w:val="auto"/>
        </w:rPr>
        <w:tab/>
      </w:r>
      <w:r>
        <w:rPr>
          <w:rFonts w:ascii="Courier New" w:cs="Courier New" w:eastAsia="Courier New" w:hAnsi="Courier New"/>
          <w:sz w:val="16"/>
          <w:szCs w:val="16"/>
          <w:color w:val="auto"/>
        </w:rPr>
        <w:t>Executive Bonus Plan</w:t>
      </w:r>
    </w:p>
    <w:p>
      <w:pPr>
        <w:ind w:left="220"/>
        <w:spacing w:after="0"/>
        <w:tabs>
          <w:tab w:leader="none" w:pos="114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6"/>
          <w:szCs w:val="16"/>
          <w:color w:val="auto"/>
        </w:rPr>
        <w:t>Computation of Per Share Earnings.</w:t>
      </w:r>
    </w:p>
    <w:p>
      <w:pPr>
        <w:ind w:left="220"/>
        <w:spacing w:after="0"/>
        <w:tabs>
          <w:tab w:leader="none" w:pos="1140" w:val="left"/>
        </w:tabs>
        <w:rPr>
          <w:sz w:val="20"/>
          <w:szCs w:val="20"/>
          <w:color w:val="auto"/>
        </w:rPr>
      </w:pPr>
      <w:r>
        <w:rPr>
          <w:rFonts w:ascii="Courier New" w:cs="Courier New" w:eastAsia="Courier New" w:hAnsi="Courier New"/>
          <w:sz w:val="18"/>
          <w:szCs w:val="18"/>
          <w:color w:val="auto"/>
        </w:rPr>
        <w:t>21.1</w:t>
      </w:r>
      <w:r>
        <w:rPr>
          <w:sz w:val="20"/>
          <w:szCs w:val="20"/>
          <w:color w:val="auto"/>
        </w:rPr>
        <w:tab/>
      </w:r>
      <w:r>
        <w:rPr>
          <w:rFonts w:ascii="Courier New" w:cs="Courier New" w:eastAsia="Courier New" w:hAnsi="Courier New"/>
          <w:sz w:val="16"/>
          <w:szCs w:val="16"/>
          <w:color w:val="auto"/>
        </w:rPr>
        <w:t>Subsidiaries of the Registrant.</w:t>
      </w:r>
    </w:p>
    <w:p>
      <w:pPr>
        <w:ind w:left="220"/>
        <w:spacing w:after="0"/>
        <w:tabs>
          <w:tab w:leader="none" w:pos="11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Independent Accountants.</w:t>
      </w:r>
    </w:p>
    <w:p>
      <w:pPr>
        <w:ind w:left="220"/>
        <w:spacing w:after="0"/>
        <w:tabs>
          <w:tab w:leader="none" w:pos="1140" w:val="left"/>
        </w:tabs>
        <w:rPr>
          <w:sz w:val="20"/>
          <w:szCs w:val="20"/>
          <w:color w:val="auto"/>
        </w:rPr>
      </w:pPr>
      <w:r>
        <w:rPr>
          <w:rFonts w:ascii="Courier New" w:cs="Courier New" w:eastAsia="Courier New" w:hAnsi="Courier New"/>
          <w:sz w:val="18"/>
          <w:szCs w:val="18"/>
          <w:color w:val="auto"/>
        </w:rPr>
        <w:t>27.1</w:t>
      </w:r>
      <w:r>
        <w:rPr>
          <w:sz w:val="20"/>
          <w:szCs w:val="20"/>
          <w:color w:val="auto"/>
        </w:rPr>
        <w:tab/>
      </w:r>
      <w:r>
        <w:rPr>
          <w:rFonts w:ascii="Courier New" w:cs="Courier New" w:eastAsia="Courier New" w:hAnsi="Courier New"/>
          <w:sz w:val="16"/>
          <w:szCs w:val="16"/>
          <w:color w:val="auto"/>
        </w:rPr>
        <w:t>Financial Data Schedule</w:t>
      </w:r>
    </w:p>
    <w:p>
      <w:pPr>
        <w:ind w:left="220" w:hanging="212"/>
        <w:spacing w:after="0" w:line="237"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280" w:right="2319" w:hanging="1061"/>
        <w:spacing w:after="0" w:line="235" w:lineRule="auto"/>
        <w:tabs>
          <w:tab w:leader="none" w:pos="1175"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Proxy Statement for the 1986 Annual Meeting of Shareholders.</w:t>
      </w:r>
    </w:p>
    <w:p>
      <w:pPr>
        <w:spacing w:after="0" w:line="5" w:lineRule="exact"/>
        <w:rPr>
          <w:rFonts w:ascii="Courier New" w:cs="Courier New" w:eastAsia="Courier New" w:hAnsi="Courier New"/>
          <w:sz w:val="18"/>
          <w:szCs w:val="18"/>
          <w:color w:val="auto"/>
        </w:rPr>
      </w:pPr>
    </w:p>
    <w:p>
      <w:pPr>
        <w:ind w:left="1280" w:right="2419" w:hanging="1061"/>
        <w:spacing w:after="0" w:line="235" w:lineRule="auto"/>
        <w:tabs>
          <w:tab w:leader="none" w:pos="1175"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Annual Report on Form 10-K for the fiscal year ended August 31, 1989.</w:t>
      </w:r>
    </w:p>
    <w:p>
      <w:pPr>
        <w:spacing w:after="0" w:line="5" w:lineRule="exact"/>
        <w:rPr>
          <w:rFonts w:ascii="Courier New" w:cs="Courier New" w:eastAsia="Courier New" w:hAnsi="Courier New"/>
          <w:sz w:val="18"/>
          <w:szCs w:val="18"/>
          <w:color w:val="auto"/>
        </w:rPr>
      </w:pPr>
    </w:p>
    <w:p>
      <w:pPr>
        <w:ind w:left="1280" w:right="2419" w:hanging="1061"/>
        <w:spacing w:after="0" w:line="235" w:lineRule="auto"/>
        <w:tabs>
          <w:tab w:leader="none" w:pos="1175"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Annual Report on Form 10-K for the fiscal year ended August 30, 1990.</w:t>
      </w:r>
    </w:p>
    <w:p>
      <w:pPr>
        <w:spacing w:after="0" w:line="5" w:lineRule="exact"/>
        <w:rPr>
          <w:rFonts w:ascii="Courier New" w:cs="Courier New" w:eastAsia="Courier New" w:hAnsi="Courier New"/>
          <w:sz w:val="18"/>
          <w:szCs w:val="18"/>
          <w:color w:val="auto"/>
        </w:rPr>
      </w:pPr>
    </w:p>
    <w:p>
      <w:pPr>
        <w:ind w:left="1280" w:right="2199" w:hanging="1061"/>
        <w:spacing w:after="0" w:line="235" w:lineRule="auto"/>
        <w:tabs>
          <w:tab w:leader="none" w:pos="1175"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Registration Statements on Forms S-8 (Reg. Nos. 33-38665, 33-38926, and 33-52653).</w:t>
      </w:r>
    </w:p>
    <w:p>
      <w:pPr>
        <w:spacing w:after="0" w:line="5" w:lineRule="exact"/>
        <w:rPr>
          <w:rFonts w:ascii="Courier New" w:cs="Courier New" w:eastAsia="Courier New" w:hAnsi="Courier New"/>
          <w:sz w:val="18"/>
          <w:szCs w:val="18"/>
          <w:color w:val="auto"/>
        </w:rPr>
      </w:pPr>
    </w:p>
    <w:p>
      <w:pPr>
        <w:ind w:left="1280" w:right="2419" w:hanging="1061"/>
        <w:spacing w:after="0" w:line="235" w:lineRule="auto"/>
        <w:tabs>
          <w:tab w:leader="none" w:pos="1175"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Annual Report on Form 10-K for the fiscal year ended September 3, 1992.</w:t>
      </w:r>
    </w:p>
    <w:p>
      <w:pPr>
        <w:spacing w:after="0" w:line="5" w:lineRule="exact"/>
        <w:rPr>
          <w:rFonts w:ascii="Courier New" w:cs="Courier New" w:eastAsia="Courier New" w:hAnsi="Courier New"/>
          <w:sz w:val="18"/>
          <w:szCs w:val="18"/>
          <w:color w:val="auto"/>
        </w:rPr>
      </w:pPr>
    </w:p>
    <w:p>
      <w:pPr>
        <w:ind w:left="1280" w:right="2419" w:hanging="1061"/>
        <w:spacing w:after="0" w:line="235" w:lineRule="auto"/>
        <w:tabs>
          <w:tab w:leader="none" w:pos="1175"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Annual Report on Form 10-K for the fiscal year ended September 2, 1993.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numbers from Registration Statement on Form S-1 (Reg. No. 2-93343)</w:t>
      </w:r>
    </w:p>
    <w:p>
      <w:pPr>
        <w:spacing w:after="0" w:line="238" w:lineRule="auto"/>
        <w:rPr>
          <w:sz w:val="20"/>
          <w:szCs w:val="20"/>
          <w:color w:val="auto"/>
        </w:rPr>
      </w:pPr>
      <w:r>
        <w:rPr>
          <w:rFonts w:ascii="Courier New" w:cs="Courier New" w:eastAsia="Courier New" w:hAnsi="Courier New"/>
          <w:sz w:val="18"/>
          <w:szCs w:val="18"/>
          <w:color w:val="auto"/>
        </w:rPr>
        <w:t>retained, where applicable.</w:t>
      </w:r>
    </w:p>
    <w:p>
      <w:pPr>
        <w:spacing w:after="0" w:line="202"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7" w:lineRule="exact"/>
        <w:rPr>
          <w:sz w:val="20"/>
          <w:szCs w:val="20"/>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The registrant did not file any Reports on Form 8-K during the quarter ended August 31, 1995.</w:t>
      </w:r>
    </w:p>
    <w:p>
      <w:pPr>
        <w:sectPr>
          <w:pgSz w:w="11900" w:h="16838" w:orient="portrait"/>
          <w:cols w:equalWidth="0" w:num="1">
            <w:col w:w="10219"/>
          </w:cols>
          <w:pgMar w:left="240" w:top="717" w:right="1440" w:bottom="1440" w:gutter="0" w:footer="0" w:header="0"/>
        </w:sectPr>
      </w:pPr>
    </w:p>
    <w:bookmarkStart w:id="51" w:name="page52"/>
    <w:bookmarkEnd w:id="51"/>
    <w:p>
      <w:pPr>
        <w:jc w:val="center"/>
        <w:ind w:right="283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039" w:firstLine="527"/>
        <w:spacing w:after="0" w:line="237" w:lineRule="auto"/>
        <w:rPr>
          <w:sz w:val="20"/>
          <w:szCs w:val="20"/>
          <w:color w:val="auto"/>
        </w:rPr>
      </w:pPr>
      <w:r>
        <w:rPr>
          <w:rFonts w:ascii="Courier New" w:cs="Courier New" w:eastAsia="Courier New" w:hAnsi="Courier New"/>
          <w:sz w:val="18"/>
          <w:szCs w:val="18"/>
          <w:color w:val="auto"/>
        </w:rPr>
        <w:t>Pursuant to the requirements of Section 13 or 15(d) of the Securities Exchange Act of 1934, the Registrant has duly caused this report to be signed on its behalf by the undersigned, thereunto duly authorized, in the City of Boise, State of Idaho, on the 10th day of October, 1995.</w:t>
      </w:r>
    </w:p>
    <w:p>
      <w:pPr>
        <w:ind w:left="2640"/>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4" w:lineRule="exact"/>
        <w:rPr>
          <w:sz w:val="20"/>
          <w:szCs w:val="20"/>
          <w:color w:val="auto"/>
        </w:rPr>
      </w:pPr>
    </w:p>
    <w:p>
      <w:pPr>
        <w:ind w:left="2120"/>
        <w:spacing w:after="0"/>
        <w:tabs>
          <w:tab w:leader="none" w:pos="2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Wilbur G. Stover, Jr.</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Wilbur G. Stover, Jr., Vice President,</w:t>
      </w:r>
    </w:p>
    <w:p>
      <w:pPr>
        <w:ind w:left="2640"/>
        <w:spacing w:after="0" w:line="237" w:lineRule="auto"/>
        <w:rPr>
          <w:sz w:val="20"/>
          <w:szCs w:val="20"/>
          <w:color w:val="auto"/>
        </w:rPr>
      </w:pPr>
      <w:r>
        <w:rPr>
          <w:rFonts w:ascii="Courier New" w:cs="Courier New" w:eastAsia="Courier New" w:hAnsi="Courier New"/>
          <w:sz w:val="18"/>
          <w:szCs w:val="18"/>
          <w:color w:val="auto"/>
        </w:rPr>
        <w:t>Finance, Chief Financial Officer and</w:t>
      </w:r>
    </w:p>
    <w:p>
      <w:pPr>
        <w:ind w:left="2640"/>
        <w:spacing w:after="0" w:line="238" w:lineRule="auto"/>
        <w:rPr>
          <w:sz w:val="20"/>
          <w:szCs w:val="20"/>
          <w:color w:val="auto"/>
        </w:rPr>
      </w:pPr>
      <w:r>
        <w:rPr>
          <w:rFonts w:ascii="Courier New" w:cs="Courier New" w:eastAsia="Courier New" w:hAnsi="Courier New"/>
          <w:sz w:val="18"/>
          <w:szCs w:val="18"/>
          <w:color w:val="auto"/>
        </w:rPr>
        <w:t>Corporate Secretary</w:t>
      </w:r>
    </w:p>
    <w:p>
      <w:pPr>
        <w:ind w:left="2640"/>
        <w:spacing w:after="0"/>
        <w:rPr>
          <w:sz w:val="20"/>
          <w:szCs w:val="20"/>
          <w:color w:val="auto"/>
        </w:rPr>
      </w:pPr>
      <w:r>
        <w:rPr>
          <w:rFonts w:ascii="Courier New" w:cs="Courier New" w:eastAsia="Courier New" w:hAnsi="Courier New"/>
          <w:sz w:val="18"/>
          <w:szCs w:val="18"/>
          <w:color w:val="auto"/>
        </w:rPr>
        <w:t>(Principal Financial and Accounting Officer)</w:t>
      </w:r>
    </w:p>
    <w:p>
      <w:pPr>
        <w:spacing w:after="0" w:line="206"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Exchange Act of 1934, this Annual Report has been signed below by the following persons on behalf of the Registrant and in the capacities and on the dates indicated.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780" w:type="dxa"/>
            <w:vAlign w:val="bottom"/>
          </w:tcPr>
          <w:p>
            <w:pPr>
              <w:spacing w:after="0"/>
              <w:rPr>
                <w:sz w:val="20"/>
                <w:szCs w:val="20"/>
                <w:color w:val="auto"/>
              </w:rPr>
            </w:pPr>
            <w:r>
              <w:rPr>
                <w:rFonts w:ascii="Courier New" w:cs="Courier New" w:eastAsia="Courier New" w:hAnsi="Courier New"/>
                <w:sz w:val="18"/>
                <w:szCs w:val="18"/>
                <w:color w:val="auto"/>
              </w:rPr>
              <w:t>Title</w:t>
            </w:r>
          </w:p>
        </w:tc>
        <w:tc>
          <w:tcPr>
            <w:tcW w:w="1800" w:type="dxa"/>
            <w:vAlign w:val="bottom"/>
          </w:tcPr>
          <w:p>
            <w:pPr>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/s/ Steven R. Appleton</w:t>
            </w:r>
          </w:p>
        </w:tc>
        <w:tc>
          <w:tcPr>
            <w:tcW w:w="3780" w:type="dxa"/>
            <w:vAlign w:val="bottom"/>
          </w:tcPr>
          <w:p>
            <w:pPr>
              <w:spacing w:after="0"/>
              <w:rPr>
                <w:sz w:val="20"/>
                <w:szCs w:val="20"/>
                <w:color w:val="auto"/>
              </w:rPr>
            </w:pPr>
            <w:r>
              <w:rPr>
                <w:rFonts w:ascii="Courier New" w:cs="Courier New" w:eastAsia="Courier New" w:hAnsi="Courier New"/>
                <w:sz w:val="18"/>
                <w:szCs w:val="18"/>
                <w:color w:val="auto"/>
              </w:rPr>
              <w:t>Chairman of the Board, Chief</w:t>
            </w:r>
          </w:p>
        </w:tc>
        <w:tc>
          <w:tcPr>
            <w:tcW w:w="1800" w:type="dxa"/>
            <w:vAlign w:val="bottom"/>
          </w:tcPr>
          <w:p>
            <w:pPr>
              <w:spacing w:after="0"/>
              <w:rPr>
                <w:sz w:val="20"/>
                <w:szCs w:val="20"/>
                <w:color w:val="auto"/>
              </w:rPr>
            </w:pPr>
            <w:r>
              <w:rPr>
                <w:rFonts w:ascii="Courier New" w:cs="Courier New" w:eastAsia="Courier New" w:hAnsi="Courier New"/>
                <w:sz w:val="18"/>
                <w:szCs w:val="18"/>
                <w:color w:val="auto"/>
              </w:rPr>
              <w:t>October 10, 1995</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Executive Officer and President</w:t>
            </w:r>
          </w:p>
        </w:tc>
        <w:tc>
          <w:tcPr>
            <w:tcW w:w="180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(Steven R. Appleton)</w:t>
            </w:r>
          </w:p>
        </w:tc>
        <w:tc>
          <w:tcPr>
            <w:tcW w:w="3780" w:type="dxa"/>
            <w:vAlign w:val="bottom"/>
          </w:tcPr>
          <w:p>
            <w:pPr>
              <w:spacing w:after="0" w:line="203" w:lineRule="exact"/>
              <w:rPr>
                <w:sz w:val="20"/>
                <w:szCs w:val="20"/>
                <w:color w:val="auto"/>
              </w:rPr>
            </w:pPr>
            <w:r>
              <w:rPr>
                <w:rFonts w:ascii="Courier New" w:cs="Courier New" w:eastAsia="Courier New" w:hAnsi="Courier New"/>
                <w:sz w:val="18"/>
                <w:szCs w:val="18"/>
                <w:color w:val="auto"/>
              </w:rPr>
              <w:t>(Principal Executive Officer)</w:t>
            </w:r>
          </w:p>
        </w:tc>
        <w:tc>
          <w:tcPr>
            <w:tcW w:w="1800" w:type="dxa"/>
            <w:vAlign w:val="bottom"/>
          </w:tcPr>
          <w:p>
            <w:pPr>
              <w:spacing w:after="0"/>
              <w:rPr>
                <w:sz w:val="17"/>
                <w:szCs w:val="17"/>
                <w:color w:val="auto"/>
              </w:rPr>
            </w:pPr>
          </w:p>
        </w:tc>
      </w:tr>
      <w:tr>
        <w:trPr>
          <w:trHeight w:val="608"/>
        </w:trPr>
        <w:tc>
          <w:tcPr>
            <w:tcW w:w="2860" w:type="dxa"/>
            <w:vAlign w:val="bottom"/>
          </w:tcPr>
          <w:p>
            <w:pPr>
              <w:spacing w:after="0"/>
              <w:rPr>
                <w:sz w:val="20"/>
                <w:szCs w:val="20"/>
                <w:color w:val="auto"/>
              </w:rPr>
            </w:pPr>
            <w:r>
              <w:rPr>
                <w:rFonts w:ascii="Courier New" w:cs="Courier New" w:eastAsia="Courier New" w:hAnsi="Courier New"/>
                <w:sz w:val="18"/>
                <w:szCs w:val="18"/>
                <w:color w:val="auto"/>
              </w:rPr>
              <w:t>/s/ Tyler A. Lowrey</w:t>
            </w:r>
          </w:p>
        </w:tc>
        <w:tc>
          <w:tcPr>
            <w:tcW w:w="3780" w:type="dxa"/>
            <w:vAlign w:val="bottom"/>
          </w:tcPr>
          <w:p>
            <w:pPr>
              <w:spacing w:after="0"/>
              <w:rPr>
                <w:sz w:val="20"/>
                <w:szCs w:val="20"/>
                <w:color w:val="auto"/>
              </w:rPr>
            </w:pPr>
            <w:r>
              <w:rPr>
                <w:rFonts w:ascii="Courier New" w:cs="Courier New" w:eastAsia="Courier New" w:hAnsi="Courier New"/>
                <w:sz w:val="18"/>
                <w:szCs w:val="18"/>
                <w:color w:val="auto"/>
              </w:rPr>
              <w:t>Director, Vice Chairman and Chief</w:t>
            </w:r>
          </w:p>
        </w:tc>
        <w:tc>
          <w:tcPr>
            <w:tcW w:w="1800" w:type="dxa"/>
            <w:vAlign w:val="bottom"/>
          </w:tcPr>
          <w:p>
            <w:pPr>
              <w:spacing w:after="0"/>
              <w:rPr>
                <w:sz w:val="20"/>
                <w:szCs w:val="20"/>
                <w:color w:val="auto"/>
              </w:rPr>
            </w:pPr>
            <w:r>
              <w:rPr>
                <w:rFonts w:ascii="Courier New" w:cs="Courier New" w:eastAsia="Courier New" w:hAnsi="Courier New"/>
                <w:sz w:val="18"/>
                <w:szCs w:val="18"/>
                <w:color w:val="auto"/>
              </w:rPr>
              <w:t>October 10, 1995</w:t>
            </w:r>
          </w:p>
        </w:tc>
      </w:tr>
    </w:tbl>
    <w:p>
      <w:pPr>
        <w:spacing w:after="0" w:line="4" w:lineRule="exact"/>
        <w:rPr>
          <w:sz w:val="20"/>
          <w:szCs w:val="20"/>
          <w:color w:val="auto"/>
        </w:rPr>
      </w:pPr>
    </w:p>
    <w:p>
      <w:pPr>
        <w:ind w:right="5359" w:firstLine="8"/>
        <w:spacing w:after="0" w:line="235" w:lineRule="auto"/>
        <w:tabs>
          <w:tab w:leader="none" w:pos="21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Technical Officer (Tyler A. Lowrey)</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2480" w:type="dxa"/>
            <w:vAlign w:val="bottom"/>
          </w:tcPr>
          <w:p>
            <w:pPr>
              <w:ind w:left="40"/>
              <w:spacing w:after="0"/>
              <w:rPr>
                <w:sz w:val="20"/>
                <w:szCs w:val="20"/>
                <w:color w:val="auto"/>
              </w:rPr>
            </w:pPr>
            <w:r>
              <w:rPr>
                <w:rFonts w:ascii="Courier New" w:cs="Courier New" w:eastAsia="Courier New" w:hAnsi="Courier New"/>
                <w:sz w:val="18"/>
                <w:szCs w:val="18"/>
                <w:color w:val="auto"/>
              </w:rPr>
              <w:t>Wilbur G. Stover, Jr.</w:t>
            </w:r>
          </w:p>
        </w:tc>
        <w:tc>
          <w:tcPr>
            <w:tcW w:w="2680" w:type="dxa"/>
            <w:vAlign w:val="bottom"/>
          </w:tcPr>
          <w:p>
            <w:pPr>
              <w:spacing w:after="0"/>
              <w:rPr>
                <w:sz w:val="20"/>
                <w:szCs w:val="20"/>
                <w:color w:val="auto"/>
              </w:rPr>
            </w:pPr>
            <w:r>
              <w:rPr>
                <w:rFonts w:ascii="Courier New" w:cs="Courier New" w:eastAsia="Courier New" w:hAnsi="Courier New"/>
                <w:sz w:val="18"/>
                <w:szCs w:val="18"/>
                <w:color w:val="auto"/>
                <w:w w:val="98"/>
              </w:rPr>
              <w:t>Director; Vice President,</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w w:val="96"/>
              </w:rPr>
              <w:t>Finance,  October 10, 1995</w:t>
            </w: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2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Chief Financial Officer</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(Wilbur G. Stover, Jr.)</w:t>
            </w:r>
          </w:p>
        </w:tc>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Corporate Secretary (Principal</w:t>
            </w:r>
          </w:p>
        </w:tc>
      </w:tr>
      <w:tr>
        <w:trPr>
          <w:trHeight w:val="203"/>
        </w:trPr>
        <w:tc>
          <w:tcPr>
            <w:tcW w:w="3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Financial and Accounting Officer)</w:t>
            </w:r>
          </w:p>
        </w:tc>
      </w:tr>
      <w:tr>
        <w:trPr>
          <w:trHeight w:val="608"/>
        </w:trPr>
        <w:tc>
          <w:tcPr>
            <w:tcW w:w="38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2480" w:type="dxa"/>
            <w:vAlign w:val="bottom"/>
          </w:tcPr>
          <w:p>
            <w:pPr>
              <w:ind w:left="40"/>
              <w:spacing w:after="0"/>
              <w:rPr>
                <w:sz w:val="20"/>
                <w:szCs w:val="20"/>
                <w:color w:val="auto"/>
              </w:rPr>
            </w:pPr>
            <w:r>
              <w:rPr>
                <w:rFonts w:ascii="Courier New" w:cs="Courier New" w:eastAsia="Courier New" w:hAnsi="Courier New"/>
                <w:sz w:val="18"/>
                <w:szCs w:val="18"/>
                <w:color w:val="auto"/>
              </w:rPr>
              <w:t>Jerry M. Hess</w:t>
            </w:r>
          </w:p>
        </w:tc>
        <w:tc>
          <w:tcPr>
            <w:tcW w:w="268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2800" w:type="dxa"/>
            <w:vAlign w:val="bottom"/>
          </w:tcPr>
          <w:p>
            <w:pPr>
              <w:ind w:left="1100"/>
              <w:spacing w:after="0"/>
              <w:rPr>
                <w:sz w:val="20"/>
                <w:szCs w:val="20"/>
                <w:color w:val="auto"/>
              </w:rPr>
            </w:pPr>
            <w:r>
              <w:rPr>
                <w:rFonts w:ascii="Courier New" w:cs="Courier New" w:eastAsia="Courier New" w:hAnsi="Courier New"/>
                <w:sz w:val="18"/>
                <w:szCs w:val="18"/>
                <w:color w:val="auto"/>
                <w:w w:val="97"/>
              </w:rPr>
              <w:t>October 10, 1995</w:t>
            </w:r>
          </w:p>
        </w:tc>
      </w:tr>
    </w:tbl>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(Jerry M. Hess)</w:t>
      </w:r>
    </w:p>
    <w:p>
      <w:pPr>
        <w:spacing w:after="0" w:line="200" w:lineRule="exact"/>
        <w:rPr>
          <w:sz w:val="20"/>
          <w:szCs w:val="20"/>
          <w:color w:val="auto"/>
        </w:rPr>
      </w:pPr>
    </w:p>
    <w:p>
      <w:pPr>
        <w:spacing w:after="0" w:line="204" w:lineRule="exact"/>
        <w:rPr>
          <w:sz w:val="20"/>
          <w:szCs w:val="20"/>
          <w:color w:val="auto"/>
        </w:rPr>
      </w:pPr>
    </w:p>
    <w:p>
      <w:pPr>
        <w:spacing w:after="0"/>
        <w:tabs>
          <w:tab w:leader="none" w:pos="2840" w:val="left"/>
          <w:tab w:leader="none" w:pos="6620" w:val="left"/>
        </w:tabs>
        <w:rPr>
          <w:sz w:val="20"/>
          <w:szCs w:val="20"/>
          <w:color w:val="auto"/>
        </w:rPr>
      </w:pPr>
      <w:r>
        <w:rPr>
          <w:rFonts w:ascii="Courier New" w:cs="Courier New" w:eastAsia="Courier New" w:hAnsi="Courier New"/>
          <w:sz w:val="18"/>
          <w:szCs w:val="18"/>
          <w:color w:val="auto"/>
        </w:rPr>
        <w:t>/s/ Robert A. Lothrop</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October 10, 1995</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A. Lothrop)</w:t>
      </w:r>
    </w:p>
    <w:p>
      <w:pPr>
        <w:spacing w:after="0" w:line="200" w:lineRule="exact"/>
        <w:rPr>
          <w:sz w:val="20"/>
          <w:szCs w:val="20"/>
          <w:color w:val="auto"/>
        </w:rPr>
      </w:pPr>
    </w:p>
    <w:p>
      <w:pPr>
        <w:spacing w:after="0" w:line="204" w:lineRule="exact"/>
        <w:rPr>
          <w:sz w:val="20"/>
          <w:szCs w:val="20"/>
          <w:color w:val="auto"/>
        </w:rPr>
      </w:pPr>
    </w:p>
    <w:p>
      <w:pPr>
        <w:spacing w:after="0"/>
        <w:tabs>
          <w:tab w:leader="none" w:pos="2840" w:val="left"/>
          <w:tab w:leader="none" w:pos="6620" w:val="left"/>
        </w:tabs>
        <w:rPr>
          <w:sz w:val="20"/>
          <w:szCs w:val="20"/>
          <w:color w:val="auto"/>
        </w:rPr>
      </w:pPr>
      <w:r>
        <w:rPr>
          <w:rFonts w:ascii="Courier New" w:cs="Courier New" w:eastAsia="Courier New" w:hAnsi="Courier New"/>
          <w:sz w:val="18"/>
          <w:szCs w:val="18"/>
          <w:color w:val="auto"/>
        </w:rPr>
        <w:t>/s/ Thomas T. Nicholson</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October 10, 1995</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(Thomas T. Nicholson)</w:t>
      </w:r>
    </w:p>
    <w:p>
      <w:pPr>
        <w:spacing w:after="0" w:line="200" w:lineRule="exact"/>
        <w:rPr>
          <w:sz w:val="20"/>
          <w:szCs w:val="20"/>
          <w:color w:val="auto"/>
        </w:rPr>
      </w:pPr>
    </w:p>
    <w:p>
      <w:pPr>
        <w:spacing w:after="0" w:line="204" w:lineRule="exact"/>
        <w:rPr>
          <w:sz w:val="20"/>
          <w:szCs w:val="20"/>
          <w:color w:val="auto"/>
        </w:rPr>
      </w:pPr>
    </w:p>
    <w:p>
      <w:pPr>
        <w:spacing w:after="0"/>
        <w:tabs>
          <w:tab w:leader="none" w:pos="2840" w:val="left"/>
          <w:tab w:leader="none" w:pos="6620" w:val="left"/>
        </w:tabs>
        <w:rPr>
          <w:sz w:val="20"/>
          <w:szCs w:val="20"/>
          <w:color w:val="auto"/>
        </w:rPr>
      </w:pPr>
      <w:r>
        <w:rPr>
          <w:rFonts w:ascii="Courier New" w:cs="Courier New" w:eastAsia="Courier New" w:hAnsi="Courier New"/>
          <w:sz w:val="18"/>
          <w:szCs w:val="18"/>
          <w:color w:val="auto"/>
        </w:rPr>
        <w:t>/s/ Allen T. Noble</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October 10, 1995</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(Allen T. Noble)</w:t>
      </w:r>
    </w:p>
    <w:p>
      <w:pPr>
        <w:spacing w:after="0" w:line="200" w:lineRule="exact"/>
        <w:rPr>
          <w:sz w:val="20"/>
          <w:szCs w:val="20"/>
          <w:color w:val="auto"/>
        </w:rPr>
      </w:pPr>
    </w:p>
    <w:p>
      <w:pPr>
        <w:spacing w:after="0" w:line="204" w:lineRule="exact"/>
        <w:rPr>
          <w:sz w:val="20"/>
          <w:szCs w:val="20"/>
          <w:color w:val="auto"/>
        </w:rPr>
      </w:pPr>
    </w:p>
    <w:p>
      <w:pPr>
        <w:jc w:val="both"/>
        <w:ind w:left="2860"/>
        <w:spacing w:after="0"/>
        <w:tabs>
          <w:tab w:leader="none" w:pos="6620" w:val="left"/>
        </w:tabs>
        <w:rPr>
          <w:sz w:val="20"/>
          <w:szCs w:val="20"/>
          <w:color w:val="auto"/>
        </w:rPr>
      </w:pP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8"/>
          <w:szCs w:val="18"/>
          <w:color w:val="auto"/>
        </w:rPr>
        <w:t>October 10, 1995</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(Don J. Simplot)</w:t>
      </w:r>
    </w:p>
    <w:p>
      <w:pPr>
        <w:spacing w:after="0" w:line="200" w:lineRule="exact"/>
        <w:rPr>
          <w:sz w:val="20"/>
          <w:szCs w:val="20"/>
          <w:color w:val="auto"/>
        </w:rPr>
      </w:pPr>
    </w:p>
    <w:p>
      <w:pPr>
        <w:spacing w:after="0" w:line="204" w:lineRule="exact"/>
        <w:rPr>
          <w:sz w:val="20"/>
          <w:szCs w:val="20"/>
          <w:color w:val="auto"/>
        </w:rPr>
      </w:pPr>
    </w:p>
    <w:p>
      <w:pPr>
        <w:spacing w:after="0"/>
        <w:tabs>
          <w:tab w:leader="none" w:pos="2840" w:val="left"/>
          <w:tab w:leader="none" w:pos="6620" w:val="left"/>
        </w:tabs>
        <w:rPr>
          <w:sz w:val="20"/>
          <w:szCs w:val="20"/>
          <w:color w:val="auto"/>
        </w:rPr>
      </w:pPr>
      <w:r>
        <w:rPr>
          <w:rFonts w:ascii="Courier New" w:cs="Courier New" w:eastAsia="Courier New" w:hAnsi="Courier New"/>
          <w:sz w:val="18"/>
          <w:szCs w:val="18"/>
          <w:color w:val="auto"/>
        </w:rPr>
        <w:t>/s/ John R. Simplot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October 10, 1995</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R. Simplot)</w:t>
      </w:r>
    </w:p>
    <w:p>
      <w:pPr>
        <w:spacing w:after="0" w:line="200" w:lineRule="exact"/>
        <w:rPr>
          <w:sz w:val="20"/>
          <w:szCs w:val="20"/>
          <w:color w:val="auto"/>
        </w:rPr>
      </w:pPr>
    </w:p>
    <w:p>
      <w:pPr>
        <w:spacing w:after="0" w:line="204" w:lineRule="exact"/>
        <w:rPr>
          <w:sz w:val="20"/>
          <w:szCs w:val="20"/>
          <w:color w:val="auto"/>
        </w:rPr>
      </w:pPr>
    </w:p>
    <w:p>
      <w:pPr>
        <w:jc w:val="both"/>
        <w:ind w:left="2860"/>
        <w:spacing w:after="0"/>
        <w:tabs>
          <w:tab w:leader="none" w:pos="6620" w:val="left"/>
        </w:tabs>
        <w:rPr>
          <w:sz w:val="20"/>
          <w:szCs w:val="20"/>
          <w:color w:val="auto"/>
        </w:rPr>
      </w:pP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8"/>
          <w:szCs w:val="18"/>
          <w:color w:val="auto"/>
        </w:rPr>
        <w:t>October 10, 1995</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(Gordon C. Smith)</w:t>
      </w:r>
    </w:p>
    <w:p>
      <w:pPr>
        <w:sectPr>
          <w:pgSz w:w="11900" w:h="16838" w:orient="portrait"/>
          <w:cols w:equalWidth="0" w:num="1">
            <w:col w:w="10219"/>
          </w:cols>
          <w:pgMar w:left="240" w:top="717" w:right="1440" w:bottom="565" w:gutter="0" w:footer="0" w:header="0"/>
        </w:sectPr>
      </w:pPr>
    </w:p>
    <w:bookmarkStart w:id="52" w:name="page53"/>
    <w:bookmarkEnd w:id="52"/>
    <w:p>
      <w:pPr>
        <w:ind w:left="2640"/>
        <w:spacing w:after="0"/>
        <w:rPr>
          <w:sz w:val="20"/>
          <w:szCs w:val="20"/>
          <w:color w:val="auto"/>
        </w:rPr>
      </w:pPr>
      <w:r>
        <w:rPr>
          <w:rFonts w:ascii="Courier New" w:cs="Courier New" w:eastAsia="Courier New" w:hAnsi="Courier New"/>
          <w:sz w:val="18"/>
          <w:szCs w:val="18"/>
          <w:color w:val="auto"/>
        </w:rPr>
        <w:t>EXHIBIT 3.1</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CERTIFICATE OF INCORPORATION</w:t>
      </w:r>
    </w:p>
    <w:p>
      <w:pPr>
        <w:ind w:left="3060"/>
        <w:spacing w:after="0" w:line="238" w:lineRule="auto"/>
        <w:rPr>
          <w:sz w:val="20"/>
          <w:szCs w:val="20"/>
          <w:color w:val="auto"/>
        </w:rPr>
      </w:pPr>
      <w:r>
        <w:rPr>
          <w:rFonts w:ascii="Courier New" w:cs="Courier New" w:eastAsia="Courier New" w:hAnsi="Courier New"/>
          <w:sz w:val="18"/>
          <w:szCs w:val="18"/>
          <w:color w:val="auto"/>
        </w:rPr>
        <w:t>OF</w:t>
      </w:r>
    </w:p>
    <w:p>
      <w:pPr>
        <w:ind w:left="2000"/>
        <w:spacing w:after="0"/>
        <w:rPr>
          <w:sz w:val="20"/>
          <w:szCs w:val="20"/>
          <w:color w:val="auto"/>
        </w:rPr>
      </w:pPr>
      <w:r>
        <w:rPr>
          <w:rFonts w:ascii="Courier New" w:cs="Courier New" w:eastAsia="Courier New" w:hAnsi="Courier New"/>
          <w:sz w:val="18"/>
          <w:szCs w:val="18"/>
          <w:color w:val="auto"/>
        </w:rPr>
        <w:t>MICRON TECHNOLOGY, INC.</w:t>
      </w:r>
    </w:p>
    <w:p>
      <w:pPr>
        <w:ind w:left="2640"/>
        <w:spacing w:after="0" w:line="237" w:lineRule="auto"/>
        <w:rPr>
          <w:sz w:val="20"/>
          <w:szCs w:val="20"/>
          <w:color w:val="auto"/>
        </w:rPr>
      </w:pPr>
      <w:r>
        <w:rPr>
          <w:rFonts w:ascii="Courier New" w:cs="Courier New" w:eastAsia="Courier New" w:hAnsi="Courier New"/>
          <w:sz w:val="18"/>
          <w:szCs w:val="18"/>
          <w:color w:val="auto"/>
        </w:rPr>
        <w:t>* * * * *</w:t>
      </w:r>
    </w:p>
    <w:p>
      <w:pPr>
        <w:spacing w:after="0" w:line="202"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the corporation is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MICRON TECHNOLOGY, INC.</w:t>
      </w:r>
    </w:p>
    <w:p>
      <w:pPr>
        <w:spacing w:after="0" w:line="207" w:lineRule="exact"/>
        <w:rPr>
          <w:rFonts w:ascii="Courier New" w:cs="Courier New" w:eastAsia="Courier New" w:hAnsi="Courier New"/>
          <w:sz w:val="18"/>
          <w:szCs w:val="18"/>
          <w:color w:val="auto"/>
        </w:rPr>
      </w:pPr>
    </w:p>
    <w:p>
      <w:pPr>
        <w:ind w:right="4199" w:firstLine="8"/>
        <w:spacing w:after="0" w:line="237" w:lineRule="auto"/>
        <w:tabs>
          <w:tab w:leader="none" w:pos="5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address of its registered office in the State of Delaware is No. 100 West Tenth Street, in the City of Wilmington, County of New Castle. The name of its registered agent at such address is The Corporation Trust Company.</w:t>
      </w:r>
    </w:p>
    <w:p>
      <w:pPr>
        <w:spacing w:after="0" w:line="208" w:lineRule="exact"/>
        <w:rPr>
          <w:rFonts w:ascii="Courier New" w:cs="Courier New" w:eastAsia="Courier New" w:hAnsi="Courier New"/>
          <w:sz w:val="18"/>
          <w:szCs w:val="18"/>
          <w:color w:val="auto"/>
        </w:rPr>
      </w:pPr>
    </w:p>
    <w:p>
      <w:pPr>
        <w:ind w:right="3999" w:firstLine="8"/>
        <w:spacing w:after="0" w:line="237" w:lineRule="auto"/>
        <w:tabs>
          <w:tab w:leader="none" w:pos="5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nature of the business or purposes to be conducted or promoted is to engage in any lawful act or activity for which corporations may be organized under the General Corporation Law of Delaware.</w:t>
      </w:r>
    </w:p>
    <w:p>
      <w:pPr>
        <w:spacing w:after="0" w:line="207" w:lineRule="exact"/>
        <w:rPr>
          <w:rFonts w:ascii="Courier New" w:cs="Courier New" w:eastAsia="Courier New" w:hAnsi="Courier New"/>
          <w:sz w:val="18"/>
          <w:szCs w:val="18"/>
          <w:color w:val="auto"/>
        </w:rPr>
      </w:pPr>
    </w:p>
    <w:p>
      <w:pPr>
        <w:ind w:right="3899" w:firstLine="8"/>
        <w:spacing w:after="0" w:line="237" w:lineRule="auto"/>
        <w:tabs>
          <w:tab w:leader="none" w:pos="5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number of shares of stock which the corporation shall have authority to issue is fifty million (50,000,000) and the par value of each of such shares is Ten Cents ($0.10) amounting in the aggregate to Five Million Dollars ($5,000,000.00).</w:t>
      </w:r>
    </w:p>
    <w:p>
      <w:pPr>
        <w:spacing w:after="0" w:line="209" w:lineRule="exact"/>
        <w:rPr>
          <w:sz w:val="20"/>
          <w:szCs w:val="20"/>
          <w:color w:val="auto"/>
        </w:rPr>
      </w:pPr>
    </w:p>
    <w:p>
      <w:pPr>
        <w:ind w:right="3899" w:firstLine="527"/>
        <w:spacing w:after="0" w:line="271" w:lineRule="auto"/>
        <w:rPr>
          <w:sz w:val="20"/>
          <w:szCs w:val="20"/>
          <w:color w:val="auto"/>
        </w:rPr>
      </w:pPr>
      <w:r>
        <w:rPr>
          <w:rFonts w:ascii="Courier New" w:cs="Courier New" w:eastAsia="Courier New" w:hAnsi="Courier New"/>
          <w:sz w:val="16"/>
          <w:szCs w:val="16"/>
          <w:color w:val="auto"/>
        </w:rPr>
        <w:t>At all elections of directors of the corporation, each stockholder shall be entitled to as many votes as shall equal the number of votes which (except for such provision as to cumulative voting) he would be entitled to cast for the election of directors with respect to his shares of stock multiplied by the number of directors to be elected by him, and he may cast all of such votes for a single director</w:t>
      </w:r>
    </w:p>
    <w:p>
      <w:pPr>
        <w:spacing w:after="0" w:line="200" w:lineRule="exact"/>
        <w:rPr>
          <w:sz w:val="20"/>
          <w:szCs w:val="20"/>
          <w:color w:val="auto"/>
        </w:rPr>
      </w:pPr>
    </w:p>
    <w:p>
      <w:pPr>
        <w:spacing w:after="0" w:line="366"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or may distribute them among the number to be voted for, or for any two or more of them as he may see fit.</w:t>
      </w:r>
    </w:p>
    <w:p>
      <w:pPr>
        <w:spacing w:after="0" w:line="208" w:lineRule="exact"/>
        <w:rPr>
          <w:sz w:val="20"/>
          <w:szCs w:val="20"/>
          <w:color w:val="auto"/>
        </w:rPr>
      </w:pPr>
    </w:p>
    <w:p>
      <w:pPr>
        <w:ind w:right="3899" w:firstLine="8"/>
        <w:spacing w:after="0" w:line="235" w:lineRule="auto"/>
        <w:tabs>
          <w:tab w:leader="none" w:pos="52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and mailing address of each incorporator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32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MAILING ADDRESS</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W. J. Reif</w:t>
            </w:r>
          </w:p>
        </w:tc>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100</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West Tenth Street</w:t>
            </w:r>
          </w:p>
        </w:tc>
      </w:tr>
      <w:tr>
        <w:trPr>
          <w:trHeight w:val="203"/>
        </w:trPr>
        <w:tc>
          <w:tcPr>
            <w:tcW w:w="2000" w:type="dxa"/>
            <w:vAlign w:val="bottom"/>
          </w:tcPr>
          <w:p>
            <w:pPr>
              <w:spacing w:after="0"/>
              <w:rPr>
                <w:sz w:val="17"/>
                <w:szCs w:val="17"/>
                <w:color w:val="auto"/>
              </w:rPr>
            </w:pPr>
          </w:p>
        </w:tc>
        <w:tc>
          <w:tcPr>
            <w:tcW w:w="32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6"/>
              </w:rPr>
              <w:t>Wilmington, Delaware 19801</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V. A. Brookens</w:t>
            </w:r>
          </w:p>
        </w:tc>
        <w:tc>
          <w:tcPr>
            <w:tcW w:w="900" w:type="dxa"/>
            <w:vAlign w:val="bottom"/>
          </w:tcPr>
          <w:p>
            <w:pPr>
              <w:ind w:left="540"/>
              <w:spacing w:after="0"/>
              <w:rPr>
                <w:sz w:val="20"/>
                <w:szCs w:val="20"/>
                <w:color w:val="auto"/>
              </w:rPr>
            </w:pPr>
            <w:r>
              <w:rPr>
                <w:rFonts w:ascii="Courier New" w:cs="Courier New" w:eastAsia="Courier New" w:hAnsi="Courier New"/>
                <w:sz w:val="18"/>
                <w:szCs w:val="18"/>
                <w:color w:val="auto"/>
              </w:rPr>
              <w:t>100</w:t>
            </w:r>
          </w:p>
        </w:tc>
        <w:tc>
          <w:tcPr>
            <w:tcW w:w="2380" w:type="dxa"/>
            <w:vAlign w:val="bottom"/>
          </w:tcPr>
          <w:p>
            <w:pPr>
              <w:ind w:left="60"/>
              <w:spacing w:after="0"/>
              <w:rPr>
                <w:sz w:val="20"/>
                <w:szCs w:val="20"/>
                <w:color w:val="auto"/>
              </w:rPr>
            </w:pPr>
            <w:r>
              <w:rPr>
                <w:rFonts w:ascii="Courier New" w:cs="Courier New" w:eastAsia="Courier New" w:hAnsi="Courier New"/>
                <w:sz w:val="18"/>
                <w:szCs w:val="18"/>
                <w:color w:val="auto"/>
              </w:rPr>
              <w:t>West Tenth Street,</w:t>
            </w:r>
          </w:p>
        </w:tc>
      </w:tr>
      <w:tr>
        <w:trPr>
          <w:trHeight w:val="203"/>
        </w:trPr>
        <w:tc>
          <w:tcPr>
            <w:tcW w:w="2000" w:type="dxa"/>
            <w:vAlign w:val="bottom"/>
          </w:tcPr>
          <w:p>
            <w:pPr>
              <w:spacing w:after="0"/>
              <w:rPr>
                <w:sz w:val="17"/>
                <w:szCs w:val="17"/>
                <w:color w:val="auto"/>
              </w:rPr>
            </w:pPr>
          </w:p>
        </w:tc>
        <w:tc>
          <w:tcPr>
            <w:tcW w:w="32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6"/>
              </w:rPr>
              <w:t>Wilmington, Delaware 19801</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J. L. Austin</w:t>
            </w:r>
          </w:p>
        </w:tc>
        <w:tc>
          <w:tcPr>
            <w:tcW w:w="900" w:type="dxa"/>
            <w:vAlign w:val="bottom"/>
          </w:tcPr>
          <w:p>
            <w:pPr>
              <w:ind w:left="540"/>
              <w:spacing w:after="0"/>
              <w:rPr>
                <w:sz w:val="20"/>
                <w:szCs w:val="20"/>
                <w:color w:val="auto"/>
              </w:rPr>
            </w:pPr>
            <w:r>
              <w:rPr>
                <w:rFonts w:ascii="Courier New" w:cs="Courier New" w:eastAsia="Courier New" w:hAnsi="Courier New"/>
                <w:sz w:val="18"/>
                <w:szCs w:val="18"/>
                <w:color w:val="auto"/>
              </w:rPr>
              <w:t>100</w:t>
            </w:r>
          </w:p>
        </w:tc>
        <w:tc>
          <w:tcPr>
            <w:tcW w:w="2380" w:type="dxa"/>
            <w:vAlign w:val="bottom"/>
          </w:tcPr>
          <w:p>
            <w:pPr>
              <w:ind w:left="60"/>
              <w:spacing w:after="0"/>
              <w:rPr>
                <w:sz w:val="20"/>
                <w:szCs w:val="20"/>
                <w:color w:val="auto"/>
              </w:rPr>
            </w:pPr>
            <w:r>
              <w:rPr>
                <w:rFonts w:ascii="Courier New" w:cs="Courier New" w:eastAsia="Courier New" w:hAnsi="Courier New"/>
                <w:sz w:val="18"/>
                <w:szCs w:val="18"/>
                <w:color w:val="auto"/>
              </w:rPr>
              <w:t>West Tenth Street,</w:t>
            </w:r>
          </w:p>
        </w:tc>
      </w:tr>
      <w:tr>
        <w:trPr>
          <w:trHeight w:val="203"/>
        </w:trPr>
        <w:tc>
          <w:tcPr>
            <w:tcW w:w="2000" w:type="dxa"/>
            <w:vAlign w:val="bottom"/>
          </w:tcPr>
          <w:p>
            <w:pPr>
              <w:spacing w:after="0"/>
              <w:rPr>
                <w:sz w:val="17"/>
                <w:szCs w:val="17"/>
                <w:color w:val="auto"/>
              </w:rPr>
            </w:pPr>
          </w:p>
        </w:tc>
        <w:tc>
          <w:tcPr>
            <w:tcW w:w="32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6"/>
              </w:rPr>
              <w:t>Wilmington, Delaware 19801</w:t>
            </w:r>
          </w:p>
        </w:tc>
      </w:tr>
    </w:tbl>
    <w:p>
      <w:pPr>
        <w:spacing w:after="0" w:line="201" w:lineRule="exact"/>
        <w:rPr>
          <w:sz w:val="20"/>
          <w:szCs w:val="20"/>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is to have perpetual existence.</w:t>
      </w:r>
    </w:p>
    <w:p>
      <w:pPr>
        <w:spacing w:after="0" w:line="206" w:lineRule="exact"/>
        <w:rPr>
          <w:rFonts w:ascii="Courier New" w:cs="Courier New" w:eastAsia="Courier New" w:hAnsi="Courier New"/>
          <w:sz w:val="18"/>
          <w:szCs w:val="18"/>
          <w:color w:val="auto"/>
        </w:rPr>
      </w:pPr>
    </w:p>
    <w:p>
      <w:pPr>
        <w:ind w:right="4199" w:firstLine="8"/>
        <w:spacing w:after="0" w:line="237" w:lineRule="auto"/>
        <w:tabs>
          <w:tab w:leader="none" w:pos="527"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furtherance and not in limitation of the powers conferred by statute, the board of directors is expressly authorized to make, alter or repeal the by-laws of the corporation.</w:t>
      </w:r>
    </w:p>
    <w:p>
      <w:pPr>
        <w:spacing w:after="0" w:line="207" w:lineRule="exact"/>
        <w:rPr>
          <w:rFonts w:ascii="Courier New" w:cs="Courier New" w:eastAsia="Courier New" w:hAnsi="Courier New"/>
          <w:sz w:val="18"/>
          <w:szCs w:val="18"/>
          <w:color w:val="auto"/>
        </w:rPr>
      </w:pPr>
    </w:p>
    <w:p>
      <w:pPr>
        <w:ind w:right="4199" w:firstLine="8"/>
        <w:spacing w:after="0" w:line="290" w:lineRule="auto"/>
        <w:tabs>
          <w:tab w:leader="none" w:pos="527"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Elections of directors need not be by written ballot unless the by-laws of the corporation shall so provide.</w:t>
      </w:r>
    </w:p>
    <w:p>
      <w:pPr>
        <w:spacing w:after="0" w:line="170" w:lineRule="exact"/>
        <w:rPr>
          <w:sz w:val="20"/>
          <w:szCs w:val="20"/>
          <w:color w:val="auto"/>
        </w:rPr>
      </w:pPr>
    </w:p>
    <w:p>
      <w:pPr>
        <w:ind w:right="3999" w:firstLine="527"/>
        <w:spacing w:after="0" w:line="237" w:lineRule="auto"/>
        <w:rPr>
          <w:sz w:val="20"/>
          <w:szCs w:val="20"/>
          <w:color w:val="auto"/>
        </w:rPr>
      </w:pPr>
      <w:r>
        <w:rPr>
          <w:rFonts w:ascii="Courier New" w:cs="Courier New" w:eastAsia="Courier New" w:hAnsi="Courier New"/>
          <w:sz w:val="18"/>
          <w:szCs w:val="18"/>
          <w:color w:val="auto"/>
        </w:rPr>
        <w:t>Meetings of stockholders may by held within or without the State of Delaware, as the by-laws may provide. The books of the corporation may be kept (subject to any provision contained in the statutes) outside the State of Delaware at such place or places as may be designated from time to time by the board of directors or in the by-laws of the corporation.</w:t>
      </w:r>
    </w:p>
    <w:p>
      <w:pPr>
        <w:spacing w:after="0" w:line="211" w:lineRule="exact"/>
        <w:rPr>
          <w:sz w:val="20"/>
          <w:szCs w:val="20"/>
          <w:color w:val="auto"/>
        </w:rPr>
      </w:pPr>
    </w:p>
    <w:p>
      <w:pPr>
        <w:ind w:right="3899" w:firstLine="8"/>
        <w:spacing w:after="0" w:line="273" w:lineRule="auto"/>
        <w:tabs>
          <w:tab w:leader="none" w:pos="527"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reserves the right to amend, alter, change or repeal any provision contained in this certificate of incorporation, in the manner now or hereafter prescribed by statute, and all rights conferred upon stockholders herein are granted subject to this reservation.</w:t>
      </w:r>
    </w:p>
    <w:p>
      <w:pPr>
        <w:sectPr>
          <w:pgSz w:w="11900" w:h="16838" w:orient="portrait"/>
          <w:cols w:equalWidth="0" w:num="1">
            <w:col w:w="10219"/>
          </w:cols>
          <w:pgMar w:left="240" w:top="136" w:right="1440" w:bottom="745" w:gutter="0" w:footer="0" w:header="0"/>
        </w:sectPr>
      </w:pPr>
    </w:p>
    <w:bookmarkStart w:id="53" w:name="page54"/>
    <w:bookmarkEnd w:id="53"/>
    <w:p>
      <w:pPr>
        <w:ind w:right="3899" w:firstLine="527"/>
        <w:spacing w:after="0" w:line="237" w:lineRule="auto"/>
        <w:rPr>
          <w:sz w:val="20"/>
          <w:szCs w:val="20"/>
          <w:color w:val="auto"/>
        </w:rPr>
      </w:pPr>
      <w:r>
        <w:rPr>
          <w:rFonts w:ascii="Courier New" w:cs="Courier New" w:eastAsia="Courier New" w:hAnsi="Courier New"/>
          <w:sz w:val="18"/>
          <w:szCs w:val="18"/>
          <w:color w:val="auto"/>
        </w:rPr>
        <w:t>WE, THE UNDERSIGNED, being each of the incorporators hereinbefore named, for the purpose of forming a corporation pursuant to the General Corporation Law of the State of Delaware, do make this certificate, hereby declaring and certifying that this is our act and deed and the facts herein stated are true, and accordingly have hereunto set our hands this 6th day of April, 1984.</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W. J. REIF</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W. J. REIF</w:t>
      </w:r>
    </w:p>
    <w:p>
      <w:pPr>
        <w:spacing w:after="0" w:line="20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 A. BROOKENS</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V.A. BROOKENS</w:t>
      </w:r>
    </w:p>
    <w:p>
      <w:pPr>
        <w:spacing w:after="0" w:line="20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J. L. AUSTIN</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J. L. AUSTIN</w:t>
      </w:r>
    </w:p>
    <w:p>
      <w:pPr>
        <w:sectPr>
          <w:pgSz w:w="11900" w:h="16838" w:orient="portrait"/>
          <w:cols w:equalWidth="0" w:num="1">
            <w:col w:w="10219"/>
          </w:cols>
          <w:pgMar w:left="240" w:top="520" w:right="1440" w:bottom="1440" w:gutter="0" w:footer="0" w:header="0"/>
        </w:sectPr>
      </w:pPr>
    </w:p>
    <w:bookmarkStart w:id="54" w:name="page55"/>
    <w:bookmarkEnd w:id="54"/>
    <w:p>
      <w:pPr>
        <w:ind w:left="1380"/>
        <w:spacing w:after="0"/>
        <w:rPr>
          <w:sz w:val="20"/>
          <w:szCs w:val="20"/>
          <w:color w:val="auto"/>
        </w:rPr>
      </w:pPr>
      <w:r>
        <w:rPr>
          <w:rFonts w:ascii="Courier New" w:cs="Courier New" w:eastAsia="Courier New" w:hAnsi="Courier New"/>
          <w:sz w:val="18"/>
          <w:szCs w:val="18"/>
          <w:color w:val="auto"/>
        </w:rPr>
        <w:t>CERTIFICATE OF FIRST AMENDMENT</w:t>
      </w:r>
    </w:p>
    <w:p>
      <w:pPr>
        <w:ind w:left="960"/>
        <w:spacing w:after="0" w:line="238" w:lineRule="auto"/>
        <w:rPr>
          <w:sz w:val="20"/>
          <w:szCs w:val="20"/>
          <w:color w:val="auto"/>
        </w:rPr>
      </w:pPr>
      <w:r>
        <w:rPr>
          <w:rFonts w:ascii="Courier New" w:cs="Courier New" w:eastAsia="Courier New" w:hAnsi="Courier New"/>
          <w:sz w:val="18"/>
          <w:szCs w:val="18"/>
          <w:color w:val="auto"/>
        </w:rPr>
        <w:t>TO THE CERTIFICATE OF INCORPORATION OF</w:t>
      </w:r>
    </w:p>
    <w:p>
      <w:pPr>
        <w:ind w:left="1580"/>
        <w:spacing w:after="0"/>
        <w:rPr>
          <w:sz w:val="20"/>
          <w:szCs w:val="20"/>
          <w:color w:val="auto"/>
        </w:rPr>
      </w:pPr>
      <w:r>
        <w:rPr>
          <w:rFonts w:ascii="Courier New" w:cs="Courier New" w:eastAsia="Courier New" w:hAnsi="Courier New"/>
          <w:sz w:val="18"/>
          <w:szCs w:val="18"/>
          <w:color w:val="auto"/>
        </w:rPr>
        <w:t>MICRON TECHNOLOGY, INC.</w:t>
      </w:r>
    </w:p>
    <w:p>
      <w:pPr>
        <w:spacing w:after="0" w:line="206" w:lineRule="exact"/>
        <w:rPr>
          <w:sz w:val="20"/>
          <w:szCs w:val="20"/>
          <w:color w:val="auto"/>
        </w:rPr>
      </w:pPr>
    </w:p>
    <w:p>
      <w:pPr>
        <w:ind w:right="3999" w:firstLine="527"/>
        <w:spacing w:after="0" w:line="269" w:lineRule="auto"/>
        <w:rPr>
          <w:sz w:val="20"/>
          <w:szCs w:val="20"/>
          <w:color w:val="auto"/>
        </w:rPr>
      </w:pPr>
      <w:r>
        <w:rPr>
          <w:rFonts w:ascii="Courier New" w:cs="Courier New" w:eastAsia="Courier New" w:hAnsi="Courier New"/>
          <w:sz w:val="16"/>
          <w:szCs w:val="16"/>
          <w:color w:val="auto"/>
        </w:rPr>
        <w:t>The undersigned, Juan A. Benitez, President and Cathy L. Smith, Corporate Secretary of Micron Technology, Inc. a Delaware corporation, hereby certify that the following amendment to the Certificate of Incorporation of Micron Technology, Inc. has been duly adopted in accordance with Section 242 of the General Corporation Law of the State of Delaware, as amended. Said amendment was adopted by a resolution of the Board of Directors on October 27, 1986 which sets forth the proposed amendment, declared its advisability and directed that it be considered at the Annual Meeting of Shareholders. At the regularly scheduled Annual Meeting of Shareholders held on January 26, 1987, after due notice thereof in accordance with the law, a majority of said shareholders entitled to vote thereon has been voted in favor of said amendment. Said amendment as adopted and approved adds the following provisions to the Certificate of Incorporation:</w:t>
      </w:r>
    </w:p>
    <w:p>
      <w:pPr>
        <w:spacing w:after="0" w:line="396" w:lineRule="exact"/>
        <w:rPr>
          <w:sz w:val="20"/>
          <w:szCs w:val="20"/>
          <w:color w:val="auto"/>
        </w:rPr>
      </w:pPr>
    </w:p>
    <w:p>
      <w:pPr>
        <w:ind w:right="4099" w:firstLine="535"/>
        <w:spacing w:after="0" w:line="270" w:lineRule="auto"/>
        <w:tabs>
          <w:tab w:leader="none" w:pos="1053"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and to the full extent permitted by Section 102(b) and any other relevant provisions of the General Corporation Law of the State of Delaware, no director shall be liable to the corporation or its stockholders for monetary damages for breach of fiduciary duty as a director, provided that this provision shall not eliminate or limit the liability of a director (i) for any breach of director's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derived an improper personal benefit.</w:t>
      </w:r>
    </w:p>
    <w:p>
      <w:pPr>
        <w:spacing w:after="0" w:line="387" w:lineRule="exact"/>
        <w:rPr>
          <w:rFonts w:ascii="Courier New" w:cs="Courier New" w:eastAsia="Courier New" w:hAnsi="Courier New"/>
          <w:sz w:val="16"/>
          <w:szCs w:val="16"/>
          <w:color w:val="auto"/>
        </w:rPr>
      </w:pPr>
    </w:p>
    <w:p>
      <w:pPr>
        <w:ind w:right="3899" w:firstLine="535"/>
        <w:spacing w:after="0" w:line="269" w:lineRule="auto"/>
        <w:tabs>
          <w:tab w:leader="none" w:pos="1053"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and to the full extent permitted by, Section 145 and any other relevant provisions of the General Corporation Law of the State of Delaware, the corporation shall, and is hereby obligated to, indemnify any person, or the heirs, executors, or administrators of such person, who was or is a party or is threatened to be made a party to any threatened, pending, or completed action, suit, or proceeding, whether civil, criminal, administrative, or investigative, by reason of the fact that such person is or was a director, officer, employee, or agent of the corporation, or is or was serving at the request of the corporation as a director, officer, employee, or agent of another corporation, partnership, joint venture, trust, or other enterprise. The corporation shall, and is hereby obligated to, indemnify any of said persons in each and every situation where the corporation is obligated to make such indemnification pursuant to said statutory provisions. The corporation shall also, and is hereby obligated to, indemnify any of said persons in each and every situation where, under the aforesaid statutory provisions, the corporation is not obligated, but is nevertheless permitted or empowered, to make such indemnification, it being understood that, prior to making such indemnification, the corporation shall make, or cause to be made, such determinations or decisions, following such procedures or methods, as are required by said statutes.</w:t>
      </w:r>
    </w:p>
    <w:p>
      <w:pPr>
        <w:spacing w:after="0" w:line="200" w:lineRule="exact"/>
        <w:rPr>
          <w:sz w:val="20"/>
          <w:szCs w:val="20"/>
          <w:color w:val="auto"/>
        </w:rPr>
      </w:pPr>
    </w:p>
    <w:p>
      <w:pPr>
        <w:spacing w:after="0" w:line="394" w:lineRule="exact"/>
        <w:rPr>
          <w:sz w:val="20"/>
          <w:szCs w:val="20"/>
          <w:color w:val="auto"/>
        </w:rPr>
      </w:pPr>
    </w:p>
    <w:p>
      <w:pPr>
        <w:ind w:right="3999" w:firstLine="527"/>
        <w:spacing w:after="0" w:line="236" w:lineRule="auto"/>
        <w:rPr>
          <w:sz w:val="20"/>
          <w:szCs w:val="20"/>
          <w:color w:val="auto"/>
        </w:rPr>
      </w:pPr>
      <w:r>
        <w:rPr>
          <w:rFonts w:ascii="Courier New" w:cs="Courier New" w:eastAsia="Courier New" w:hAnsi="Courier New"/>
          <w:sz w:val="18"/>
          <w:szCs w:val="18"/>
          <w:color w:val="auto"/>
        </w:rPr>
        <w:t>IN WITNESS WHEREOF, we have hereunto set our hands and affixed the corporate seal of said corporation as of this 28th of January 1987.</w:t>
      </w: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Juan A. Benitez</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Juan A. Benitez, President</w:t>
      </w:r>
    </w:p>
    <w:p>
      <w:pPr>
        <w:spacing w:after="0" w:line="237" w:lineRule="auto"/>
        <w:rPr>
          <w:sz w:val="20"/>
          <w:szCs w:val="20"/>
          <w:color w:val="auto"/>
        </w:rPr>
      </w:pPr>
      <w:r>
        <w:rPr>
          <w:rFonts w:ascii="Courier New" w:cs="Courier New" w:eastAsia="Courier New" w:hAnsi="Courier New"/>
          <w:sz w:val="18"/>
          <w:szCs w:val="18"/>
          <w:color w:val="auto"/>
        </w:rPr>
        <w:t>Cathy L. Smith</w:t>
      </w:r>
    </w:p>
    <w:p>
      <w:pPr>
        <w:ind w:left="220" w:hanging="212"/>
        <w:spacing w:after="0" w:line="238" w:lineRule="auto"/>
        <w:tabs>
          <w:tab w:leader="none" w:pos="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Cathy L. Smith, Secretary</w:t>
      </w:r>
    </w:p>
    <w:p>
      <w:pPr>
        <w:sectPr>
          <w:pgSz w:w="11900" w:h="16838" w:orient="portrait"/>
          <w:cols w:equalWidth="0" w:num="1">
            <w:col w:w="10219"/>
          </w:cols>
          <w:pgMar w:left="240" w:top="514" w:right="1440" w:bottom="970" w:gutter="0" w:footer="0" w:header="0"/>
        </w:sectPr>
      </w:pPr>
    </w:p>
    <w:bookmarkStart w:id="55" w:name="page56"/>
    <w:bookmarkEnd w:id="55"/>
    <w:p>
      <w:pPr>
        <w:ind w:left="2440"/>
        <w:spacing w:after="0"/>
        <w:rPr>
          <w:sz w:val="20"/>
          <w:szCs w:val="20"/>
          <w:color w:val="auto"/>
        </w:rPr>
      </w:pPr>
      <w:r>
        <w:rPr>
          <w:rFonts w:ascii="Courier New" w:cs="Courier New" w:eastAsia="Courier New" w:hAnsi="Courier New"/>
          <w:sz w:val="18"/>
          <w:szCs w:val="18"/>
          <w:color w:val="auto"/>
        </w:rPr>
        <w:t>ACKNOWLEDGMENT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IDAHO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COUNTY OF ADA</w:t>
      </w:r>
    </w:p>
    <w:p>
      <w:pPr>
        <w:spacing w:after="0" w:line="207" w:lineRule="exact"/>
        <w:rPr>
          <w:sz w:val="20"/>
          <w:szCs w:val="20"/>
          <w:color w:val="auto"/>
        </w:rPr>
      </w:pPr>
    </w:p>
    <w:p>
      <w:pPr>
        <w:ind w:right="3999" w:firstLine="527"/>
        <w:spacing w:after="0" w:line="272" w:lineRule="auto"/>
        <w:rPr>
          <w:sz w:val="20"/>
          <w:szCs w:val="20"/>
          <w:color w:val="auto"/>
        </w:rPr>
      </w:pPr>
      <w:r>
        <w:rPr>
          <w:rFonts w:ascii="Courier New" w:cs="Courier New" w:eastAsia="Courier New" w:hAnsi="Courier New"/>
          <w:sz w:val="16"/>
          <w:szCs w:val="16"/>
          <w:color w:val="auto"/>
        </w:rPr>
        <w:t>The foregoing instrument was acknowledged before me this 28th day of January, 1987 by Juan A. Benitez, as President and Cathy L. Smith, as Corporate Secretary of Micron Technology, Inc., a Delaware corporation, on behalf of the corporation and that the same is the act and deed of the corporation and the facts stated therein are true.</w:t>
      </w:r>
    </w:p>
    <w:p>
      <w:pPr>
        <w:sectPr>
          <w:pgSz w:w="11900" w:h="16838" w:orient="portrait"/>
          <w:cols w:equalWidth="0" w:num="1">
            <w:col w:w="10219"/>
          </w:cols>
          <w:pgMar w:left="240" w:top="514" w:right="1440" w:bottom="1440" w:gutter="0" w:footer="0" w:header="0"/>
        </w:sectPr>
      </w:pPr>
    </w:p>
    <w:p>
      <w:pPr>
        <w:spacing w:after="0" w:line="388"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Notary Public</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Jill L. Henson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020" w:space="100"/>
            <w:col w:w="6099"/>
          </w:cols>
          <w:pgMar w:left="240" w:top="514" w:right="1440" w:bottom="1440" w:gutter="0" w:footer="0" w:header="0"/>
          <w:type w:val="continuous"/>
        </w:sectPr>
      </w:pPr>
    </w:p>
    <w:p>
      <w:pPr>
        <w:spacing w:after="0" w:line="2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My commission expires</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8"/>
          <w:szCs w:val="18"/>
          <w:color w:val="auto"/>
        </w:rPr>
        <w:t>7/88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4860" w:space="100"/>
            <w:col w:w="5259"/>
          </w:cols>
          <w:pgMar w:left="240" w:top="51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(SEAL)</w:t>
      </w:r>
    </w:p>
    <w:p>
      <w:pPr>
        <w:sectPr>
          <w:pgSz w:w="11900" w:h="16838" w:orient="portrait"/>
          <w:cols w:equalWidth="0" w:num="1">
            <w:col w:w="10219"/>
          </w:cols>
          <w:pgMar w:left="240" w:top="514" w:right="1440" w:bottom="1440" w:gutter="0" w:footer="0" w:header="0"/>
          <w:type w:val="continuous"/>
        </w:sectPr>
      </w:pPr>
    </w:p>
    <w:bookmarkStart w:id="56" w:name="page57"/>
    <w:bookmarkEnd w:id="56"/>
    <w:p>
      <w:pPr>
        <w:ind w:left="1380"/>
        <w:spacing w:after="0"/>
        <w:rPr>
          <w:sz w:val="20"/>
          <w:szCs w:val="20"/>
          <w:color w:val="auto"/>
        </w:rPr>
      </w:pPr>
      <w:r>
        <w:rPr>
          <w:rFonts w:ascii="Courier New" w:cs="Courier New" w:eastAsia="Courier New" w:hAnsi="Courier New"/>
          <w:sz w:val="18"/>
          <w:szCs w:val="18"/>
          <w:color w:val="auto"/>
        </w:rPr>
        <w:t>CERTIFICATE OF SECOND AMENDMENT</w:t>
      </w:r>
    </w:p>
    <w:p>
      <w:pPr>
        <w:ind w:left="960"/>
        <w:spacing w:after="0" w:line="238" w:lineRule="auto"/>
        <w:rPr>
          <w:sz w:val="20"/>
          <w:szCs w:val="20"/>
          <w:color w:val="auto"/>
        </w:rPr>
      </w:pPr>
      <w:r>
        <w:rPr>
          <w:rFonts w:ascii="Courier New" w:cs="Courier New" w:eastAsia="Courier New" w:hAnsi="Courier New"/>
          <w:sz w:val="18"/>
          <w:szCs w:val="18"/>
          <w:color w:val="auto"/>
        </w:rPr>
        <w:t>TO THE CERTIFICATE OF INCORPORATION OF</w:t>
      </w:r>
    </w:p>
    <w:p>
      <w:pPr>
        <w:ind w:left="1700"/>
        <w:spacing w:after="0"/>
        <w:rPr>
          <w:sz w:val="20"/>
          <w:szCs w:val="20"/>
          <w:color w:val="auto"/>
        </w:rPr>
      </w:pPr>
      <w:r>
        <w:rPr>
          <w:rFonts w:ascii="Courier New" w:cs="Courier New" w:eastAsia="Courier New" w:hAnsi="Courier New"/>
          <w:sz w:val="18"/>
          <w:szCs w:val="18"/>
          <w:color w:val="auto"/>
        </w:rPr>
        <w:t>MICRON TECHNOLOGY, INC.</w:t>
      </w:r>
    </w:p>
    <w:p>
      <w:pPr>
        <w:spacing w:after="0" w:line="206" w:lineRule="exact"/>
        <w:rPr>
          <w:sz w:val="20"/>
          <w:szCs w:val="20"/>
          <w:color w:val="auto"/>
        </w:rPr>
      </w:pPr>
    </w:p>
    <w:p>
      <w:pPr>
        <w:ind w:right="3899" w:firstLine="527"/>
        <w:spacing w:after="0" w:line="238" w:lineRule="auto"/>
        <w:rPr>
          <w:sz w:val="20"/>
          <w:szCs w:val="20"/>
          <w:color w:val="auto"/>
        </w:rPr>
      </w:pPr>
      <w:r>
        <w:rPr>
          <w:rFonts w:ascii="Courier New" w:cs="Courier New" w:eastAsia="Courier New" w:hAnsi="Courier New"/>
          <w:sz w:val="18"/>
          <w:szCs w:val="18"/>
          <w:color w:val="auto"/>
        </w:rPr>
        <w:t>The undersigned, Randal W. Chance, President and Chief Operating Officer and Cathy L. Smith, Corporate Secretary of Micron Technology, Inc. a Delaware corporation, hereby certify that the following amendment to the Certificate of Incorporation of Micron Technology, Inc. has been duly adopted in accordance with Section 242 of the General Corporation Law of the State of Delaware, as amended. Said amendment was adopted by a resolution of the Board of Directors on October 31, 1988 which sets forth the proposed amendment, declared its advisability and directed that it be considered at the Company's Annual Meeting of Shareholders. At the regularly scheduled 1988 Annual Meeting of Shareholders held on January 30, 1989, after due notice thereof in accordance with the law, a majority of the outstanding stock entitled to vote thereon has been voted in favor of said amendment. Said amendment as adopted and approved amends paragraph 4 of the Certificate of Incorporation to read as follows:</w:t>
      </w:r>
    </w:p>
    <w:p>
      <w:pPr>
        <w:spacing w:after="0" w:line="209" w:lineRule="exact"/>
        <w:rPr>
          <w:sz w:val="20"/>
          <w:szCs w:val="20"/>
          <w:color w:val="auto"/>
        </w:rPr>
      </w:pPr>
    </w:p>
    <w:p>
      <w:pPr>
        <w:ind w:right="4199" w:firstLine="535"/>
        <w:spacing w:after="0" w:line="237" w:lineRule="auto"/>
        <w:tabs>
          <w:tab w:leader="none" w:pos="948"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number of shares of stock which the corporation shall have authority to issue is one hundred million (100,000,000) and the par value of each of such shares is Ten Cents ($0.10) amounting in the aggregate to Ten Million Dollars ($10,000,000.00)</w:t>
      </w:r>
    </w:p>
    <w:p>
      <w:pPr>
        <w:spacing w:after="0" w:line="209" w:lineRule="exact"/>
        <w:rPr>
          <w:sz w:val="20"/>
          <w:szCs w:val="20"/>
          <w:color w:val="auto"/>
        </w:rPr>
      </w:pPr>
    </w:p>
    <w:p>
      <w:pPr>
        <w:ind w:right="3999" w:firstLine="527"/>
        <w:spacing w:after="0" w:line="236" w:lineRule="auto"/>
        <w:rPr>
          <w:sz w:val="20"/>
          <w:szCs w:val="20"/>
          <w:color w:val="auto"/>
        </w:rPr>
      </w:pPr>
      <w:r>
        <w:rPr>
          <w:rFonts w:ascii="Courier New" w:cs="Courier New" w:eastAsia="Courier New" w:hAnsi="Courier New"/>
          <w:sz w:val="18"/>
          <w:szCs w:val="18"/>
          <w:color w:val="auto"/>
        </w:rPr>
        <w:t>IN WITNESS WHEREOF, we have hereunto set our hands and affixed the corporate seal of said corporation as of the 31st of January, 1989.</w:t>
      </w:r>
    </w:p>
    <w:p>
      <w:pPr>
        <w:spacing w:after="0" w:line="200" w:lineRule="exact"/>
        <w:rPr>
          <w:sz w:val="20"/>
          <w:szCs w:val="20"/>
          <w:color w:val="auto"/>
        </w:rPr>
      </w:pPr>
    </w:p>
    <w:p>
      <w:pPr>
        <w:spacing w:after="0" w:line="20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Randal W. Chance</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rPr>
          <w:sz w:val="20"/>
          <w:szCs w:val="20"/>
          <w:color w:val="auto"/>
        </w:rPr>
      </w:pPr>
      <w:r>
        <w:rPr>
          <w:rFonts w:ascii="Courier New" w:cs="Courier New" w:eastAsia="Courier New" w:hAnsi="Courier New"/>
          <w:sz w:val="18"/>
          <w:szCs w:val="18"/>
          <w:color w:val="auto"/>
        </w:rPr>
        <w:t>Randal W. Chance, President and</w:t>
      </w:r>
    </w:p>
    <w:p>
      <w:pPr>
        <w:ind w:left="2740"/>
        <w:spacing w:after="0" w:line="237"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Cathy L. Smith</w:t>
      </w:r>
    </w:p>
    <w:p>
      <w:pPr>
        <w:ind w:left="220" w:hanging="212"/>
        <w:spacing w:after="0" w:line="238" w:lineRule="auto"/>
        <w:tabs>
          <w:tab w:leader="none" w:pos="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Cathy L. Smith, Corporate Secretary</w:t>
      </w:r>
    </w:p>
    <w:p>
      <w:pPr>
        <w:sectPr>
          <w:pgSz w:w="11900" w:h="16838" w:orient="portrait"/>
          <w:cols w:equalWidth="0" w:num="1">
            <w:col w:w="10219"/>
          </w:cols>
          <w:pgMar w:left="240" w:top="514" w:right="1440" w:bottom="1440" w:gutter="0" w:footer="0" w:header="0"/>
        </w:sectPr>
      </w:pPr>
    </w:p>
    <w:bookmarkStart w:id="57" w:name="page58"/>
    <w:bookmarkEnd w:id="57"/>
    <w:p>
      <w:pPr>
        <w:ind w:left="2860"/>
        <w:spacing w:after="0"/>
        <w:rPr>
          <w:sz w:val="20"/>
          <w:szCs w:val="20"/>
          <w:color w:val="auto"/>
        </w:rPr>
      </w:pPr>
      <w:r>
        <w:rPr>
          <w:rFonts w:ascii="Courier New" w:cs="Courier New" w:eastAsia="Courier New" w:hAnsi="Courier New"/>
          <w:sz w:val="18"/>
          <w:szCs w:val="18"/>
          <w:color w:val="auto"/>
        </w:rPr>
        <w:t>ACKNOWLEDGEMENT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IDAHO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COUNTY OF ADA</w:t>
      </w:r>
    </w:p>
    <w:p>
      <w:pPr>
        <w:spacing w:after="0" w:line="207"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The foregoing instrument was acknowledged before me this 31st day of January, 1989 by Randal W. Chance, as President and Chief Operation Officer and Cathy L. Smith as Corporate Secretary of Micron Technology, Inc., a Delware corporation, on behalf of the corporation and that the same is the act and deed of the corporation and the facts stated therein are true.</w:t>
      </w: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Benicia R. Morrison</w:t>
      </w:r>
    </w:p>
    <w:p>
      <w:pPr>
        <w:ind w:left="2960"/>
        <w:spacing w:after="0"/>
        <w:tabs>
          <w:tab w:leader="none" w:pos="4520" w:val="left"/>
        </w:tabs>
        <w:rPr>
          <w:sz w:val="20"/>
          <w:szCs w:val="20"/>
          <w:color w:val="auto"/>
        </w:rPr>
      </w:pPr>
      <w:r>
        <w:rPr>
          <w:rFonts w:ascii="Courier New" w:cs="Courier New" w:eastAsia="Courier New" w:hAnsi="Courier New"/>
          <w:sz w:val="18"/>
          <w:szCs w:val="18"/>
          <w:color w:val="auto"/>
        </w:rPr>
        <w:t>Notary Public</w:t>
      </w:r>
      <w:r>
        <w:rPr>
          <w:sz w:val="20"/>
          <w:szCs w:val="20"/>
          <w:color w:val="auto"/>
        </w:rPr>
        <w:tab/>
      </w:r>
      <w:r>
        <w:rPr>
          <w:rFonts w:ascii="Courier New" w:cs="Courier New" w:eastAsia="Courier New" w:hAnsi="Courier New"/>
          <w:sz w:val="16"/>
          <w:szCs w:val="16"/>
          <w:color w:val="auto"/>
        </w:rPr>
        <w:t>---------------------</w:t>
      </w:r>
    </w:p>
    <w:p>
      <w:pPr>
        <w:jc w:val="center"/>
        <w:ind w:right="399"/>
        <w:spacing w:after="0"/>
        <w:rPr>
          <w:sz w:val="20"/>
          <w:szCs w:val="20"/>
          <w:color w:val="auto"/>
        </w:rPr>
      </w:pPr>
      <w:r>
        <w:rPr>
          <w:rFonts w:ascii="Courier New" w:cs="Courier New" w:eastAsia="Courier New" w:hAnsi="Courier New"/>
          <w:sz w:val="18"/>
          <w:szCs w:val="18"/>
          <w:color w:val="auto"/>
        </w:rPr>
        <w:t>6-24-94</w:t>
      </w:r>
    </w:p>
    <w:p>
      <w:pPr>
        <w:ind w:left="2120"/>
        <w:spacing w:after="0"/>
        <w:tabs>
          <w:tab w:leader="none" w:pos="4520" w:val="left"/>
        </w:tabs>
        <w:rPr>
          <w:sz w:val="20"/>
          <w:szCs w:val="20"/>
          <w:color w:val="auto"/>
        </w:rPr>
      </w:pPr>
      <w:r>
        <w:rPr>
          <w:rFonts w:ascii="Courier New" w:cs="Courier New" w:eastAsia="Courier New" w:hAnsi="Courier New"/>
          <w:sz w:val="18"/>
          <w:szCs w:val="18"/>
          <w:color w:val="auto"/>
        </w:rPr>
        <w:t>My Commission Expires</w:t>
      </w:r>
      <w:r>
        <w:rPr>
          <w:sz w:val="20"/>
          <w:szCs w:val="20"/>
          <w:color w:val="auto"/>
        </w:rPr>
        <w:tab/>
      </w: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717" w:right="1440" w:bottom="1440" w:gutter="0" w:footer="0" w:header="0"/>
        </w:sectPr>
      </w:pPr>
    </w:p>
    <w:bookmarkStart w:id="58" w:name="page59"/>
    <w:bookmarkEnd w:id="58"/>
    <w:p>
      <w:pPr>
        <w:ind w:left="1380"/>
        <w:spacing w:after="0"/>
        <w:rPr>
          <w:sz w:val="20"/>
          <w:szCs w:val="20"/>
          <w:color w:val="auto"/>
        </w:rPr>
      </w:pPr>
      <w:r>
        <w:rPr>
          <w:rFonts w:ascii="Courier New" w:cs="Courier New" w:eastAsia="Courier New" w:hAnsi="Courier New"/>
          <w:sz w:val="18"/>
          <w:szCs w:val="18"/>
          <w:color w:val="auto"/>
        </w:rPr>
        <w:t>CERTIFICATE OF THIRD AMENDMENT</w:t>
      </w:r>
    </w:p>
    <w:p>
      <w:pPr>
        <w:ind w:left="960"/>
        <w:spacing w:after="0" w:line="238" w:lineRule="auto"/>
        <w:rPr>
          <w:sz w:val="20"/>
          <w:szCs w:val="20"/>
          <w:color w:val="auto"/>
        </w:rPr>
      </w:pPr>
      <w:r>
        <w:rPr>
          <w:rFonts w:ascii="Courier New" w:cs="Courier New" w:eastAsia="Courier New" w:hAnsi="Courier New"/>
          <w:sz w:val="18"/>
          <w:szCs w:val="18"/>
          <w:color w:val="auto"/>
        </w:rPr>
        <w:t>TO THE CERTIFICATE OF INCORPORATION OF</w:t>
      </w:r>
    </w:p>
    <w:p>
      <w:pPr>
        <w:ind w:left="1700"/>
        <w:spacing w:after="0"/>
        <w:rPr>
          <w:sz w:val="20"/>
          <w:szCs w:val="20"/>
          <w:color w:val="auto"/>
        </w:rPr>
      </w:pPr>
      <w:r>
        <w:rPr>
          <w:rFonts w:ascii="Courier New" w:cs="Courier New" w:eastAsia="Courier New" w:hAnsi="Courier New"/>
          <w:sz w:val="18"/>
          <w:szCs w:val="18"/>
          <w:color w:val="auto"/>
        </w:rPr>
        <w:t>MICRON TECHNOLOGY, INC.</w:t>
      </w:r>
    </w:p>
    <w:p>
      <w:pPr>
        <w:spacing w:after="0" w:line="206" w:lineRule="exact"/>
        <w:rPr>
          <w:sz w:val="20"/>
          <w:szCs w:val="20"/>
          <w:color w:val="auto"/>
        </w:rPr>
      </w:pPr>
    </w:p>
    <w:p>
      <w:pPr>
        <w:ind w:right="2939" w:firstLine="527"/>
        <w:spacing w:after="0" w:line="270" w:lineRule="auto"/>
        <w:rPr>
          <w:sz w:val="20"/>
          <w:szCs w:val="20"/>
          <w:color w:val="auto"/>
        </w:rPr>
      </w:pPr>
      <w:r>
        <w:rPr>
          <w:rFonts w:ascii="Courier New" w:cs="Courier New" w:eastAsia="Courier New" w:hAnsi="Courier New"/>
          <w:sz w:val="16"/>
          <w:szCs w:val="16"/>
          <w:color w:val="auto"/>
        </w:rPr>
        <w:t>The undersigned, James W. Garrett, President and Chief Operating Officer and Jill L. Devereaux, Assistant Corporate Secretary of Micron Technology, Inc. a Delaware corporation, hereby certify that the following amendment to the Certificate of Incorporation of Micron Technology, Inc. has been duly adopted in accordance with Section 242 of the General Corporation Law of the State of Delaware, as amended. Said amendment was adopted by a resolution of the Board of Directors on December 2, 1993 which set forth the proposed amendment, declared its advisability and directed that it be considered at the Company's Annual Meeting of Shareholders. At the regularly scheduled 1993 Annual Meeting of Shareholders duly held on January 31, 1994, after due notice thereof in accordance with applicable law, a majority of the outstanding stock entitled to vote thereon voted in favor of said amendment. Said amendment as adopted and approved amends paragraph 4 of the Certificate of Incorporation to read as follows:</w:t>
      </w:r>
    </w:p>
    <w:p>
      <w:pPr>
        <w:spacing w:after="0" w:line="387" w:lineRule="exact"/>
        <w:rPr>
          <w:sz w:val="20"/>
          <w:szCs w:val="20"/>
          <w:color w:val="auto"/>
        </w:rPr>
      </w:pPr>
    </w:p>
    <w:p>
      <w:pPr>
        <w:ind w:right="4319" w:firstLine="535"/>
        <w:spacing w:after="0" w:line="237" w:lineRule="auto"/>
        <w:tabs>
          <w:tab w:leader="none" w:pos="94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number of shares of stock which the corporation shall have authority to issue is one hundred fifty million (150,000,000) and the par value of each of such shares is Ten Cents ($0.10).</w:t>
      </w:r>
    </w:p>
    <w:p>
      <w:pPr>
        <w:spacing w:after="0" w:line="207" w:lineRule="exact"/>
        <w:rPr>
          <w:sz w:val="20"/>
          <w:szCs w:val="20"/>
          <w:color w:val="auto"/>
        </w:rPr>
      </w:pPr>
    </w:p>
    <w:p>
      <w:pPr>
        <w:jc w:val="both"/>
        <w:ind w:right="3159" w:firstLine="527"/>
        <w:spacing w:after="0" w:line="236" w:lineRule="auto"/>
        <w:rPr>
          <w:sz w:val="20"/>
          <w:szCs w:val="20"/>
          <w:color w:val="auto"/>
        </w:rPr>
      </w:pPr>
      <w:r>
        <w:rPr>
          <w:rFonts w:ascii="Courier New" w:cs="Courier New" w:eastAsia="Courier New" w:hAnsi="Courier New"/>
          <w:sz w:val="18"/>
          <w:szCs w:val="18"/>
          <w:color w:val="auto"/>
        </w:rPr>
        <w:t>IN WITNESS WHEREOF, this Certificate of Third Amendment to the Company's Certificate of Incorporation have been executed this 8th day of February, 1994.</w:t>
      </w:r>
    </w:p>
    <w:p>
      <w:pPr>
        <w:spacing w:after="0" w:line="200" w:lineRule="exact"/>
        <w:rPr>
          <w:sz w:val="20"/>
          <w:szCs w:val="20"/>
          <w:color w:val="auto"/>
        </w:rPr>
      </w:pPr>
    </w:p>
    <w:p>
      <w:pPr>
        <w:spacing w:after="0" w:line="20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James W. Garrett</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rPr>
          <w:sz w:val="20"/>
          <w:szCs w:val="20"/>
          <w:color w:val="auto"/>
        </w:rPr>
      </w:pPr>
      <w:r>
        <w:rPr>
          <w:rFonts w:ascii="Courier New" w:cs="Courier New" w:eastAsia="Courier New" w:hAnsi="Courier New"/>
          <w:sz w:val="18"/>
          <w:szCs w:val="18"/>
          <w:color w:val="auto"/>
        </w:rPr>
        <w:t>James W. Garrett, President and</w:t>
      </w:r>
    </w:p>
    <w:p>
      <w:pPr>
        <w:ind w:left="2740"/>
        <w:spacing w:after="0" w:line="237"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Jill L. Devereaux</w:t>
      </w:r>
    </w:p>
    <w:p>
      <w:pPr>
        <w:ind w:left="220" w:hanging="212"/>
        <w:spacing w:after="0" w:line="238" w:lineRule="auto"/>
        <w:tabs>
          <w:tab w:leader="none" w:pos="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6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Jill L. Devereaux, Assistant Corporate Secretary</w:t>
      </w:r>
    </w:p>
    <w:p>
      <w:pPr>
        <w:spacing w:after="0" w:line="200" w:lineRule="exact"/>
        <w:rPr>
          <w:sz w:val="20"/>
          <w:szCs w:val="20"/>
          <w:color w:val="auto"/>
        </w:rPr>
      </w:pPr>
    </w:p>
    <w:p>
      <w:pPr>
        <w:spacing w:after="0" w:line="211" w:lineRule="exact"/>
        <w:rPr>
          <w:sz w:val="20"/>
          <w:szCs w:val="20"/>
          <w:color w:val="auto"/>
        </w:rPr>
      </w:pPr>
    </w:p>
    <w:p>
      <w:pPr>
        <w:ind w:right="2939" w:firstLine="527"/>
        <w:spacing w:after="0" w:line="237" w:lineRule="auto"/>
        <w:rPr>
          <w:sz w:val="20"/>
          <w:szCs w:val="20"/>
          <w:color w:val="auto"/>
        </w:rPr>
      </w:pPr>
      <w:r>
        <w:rPr>
          <w:rFonts w:ascii="Courier New" w:cs="Courier New" w:eastAsia="Courier New" w:hAnsi="Courier New"/>
          <w:sz w:val="18"/>
          <w:szCs w:val="18"/>
          <w:color w:val="auto"/>
        </w:rPr>
        <w:t>I, Sherilyn Maxfield, a notary public, do hereby certify that on this 8th day of February, 1994, personally appeared before me James W. Garrett and Jill L. Devereaux who, being by me first duly sworn, declared that they are the President and Chief Operating Officer and Assistant Corporate Secretary, respectively, of Micron Technology, Inc., that they signed the foregoing document as President and Chief Operating Officer and Assistant Corporate Secretary of the corporation, and that the statements therein contained are true.</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Sherilyn Maxfield</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Notary Public</w:t>
      </w:r>
    </w:p>
    <w:p>
      <w:pPr>
        <w:ind w:left="4020"/>
        <w:spacing w:after="0"/>
        <w:tabs>
          <w:tab w:leader="none" w:pos="5460" w:val="left"/>
        </w:tabs>
        <w:rPr>
          <w:sz w:val="20"/>
          <w:szCs w:val="20"/>
          <w:color w:val="auto"/>
        </w:rPr>
      </w:pPr>
      <w:r>
        <w:rPr>
          <w:rFonts w:ascii="Courier New" w:cs="Courier New" w:eastAsia="Courier New" w:hAnsi="Courier New"/>
          <w:sz w:val="18"/>
          <w:szCs w:val="18"/>
          <w:color w:val="auto"/>
        </w:rPr>
        <w:t>Residing at</w:t>
      </w:r>
      <w:r>
        <w:rPr>
          <w:sz w:val="20"/>
          <w:szCs w:val="20"/>
          <w:color w:val="auto"/>
        </w:rPr>
        <w:tab/>
      </w:r>
      <w:r>
        <w:rPr>
          <w:rFonts w:ascii="Courier New" w:cs="Courier New" w:eastAsia="Courier New" w:hAnsi="Courier New"/>
          <w:sz w:val="16"/>
          <w:szCs w:val="16"/>
          <w:color w:val="auto"/>
        </w:rPr>
        <w:t>Boise, Idaho</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tabs>
          <w:tab w:leader="none" w:pos="6100" w:val="left"/>
        </w:tabs>
        <w:rPr>
          <w:sz w:val="20"/>
          <w:szCs w:val="20"/>
          <w:color w:val="auto"/>
        </w:rPr>
      </w:pPr>
      <w:r>
        <w:rPr>
          <w:rFonts w:ascii="Courier New" w:cs="Courier New" w:eastAsia="Courier New" w:hAnsi="Courier New"/>
          <w:sz w:val="18"/>
          <w:szCs w:val="18"/>
          <w:color w:val="auto"/>
        </w:rPr>
        <w:t>Commission Expires</w:t>
      </w:r>
      <w:r>
        <w:rPr>
          <w:sz w:val="20"/>
          <w:szCs w:val="20"/>
          <w:color w:val="auto"/>
        </w:rPr>
        <w:tab/>
      </w:r>
      <w:r>
        <w:rPr>
          <w:rFonts w:ascii="Courier New" w:cs="Courier New" w:eastAsia="Courier New" w:hAnsi="Courier New"/>
          <w:sz w:val="16"/>
          <w:szCs w:val="16"/>
          <w:color w:val="auto"/>
        </w:rPr>
        <w:t>10/21/97</w:t>
      </w:r>
    </w:p>
    <w:p>
      <w:pPr>
        <w:ind w:left="6020"/>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717" w:right="1440" w:bottom="1440" w:gutter="0" w:footer="0" w:header="0"/>
        </w:sectPr>
      </w:pPr>
    </w:p>
    <w:bookmarkStart w:id="59" w:name="page60"/>
    <w:bookmarkEnd w:id="59"/>
    <w:p>
      <w:pPr>
        <w:ind w:left="1380"/>
        <w:spacing w:after="0"/>
        <w:rPr>
          <w:sz w:val="20"/>
          <w:szCs w:val="20"/>
          <w:color w:val="auto"/>
        </w:rPr>
      </w:pPr>
      <w:r>
        <w:rPr>
          <w:rFonts w:ascii="Courier New" w:cs="Courier New" w:eastAsia="Courier New" w:hAnsi="Courier New"/>
          <w:sz w:val="18"/>
          <w:szCs w:val="18"/>
          <w:color w:val="auto"/>
        </w:rPr>
        <w:t>CERTIFICATE OF FOURTH AMENDMENT</w:t>
      </w:r>
    </w:p>
    <w:p>
      <w:pPr>
        <w:ind w:left="960"/>
        <w:spacing w:after="0" w:line="238" w:lineRule="auto"/>
        <w:rPr>
          <w:sz w:val="20"/>
          <w:szCs w:val="20"/>
          <w:color w:val="auto"/>
        </w:rPr>
      </w:pPr>
      <w:r>
        <w:rPr>
          <w:rFonts w:ascii="Courier New" w:cs="Courier New" w:eastAsia="Courier New" w:hAnsi="Courier New"/>
          <w:sz w:val="18"/>
          <w:szCs w:val="18"/>
          <w:color w:val="auto"/>
        </w:rPr>
        <w:t>TO THE CERTIFICATE OF INCORPORATION OF</w:t>
      </w:r>
    </w:p>
    <w:p>
      <w:pPr>
        <w:ind w:left="1700"/>
        <w:spacing w:after="0"/>
        <w:rPr>
          <w:sz w:val="20"/>
          <w:szCs w:val="20"/>
          <w:color w:val="auto"/>
        </w:rPr>
      </w:pPr>
      <w:r>
        <w:rPr>
          <w:rFonts w:ascii="Courier New" w:cs="Courier New" w:eastAsia="Courier New" w:hAnsi="Courier New"/>
          <w:sz w:val="18"/>
          <w:szCs w:val="18"/>
          <w:color w:val="auto"/>
        </w:rPr>
        <w:t>MICRON TECHNOLOGY, INC.</w:t>
      </w:r>
    </w:p>
    <w:p>
      <w:pPr>
        <w:spacing w:after="0" w:line="206" w:lineRule="exact"/>
        <w:rPr>
          <w:sz w:val="20"/>
          <w:szCs w:val="20"/>
          <w:color w:val="auto"/>
        </w:rPr>
      </w:pPr>
    </w:p>
    <w:p>
      <w:pPr>
        <w:ind w:right="3359" w:firstLine="527"/>
        <w:spacing w:after="0" w:line="268" w:lineRule="auto"/>
        <w:rPr>
          <w:sz w:val="20"/>
          <w:szCs w:val="20"/>
          <w:color w:val="auto"/>
        </w:rPr>
      </w:pPr>
      <w:r>
        <w:rPr>
          <w:rFonts w:ascii="Courier New" w:cs="Courier New" w:eastAsia="Courier New" w:hAnsi="Courier New"/>
          <w:sz w:val="16"/>
          <w:szCs w:val="16"/>
          <w:color w:val="auto"/>
        </w:rPr>
        <w:t>The undersigned, Steven R. Appleton, Chief Executive Officer and President and Cathy L. Smith, Corporate Secretary of</w:t>
      </w:r>
    </w:p>
    <w:p>
      <w:pPr>
        <w:ind w:right="2939"/>
        <w:spacing w:after="0" w:line="270" w:lineRule="auto"/>
        <w:rPr>
          <w:sz w:val="20"/>
          <w:szCs w:val="20"/>
          <w:color w:val="auto"/>
        </w:rPr>
      </w:pPr>
      <w:r>
        <w:rPr>
          <w:rFonts w:ascii="Courier New" w:cs="Courier New" w:eastAsia="Courier New" w:hAnsi="Courier New"/>
          <w:sz w:val="16"/>
          <w:szCs w:val="16"/>
          <w:color w:val="auto"/>
        </w:rPr>
        <w:t>Micron Technology, Inc. a Delaware corporation, hereby certify that the following amendment to the Certificate of Incorporation of Micron Technology, Inc. has been duly adopted in accordance with Section 242 of the General Corporation Law of the State of Delaware, as amended. Said amendment was adopted by a resolution of the Board of Directors on October 27, 1994 which set forth the proposed amendment, declared its advisability and directed that it be considered at the Company's Annual Meeting of Shareholders. At the regularly scheduled 1994 Annual Meeting of Shareholders duly held on January 30, 1995, after due notice thereof in accordance with applicable law, a majority of the outstanding stock entitled to vote thereon voted in favor of said amendment. Said amendment as adopted and approved amends paragraph 4 of the Certificate of Incorporation to read as follows:</w:t>
      </w:r>
    </w:p>
    <w:p>
      <w:pPr>
        <w:spacing w:after="0" w:line="185" w:lineRule="exact"/>
        <w:rPr>
          <w:sz w:val="20"/>
          <w:szCs w:val="20"/>
          <w:color w:val="auto"/>
        </w:rPr>
      </w:pPr>
    </w:p>
    <w:p>
      <w:pPr>
        <w:ind w:right="4099" w:firstLine="535"/>
        <w:spacing w:after="0" w:line="268" w:lineRule="auto"/>
        <w:tabs>
          <w:tab w:leader="none" w:pos="948"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shares of stock which the corporation shall have authority to issue is three hundred million (300,000,000) and the par value of each of</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such shares is Ten Cents ($0.10).</w:t>
      </w:r>
    </w:p>
    <w:p>
      <w:pPr>
        <w:spacing w:after="0" w:line="207" w:lineRule="exact"/>
        <w:rPr>
          <w:sz w:val="20"/>
          <w:szCs w:val="20"/>
          <w:color w:val="auto"/>
        </w:rPr>
      </w:pPr>
    </w:p>
    <w:p>
      <w:pPr>
        <w:ind w:right="3039" w:firstLine="527"/>
        <w:spacing w:after="0" w:line="236" w:lineRule="auto"/>
        <w:rPr>
          <w:sz w:val="20"/>
          <w:szCs w:val="20"/>
          <w:color w:val="auto"/>
        </w:rPr>
      </w:pPr>
      <w:r>
        <w:rPr>
          <w:rFonts w:ascii="Courier New" w:cs="Courier New" w:eastAsia="Courier New" w:hAnsi="Courier New"/>
          <w:sz w:val="18"/>
          <w:szCs w:val="18"/>
          <w:color w:val="auto"/>
        </w:rPr>
        <w:t>IN WITNESS WHEREOF, this Certificate of Fourth Amendment to the Company's Certificate of Incorporation have been executed this 30th day of January, 1995.</w:t>
      </w:r>
    </w:p>
    <w:p>
      <w:pPr>
        <w:spacing w:after="0" w:line="200" w:lineRule="exact"/>
        <w:rPr>
          <w:sz w:val="20"/>
          <w:szCs w:val="20"/>
          <w:color w:val="auto"/>
        </w:rPr>
      </w:pPr>
    </w:p>
    <w:p>
      <w:pPr>
        <w:spacing w:after="0" w:line="20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Steven R. Appleton</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rPr>
          <w:sz w:val="20"/>
          <w:szCs w:val="20"/>
          <w:color w:val="auto"/>
        </w:rPr>
      </w:pPr>
      <w:r>
        <w:rPr>
          <w:rFonts w:ascii="Courier New" w:cs="Courier New" w:eastAsia="Courier New" w:hAnsi="Courier New"/>
          <w:sz w:val="18"/>
          <w:szCs w:val="18"/>
          <w:color w:val="auto"/>
        </w:rPr>
        <w:t>Steven R. Appleton, Chairman,</w:t>
      </w:r>
    </w:p>
    <w:p>
      <w:pPr>
        <w:ind w:left="2740"/>
        <w:spacing w:after="0" w:line="237" w:lineRule="auto"/>
        <w:rPr>
          <w:sz w:val="20"/>
          <w:szCs w:val="20"/>
          <w:color w:val="auto"/>
        </w:rPr>
      </w:pPr>
      <w:r>
        <w:rPr>
          <w:rFonts w:ascii="Courier New" w:cs="Courier New" w:eastAsia="Courier New" w:hAnsi="Courier New"/>
          <w:sz w:val="18"/>
          <w:szCs w:val="18"/>
          <w:color w:val="auto"/>
        </w:rPr>
        <w:t>Chief Executive Officer and</w:t>
      </w:r>
    </w:p>
    <w:p>
      <w:pPr>
        <w:ind w:left="274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Cathy L. Smith</w:t>
      </w:r>
    </w:p>
    <w:p>
      <w:pPr>
        <w:ind w:left="220" w:hanging="212"/>
        <w:spacing w:after="0" w:line="238" w:lineRule="auto"/>
        <w:tabs>
          <w:tab w:leader="none" w:pos="2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Cathy L. Smith, Corporate Secretary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I, Sherilyn Maxfield, a notary public, do hereby certify that on this 30th day of January, 1995, personally appeared before me Steven R. Appleton and Cathy L. Smith who, being by me first duly sworn, declared that they are the Chairman, Chief Executive Officer and President and Corporate Secretary, respectively, of Micron Technology, Inc., that they signed the foregoing document as Chairman, Chief Executive Officer and President and Corporate Secretary of the corporation, and that the statements therein contained are true.</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Sherilyn Maxfield</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Notary Public</w:t>
      </w:r>
    </w:p>
    <w:p>
      <w:pPr>
        <w:ind w:left="4020"/>
        <w:spacing w:after="0"/>
        <w:tabs>
          <w:tab w:leader="none" w:pos="5460" w:val="left"/>
        </w:tabs>
        <w:rPr>
          <w:sz w:val="20"/>
          <w:szCs w:val="20"/>
          <w:color w:val="auto"/>
        </w:rPr>
      </w:pPr>
      <w:r>
        <w:rPr>
          <w:rFonts w:ascii="Courier New" w:cs="Courier New" w:eastAsia="Courier New" w:hAnsi="Courier New"/>
          <w:sz w:val="18"/>
          <w:szCs w:val="18"/>
          <w:color w:val="auto"/>
        </w:rPr>
        <w:t>Residing at</w:t>
      </w:r>
      <w:r>
        <w:rPr>
          <w:sz w:val="20"/>
          <w:szCs w:val="20"/>
          <w:color w:val="auto"/>
        </w:rPr>
        <w:tab/>
      </w:r>
      <w:r>
        <w:rPr>
          <w:rFonts w:ascii="Courier New" w:cs="Courier New" w:eastAsia="Courier New" w:hAnsi="Courier New"/>
          <w:sz w:val="16"/>
          <w:szCs w:val="16"/>
          <w:color w:val="auto"/>
        </w:rPr>
        <w:t>Ada County</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tabs>
          <w:tab w:leader="none" w:pos="6100" w:val="left"/>
        </w:tabs>
        <w:rPr>
          <w:sz w:val="20"/>
          <w:szCs w:val="20"/>
          <w:color w:val="auto"/>
        </w:rPr>
      </w:pPr>
      <w:r>
        <w:rPr>
          <w:rFonts w:ascii="Courier New" w:cs="Courier New" w:eastAsia="Courier New" w:hAnsi="Courier New"/>
          <w:sz w:val="18"/>
          <w:szCs w:val="18"/>
          <w:color w:val="auto"/>
        </w:rPr>
        <w:t>Commission Expires</w:t>
      </w:r>
      <w:r>
        <w:rPr>
          <w:sz w:val="20"/>
          <w:szCs w:val="20"/>
          <w:color w:val="auto"/>
        </w:rPr>
        <w:tab/>
      </w:r>
      <w:r>
        <w:rPr>
          <w:rFonts w:ascii="Courier New" w:cs="Courier New" w:eastAsia="Courier New" w:hAnsi="Courier New"/>
          <w:sz w:val="16"/>
          <w:szCs w:val="16"/>
          <w:color w:val="auto"/>
        </w:rPr>
        <w:t>10/21/97</w:t>
      </w:r>
    </w:p>
    <w:p>
      <w:pPr>
        <w:ind w:left="6020"/>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514" w:right="1440" w:bottom="1440" w:gutter="0" w:footer="0" w:header="0"/>
        </w:sectPr>
      </w:pPr>
    </w:p>
    <w:bookmarkStart w:id="60" w:name="page61"/>
    <w:bookmarkEnd w:id="60"/>
    <w:p>
      <w:pPr>
        <w:ind w:left="2640"/>
        <w:spacing w:after="0"/>
        <w:rPr>
          <w:sz w:val="20"/>
          <w:szCs w:val="20"/>
          <w:color w:val="auto"/>
        </w:rPr>
      </w:pPr>
      <w:r>
        <w:rPr>
          <w:rFonts w:ascii="Courier New" w:cs="Courier New" w:eastAsia="Courier New" w:hAnsi="Courier New"/>
          <w:sz w:val="18"/>
          <w:szCs w:val="18"/>
          <w:color w:val="auto"/>
        </w:rPr>
        <w:t>EXHIBIT 3.7</w:t>
      </w:r>
    </w:p>
    <w:p>
      <w:pPr>
        <w:spacing w:after="0" w:line="201"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BYLAWS</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OFFICES</w:t>
      </w:r>
    </w:p>
    <w:p>
      <w:pPr>
        <w:spacing w:after="0" w:line="207" w:lineRule="exact"/>
        <w:rPr>
          <w:sz w:val="20"/>
          <w:szCs w:val="20"/>
          <w:color w:val="auto"/>
        </w:rPr>
      </w:pPr>
    </w:p>
    <w:p>
      <w:pPr>
        <w:ind w:right="3999" w:firstLine="527"/>
        <w:spacing w:after="0" w:line="236" w:lineRule="auto"/>
        <w:rPr>
          <w:sz w:val="20"/>
          <w:szCs w:val="20"/>
          <w:color w:val="auto"/>
        </w:rPr>
      </w:pPr>
      <w:r>
        <w:rPr>
          <w:rFonts w:ascii="Courier New" w:cs="Courier New" w:eastAsia="Courier New" w:hAnsi="Courier New"/>
          <w:sz w:val="18"/>
          <w:szCs w:val="18"/>
          <w:color w:val="auto"/>
        </w:rPr>
        <w:t>SECTION 1. The registered office shall be 100 West Tenth Street, in the City of Wilmington, County of New Castle, State of Delaware.</w:t>
      </w:r>
    </w:p>
    <w:p>
      <w:pPr>
        <w:spacing w:after="0" w:line="209"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SECTION 2. The corporation may also have offices at such other places both within and without the State of Delaware as the Board of Directors may from time to time determine or the business of the corporation may require.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MEETINGS OF STOCKHOLDERS</w:t>
      </w:r>
    </w:p>
    <w:p>
      <w:pPr>
        <w:spacing w:after="0" w:line="207"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SECTION 1. All meetings of the stockholders shall be held at the principal office of the corporation in the City of Boise, State of Idaho, or at such other place either within or without the State of Delaware as shall be designated in the notice of the meeting or in a duly executed waiver of notice thereof.</w:t>
      </w:r>
    </w:p>
    <w:p>
      <w:pPr>
        <w:spacing w:after="0" w:line="210"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SECTION 2. Annual meetings of stockholders shall be held on such day and such hour as shall be designated from time to time by the Board of Directors and stated in the notice of the meeting. At such meeting, the stockholders shall elect a Board of Directors and transact such other business as may properly be brought before the meeting.</w:t>
      </w:r>
    </w:p>
    <w:p>
      <w:pPr>
        <w:spacing w:after="0" w:line="210" w:lineRule="exact"/>
        <w:rPr>
          <w:sz w:val="20"/>
          <w:szCs w:val="20"/>
          <w:color w:val="auto"/>
        </w:rPr>
      </w:pPr>
    </w:p>
    <w:p>
      <w:pPr>
        <w:ind w:right="4099" w:firstLine="527"/>
        <w:spacing w:after="0" w:line="237" w:lineRule="auto"/>
        <w:rPr>
          <w:sz w:val="20"/>
          <w:szCs w:val="20"/>
          <w:color w:val="auto"/>
        </w:rPr>
      </w:pPr>
      <w:r>
        <w:rPr>
          <w:rFonts w:ascii="Courier New" w:cs="Courier New" w:eastAsia="Courier New" w:hAnsi="Courier New"/>
          <w:sz w:val="18"/>
          <w:szCs w:val="18"/>
          <w:color w:val="auto"/>
        </w:rPr>
        <w:t>SECTION 3. Written notice of the annual meeting stating the place, date and hour of the meeting shall be given to each stockholder entitled to vote at such meeting not less than ten nor more than sixty days before the date of the meeting.</w:t>
      </w:r>
    </w:p>
    <w:p>
      <w:pPr>
        <w:spacing w:after="0" w:line="209" w:lineRule="exact"/>
        <w:rPr>
          <w:sz w:val="20"/>
          <w:szCs w:val="20"/>
          <w:color w:val="auto"/>
        </w:rPr>
      </w:pPr>
    </w:p>
    <w:p>
      <w:pPr>
        <w:ind w:right="3999" w:firstLine="527"/>
        <w:spacing w:after="0" w:line="272" w:lineRule="auto"/>
        <w:rPr>
          <w:sz w:val="20"/>
          <w:szCs w:val="20"/>
          <w:color w:val="auto"/>
        </w:rPr>
      </w:pPr>
      <w:r>
        <w:rPr>
          <w:rFonts w:ascii="Courier New" w:cs="Courier New" w:eastAsia="Courier New" w:hAnsi="Courier New"/>
          <w:sz w:val="16"/>
          <w:szCs w:val="16"/>
          <w:color w:val="auto"/>
        </w:rPr>
        <w:t>SECTION 4. The officer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w:t>
      </w:r>
    </w:p>
    <w:p>
      <w:pPr>
        <w:spacing w:after="0" w:line="361" w:lineRule="exact"/>
        <w:rPr>
          <w:sz w:val="20"/>
          <w:szCs w:val="20"/>
          <w:color w:val="auto"/>
        </w:rPr>
      </w:pPr>
    </w:p>
    <w:p>
      <w:pPr>
        <w:ind w:right="3899"/>
        <w:spacing w:after="0" w:line="270" w:lineRule="auto"/>
        <w:rPr>
          <w:sz w:val="20"/>
          <w:szCs w:val="20"/>
          <w:color w:val="auto"/>
        </w:rPr>
      </w:pPr>
      <w:r>
        <w:rPr>
          <w:rFonts w:ascii="Courier New" w:cs="Courier New" w:eastAsia="Courier New" w:hAnsi="Courier New"/>
          <w:sz w:val="16"/>
          <w:szCs w:val="16"/>
          <w:color w:val="auto"/>
        </w:rPr>
        <w:t>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89"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SECTION 5. Special meetings of the stockholders, for any purpose or purposes, unless otherwise prescribed by statute or by the Certificate of Incorporation, may be called by the Board of Directors, the Chairman of the Board, the president, or by the holders of shares entitled to cast not less than twenty percent (20%) of the votes at the meeting. Such request shall state the purpose or purposes of the proposed meeting.</w:t>
      </w:r>
    </w:p>
    <w:p>
      <w:pPr>
        <w:spacing w:after="0" w:line="212" w:lineRule="exact"/>
        <w:rPr>
          <w:sz w:val="20"/>
          <w:szCs w:val="20"/>
          <w:color w:val="auto"/>
        </w:rPr>
      </w:pPr>
    </w:p>
    <w:p>
      <w:pPr>
        <w:ind w:right="4099" w:firstLine="527"/>
        <w:spacing w:after="0" w:line="237" w:lineRule="auto"/>
        <w:rPr>
          <w:sz w:val="20"/>
          <w:szCs w:val="20"/>
          <w:color w:val="auto"/>
        </w:rPr>
      </w:pPr>
      <w:r>
        <w:rPr>
          <w:rFonts w:ascii="Courier New" w:cs="Courier New" w:eastAsia="Courier New" w:hAnsi="Courier New"/>
          <w:sz w:val="18"/>
          <w:szCs w:val="18"/>
          <w:color w:val="auto"/>
        </w:rPr>
        <w:t>SECTION 6. Written notice of a special meeting stating the place, date and hour of the meeting and the purpose or purposes for which the meeting is called, shall be given to each stockholder entitled to vote at such meeting not less than ten nor more than sixty days before the date of the meeting.</w:t>
      </w:r>
    </w:p>
    <w:p>
      <w:pPr>
        <w:sectPr>
          <w:pgSz w:w="11900" w:h="16838" w:orient="portrait"/>
          <w:cols w:equalWidth="0" w:num="1">
            <w:col w:w="10219"/>
          </w:cols>
          <w:pgMar w:left="240" w:top="136" w:right="1440" w:bottom="0" w:gutter="0" w:footer="0" w:header="0"/>
        </w:sectPr>
      </w:pPr>
    </w:p>
    <w:bookmarkStart w:id="61" w:name="page62"/>
    <w:bookmarkEnd w:id="61"/>
    <w:p>
      <w:pPr>
        <w:ind w:right="4319" w:firstLine="527"/>
        <w:spacing w:after="0" w:line="236" w:lineRule="auto"/>
        <w:rPr>
          <w:sz w:val="20"/>
          <w:szCs w:val="20"/>
          <w:color w:val="auto"/>
        </w:rPr>
      </w:pPr>
      <w:r>
        <w:rPr>
          <w:rFonts w:ascii="Courier New" w:cs="Courier New" w:eastAsia="Courier New" w:hAnsi="Courier New"/>
          <w:sz w:val="18"/>
          <w:szCs w:val="18"/>
          <w:color w:val="auto"/>
        </w:rPr>
        <w:t>SECTION 7. Business transacted at any special meeting of stockholders shall be limited to the purposes stated in the notice.</w:t>
      </w:r>
    </w:p>
    <w:p>
      <w:pPr>
        <w:spacing w:after="0" w:line="209" w:lineRule="exact"/>
        <w:rPr>
          <w:sz w:val="20"/>
          <w:szCs w:val="20"/>
          <w:color w:val="auto"/>
        </w:rPr>
      </w:pPr>
    </w:p>
    <w:p>
      <w:pPr>
        <w:ind w:right="3899" w:firstLine="527"/>
        <w:spacing w:after="0" w:line="269" w:lineRule="auto"/>
        <w:rPr>
          <w:sz w:val="20"/>
          <w:szCs w:val="20"/>
          <w:color w:val="auto"/>
        </w:rPr>
      </w:pPr>
      <w:r>
        <w:rPr>
          <w:rFonts w:ascii="Courier New" w:cs="Courier New" w:eastAsia="Courier New" w:hAnsi="Courier New"/>
          <w:sz w:val="16"/>
          <w:szCs w:val="16"/>
          <w:color w:val="auto"/>
        </w:rPr>
        <w:t>SECTION 8. The holders of a majority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If the adjournment is for more than thirty days, or if after the adjournment a new record date is fixed for the adjourned meeting, a notice of the adjourned meeting shall be given to each stockholder of record entitled to vote at the meeting.</w:t>
      </w:r>
    </w:p>
    <w:p>
      <w:pPr>
        <w:spacing w:after="0" w:line="395" w:lineRule="exact"/>
        <w:rPr>
          <w:sz w:val="20"/>
          <w:szCs w:val="20"/>
          <w:color w:val="auto"/>
        </w:rPr>
      </w:pPr>
    </w:p>
    <w:p>
      <w:pPr>
        <w:ind w:right="3899" w:firstLine="527"/>
        <w:spacing w:after="0" w:line="235" w:lineRule="auto"/>
        <w:rPr>
          <w:sz w:val="20"/>
          <w:szCs w:val="20"/>
          <w:color w:val="auto"/>
        </w:rPr>
      </w:pPr>
      <w:r>
        <w:rPr>
          <w:rFonts w:ascii="Courier New" w:cs="Courier New" w:eastAsia="Courier New" w:hAnsi="Courier New"/>
          <w:sz w:val="18"/>
          <w:szCs w:val="18"/>
          <w:color w:val="auto"/>
        </w:rPr>
        <w:t>SECTION 9. When a quorum is present at any meeting, the vote of the holders of a majority of the stock having</w:t>
      </w:r>
    </w:p>
    <w:p>
      <w:pPr>
        <w:sectPr>
          <w:pgSz w:w="11900" w:h="16838" w:orient="portrait"/>
          <w:cols w:equalWidth="0" w:num="1">
            <w:col w:w="10219"/>
          </w:cols>
          <w:pgMar w:left="240" w:top="344" w:right="1440" w:bottom="1440" w:gutter="0" w:footer="0" w:header="0"/>
        </w:sectPr>
      </w:pPr>
    </w:p>
    <w:bookmarkStart w:id="62" w:name="page63"/>
    <w:bookmarkEnd w:id="62"/>
    <w:p>
      <w:pPr>
        <w:ind w:right="3899"/>
        <w:spacing w:after="0" w:line="272" w:lineRule="auto"/>
        <w:rPr>
          <w:sz w:val="20"/>
          <w:szCs w:val="20"/>
          <w:color w:val="auto"/>
        </w:rPr>
      </w:pPr>
      <w:r>
        <w:rPr>
          <w:rFonts w:ascii="Courier New" w:cs="Courier New" w:eastAsia="Courier New" w:hAnsi="Courier New"/>
          <w:sz w:val="16"/>
          <w:szCs w:val="16"/>
          <w:color w:val="auto"/>
        </w:rPr>
        <w:t>voting power present in person or represented by proxy shall decide any question brought before such meeting, unless the question is one upon which by express provision of the statutes or of the Certificate of Incorporation, a different vote is required in which case such express provision shall govern and control the decision of the question.</w:t>
      </w:r>
    </w:p>
    <w:p>
      <w:pPr>
        <w:spacing w:after="0" w:line="186"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SECTION 10. Unless otherwise provided in the Certificate of Incorporation, each stockholder shall at every meeting of the stockholders be entitled to one vote in person or by proxy for each share of the capital stock having voting power held by such stockholder, regardless of class, but no proxy shall be voted on or after three years from its date, unless the proxy provides for a longer period. Vote may be viva voice or by ballot; provided, however, that elections for directors must be by ballot upon demand by a shareholder at the meeting and before the voting begins.</w:t>
      </w:r>
    </w:p>
    <w:p>
      <w:pPr>
        <w:spacing w:after="0" w:line="216" w:lineRule="exact"/>
        <w:rPr>
          <w:sz w:val="20"/>
          <w:szCs w:val="20"/>
          <w:color w:val="auto"/>
        </w:rPr>
      </w:pPr>
    </w:p>
    <w:p>
      <w:pPr>
        <w:ind w:right="4099" w:firstLine="527"/>
        <w:spacing w:after="0" w:line="237" w:lineRule="auto"/>
        <w:rPr>
          <w:sz w:val="20"/>
          <w:szCs w:val="20"/>
          <w:color w:val="auto"/>
        </w:rPr>
      </w:pPr>
      <w:r>
        <w:rPr>
          <w:rFonts w:ascii="Courier New" w:cs="Courier New" w:eastAsia="Courier New" w:hAnsi="Courier New"/>
          <w:sz w:val="18"/>
          <w:szCs w:val="18"/>
          <w:color w:val="auto"/>
        </w:rPr>
        <w:t>At all elections of directors of the corporation each stockholder having voting power shall be entitled to exercise the right of cumulative voting as provided in the Certificate of Incorporation.</w:t>
      </w:r>
    </w:p>
    <w:p>
      <w:pPr>
        <w:spacing w:after="0" w:line="207" w:lineRule="exact"/>
        <w:rPr>
          <w:sz w:val="20"/>
          <w:szCs w:val="20"/>
          <w:color w:val="auto"/>
        </w:rPr>
      </w:pPr>
    </w:p>
    <w:p>
      <w:pPr>
        <w:ind w:right="3899" w:firstLine="527"/>
        <w:spacing w:after="0" w:line="238" w:lineRule="auto"/>
        <w:rPr>
          <w:sz w:val="20"/>
          <w:szCs w:val="20"/>
          <w:color w:val="auto"/>
        </w:rPr>
      </w:pPr>
      <w:r>
        <w:rPr>
          <w:rFonts w:ascii="Courier New" w:cs="Courier New" w:eastAsia="Courier New" w:hAnsi="Courier New"/>
          <w:sz w:val="18"/>
          <w:szCs w:val="18"/>
          <w:color w:val="auto"/>
        </w:rPr>
        <w:t>SECTION 11. Unless otherwise provided in the Certificate of Incorporation, any action required to be taken at any annual or special meeting of stockholders of the corporation, or any action which may be taken at any annual or special meeting of the stockholders, may be taken without a meeting, without prior notice and without a vote, of a consent in writing, setting forth the action so taken, shall be signed by the holders of outstanding stock having not less than the minimum number of votes that would be necessary to authorize or take such action at a meeting at which notice of the taking of the corporate action without a meeting by less than unanimous written consent shall be given to those stockholders who have not consented in writing.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7" w:lineRule="exact"/>
        <w:rPr>
          <w:sz w:val="20"/>
          <w:szCs w:val="20"/>
          <w:color w:val="auto"/>
        </w:rPr>
      </w:pPr>
    </w:p>
    <w:p>
      <w:pPr>
        <w:ind w:right="4199" w:firstLine="527"/>
        <w:spacing w:after="0" w:line="237" w:lineRule="auto"/>
        <w:rPr>
          <w:sz w:val="20"/>
          <w:szCs w:val="20"/>
          <w:color w:val="auto"/>
        </w:rPr>
      </w:pPr>
      <w:r>
        <w:rPr>
          <w:rFonts w:ascii="Courier New" w:cs="Courier New" w:eastAsia="Courier New" w:hAnsi="Courier New"/>
          <w:sz w:val="18"/>
          <w:szCs w:val="18"/>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210" w:lineRule="exact"/>
        <w:rPr>
          <w:sz w:val="20"/>
          <w:szCs w:val="20"/>
          <w:color w:val="auto"/>
        </w:rPr>
      </w:pPr>
    </w:p>
    <w:p>
      <w:pPr>
        <w:ind w:right="4099" w:firstLine="527"/>
        <w:spacing w:after="0" w:line="235" w:lineRule="auto"/>
        <w:rPr>
          <w:sz w:val="20"/>
          <w:szCs w:val="20"/>
          <w:color w:val="auto"/>
        </w:rPr>
      </w:pPr>
      <w:r>
        <w:rPr>
          <w:rFonts w:ascii="Courier New" w:cs="Courier New" w:eastAsia="Courier New" w:hAnsi="Courier New"/>
          <w:sz w:val="18"/>
          <w:szCs w:val="18"/>
          <w:color w:val="auto"/>
        </w:rPr>
        <w:t>SECTION 2. The directors shall be elected at each annual meeting of shareholders, but if any such annual</w:t>
      </w:r>
    </w:p>
    <w:p>
      <w:pPr>
        <w:sectPr>
          <w:pgSz w:w="11900" w:h="16838" w:orient="portrait"/>
          <w:cols w:equalWidth="0" w:num="1">
            <w:col w:w="10219"/>
          </w:cols>
          <w:pgMar w:left="240" w:top="520" w:right="1440" w:bottom="1440" w:gutter="0" w:footer="0" w:header="0"/>
        </w:sectPr>
      </w:pPr>
    </w:p>
    <w:bookmarkStart w:id="63" w:name="page64"/>
    <w:bookmarkEnd w:id="63"/>
    <w:p>
      <w:pPr>
        <w:ind w:right="3899"/>
        <w:spacing w:after="0" w:line="271" w:lineRule="auto"/>
        <w:rPr>
          <w:sz w:val="20"/>
          <w:szCs w:val="20"/>
          <w:color w:val="auto"/>
        </w:rPr>
      </w:pPr>
      <w:r>
        <w:rPr>
          <w:rFonts w:ascii="Courier New" w:cs="Courier New" w:eastAsia="Courier New" w:hAnsi="Courier New"/>
          <w:sz w:val="16"/>
          <w:szCs w:val="16"/>
          <w:color w:val="auto"/>
        </w:rPr>
        <w:t>meeting is not held, or the directors are not elected thereat, the directors may be elected at any special meeting of the shareholders held for that purpose. All directors shall hold office until the expiration of the term for which elected and until their respective successors are elected, except in the case of death, resignation or removal of any director. A director need not be a shareholder.</w:t>
      </w:r>
    </w:p>
    <w:p>
      <w:pPr>
        <w:spacing w:after="0" w:line="188"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SECTION 3. Any director may resign effective upon giving written notice to the Chairman of the Board, the President, the Secretary or the Board of Directors of the corporation, unless the notice specifies a late time for the effectiveness of such resignation. If the resignation is effective at a future time, a successor may be elected to take office when the resignation becomes effective.</w:t>
      </w:r>
    </w:p>
    <w:p>
      <w:pPr>
        <w:spacing w:after="0" w:line="211"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SECTION 4. The entire Board of Directors or any individual director may be removed from office, prior to the expiration of their or his term of office only in the manner and within the limitations provided by the General Corporation Law of Delaware.</w:t>
      </w:r>
    </w:p>
    <w:p>
      <w:pPr>
        <w:spacing w:after="0" w:line="209" w:lineRule="exact"/>
        <w:rPr>
          <w:sz w:val="20"/>
          <w:szCs w:val="20"/>
          <w:color w:val="auto"/>
        </w:rPr>
      </w:pPr>
    </w:p>
    <w:p>
      <w:pPr>
        <w:ind w:right="3999" w:firstLine="527"/>
        <w:spacing w:after="0" w:line="236" w:lineRule="auto"/>
        <w:rPr>
          <w:sz w:val="20"/>
          <w:szCs w:val="20"/>
          <w:color w:val="auto"/>
        </w:rPr>
      </w:pPr>
      <w:r>
        <w:rPr>
          <w:rFonts w:ascii="Courier New" w:cs="Courier New" w:eastAsia="Courier New" w:hAnsi="Courier New"/>
          <w:sz w:val="18"/>
          <w:szCs w:val="18"/>
          <w:color w:val="auto"/>
        </w:rPr>
        <w:t>No reduction of the authorized number of directors shall have the effect of removing any director prior to the expiration of such director's term of office.</w:t>
      </w:r>
    </w:p>
    <w:p>
      <w:pPr>
        <w:spacing w:after="0" w:line="209" w:lineRule="exact"/>
        <w:rPr>
          <w:sz w:val="20"/>
          <w:szCs w:val="20"/>
          <w:color w:val="auto"/>
        </w:rPr>
      </w:pPr>
    </w:p>
    <w:p>
      <w:pPr>
        <w:ind w:right="4099" w:firstLine="527"/>
        <w:spacing w:after="0" w:line="237" w:lineRule="auto"/>
        <w:rPr>
          <w:sz w:val="20"/>
          <w:szCs w:val="20"/>
          <w:color w:val="auto"/>
        </w:rPr>
      </w:pPr>
      <w:r>
        <w:rPr>
          <w:rFonts w:ascii="Courier New" w:cs="Courier New" w:eastAsia="Courier New" w:hAnsi="Courier New"/>
          <w:sz w:val="18"/>
          <w:szCs w:val="18"/>
          <w:color w:val="auto"/>
        </w:rPr>
        <w:t>SECTION 5. A vacancy in the Board of Directors shall be deemed to exist in case of the death, resignation or removal of any director, or if the authorized number of directors be increased, or if the shareholders fail at any annual or special meeting of shareholders at which any director or directors are elected to elect the full authorized number of directors to be voted for at that meeting.</w:t>
      </w:r>
    </w:p>
    <w:p>
      <w:pPr>
        <w:spacing w:after="0" w:line="212" w:lineRule="exact"/>
        <w:rPr>
          <w:sz w:val="20"/>
          <w:szCs w:val="20"/>
          <w:color w:val="auto"/>
        </w:rPr>
      </w:pPr>
    </w:p>
    <w:p>
      <w:pPr>
        <w:ind w:right="3899" w:firstLine="527"/>
        <w:spacing w:after="0" w:line="271" w:lineRule="auto"/>
        <w:rPr>
          <w:sz w:val="20"/>
          <w:szCs w:val="20"/>
          <w:color w:val="auto"/>
        </w:rPr>
      </w:pPr>
      <w:r>
        <w:rPr>
          <w:rFonts w:ascii="Courier New" w:cs="Courier New" w:eastAsia="Courier New" w:hAnsi="Courier New"/>
          <w:sz w:val="16"/>
          <w:szCs w:val="16"/>
          <w:color w:val="auto"/>
        </w:rPr>
        <w:t>Vacancies in the Board of Directors may be filled by a majority of the directors then in office, whether or not less than a quorum, or by a sole remaining director. Each director so elected shall hold office until the expiration of the term for which he was elected and until his successor is elected at an annual or a special meeting of the shareholders, or until his death, resignation or removal.</w:t>
      </w:r>
    </w:p>
    <w:p>
      <w:pPr>
        <w:spacing w:after="0" w:line="188" w:lineRule="exact"/>
        <w:rPr>
          <w:sz w:val="20"/>
          <w:szCs w:val="20"/>
          <w:color w:val="auto"/>
        </w:rPr>
      </w:pPr>
    </w:p>
    <w:p>
      <w:pPr>
        <w:ind w:right="3999" w:firstLine="527"/>
        <w:spacing w:after="0" w:line="237" w:lineRule="auto"/>
        <w:rPr>
          <w:sz w:val="20"/>
          <w:szCs w:val="20"/>
          <w:color w:val="auto"/>
        </w:rPr>
      </w:pPr>
      <w:r>
        <w:rPr>
          <w:rFonts w:ascii="Courier New" w:cs="Courier New" w:eastAsia="Courier New" w:hAnsi="Courier New"/>
          <w:sz w:val="18"/>
          <w:szCs w:val="18"/>
          <w:color w:val="auto"/>
        </w:rPr>
        <w:t>The shareholders may elect a director or directors at any time to fill any vacancy or vacancies not filled by the directors. Any such election by written consent shall require the consent of a majority of the outstanding shares entitled to vote.</w:t>
      </w:r>
    </w:p>
    <w:p>
      <w:pPr>
        <w:spacing w:after="0" w:line="209" w:lineRule="exact"/>
        <w:rPr>
          <w:sz w:val="20"/>
          <w:szCs w:val="20"/>
          <w:color w:val="auto"/>
        </w:rPr>
      </w:pPr>
    </w:p>
    <w:p>
      <w:pPr>
        <w:jc w:val="both"/>
        <w:ind w:right="3899" w:firstLine="527"/>
        <w:spacing w:after="0" w:line="275" w:lineRule="auto"/>
        <w:rPr>
          <w:sz w:val="20"/>
          <w:szCs w:val="20"/>
          <w:color w:val="auto"/>
        </w:rPr>
      </w:pPr>
      <w:r>
        <w:rPr>
          <w:rFonts w:ascii="Courier New" w:cs="Courier New" w:eastAsia="Courier New" w:hAnsi="Courier New"/>
          <w:sz w:val="16"/>
          <w:szCs w:val="16"/>
          <w:color w:val="auto"/>
        </w:rPr>
        <w:t>SECTION 6. The business of the corporation shall be managed by or under the direction of its Board of Directors which may exercise all such powers of the corporation and do all such lawful acts and things as are not by statute or by</w:t>
      </w:r>
    </w:p>
    <w:p>
      <w:pPr>
        <w:sectPr>
          <w:pgSz w:w="11900" w:h="16838" w:orient="portrait"/>
          <w:cols w:equalWidth="0" w:num="1">
            <w:col w:w="10219"/>
          </w:cols>
          <w:pgMar w:left="240" w:top="520" w:right="1440" w:bottom="1440" w:gutter="0" w:footer="0" w:header="0"/>
        </w:sectPr>
      </w:pPr>
    </w:p>
    <w:bookmarkStart w:id="64" w:name="page65"/>
    <w:bookmarkEnd w:id="64"/>
    <w:p>
      <w:pPr>
        <w:ind w:right="3899"/>
        <w:spacing w:after="0" w:line="235" w:lineRule="auto"/>
        <w:rPr>
          <w:sz w:val="20"/>
          <w:szCs w:val="20"/>
          <w:color w:val="auto"/>
        </w:rPr>
      </w:pPr>
      <w:r>
        <w:rPr>
          <w:rFonts w:ascii="Courier New" w:cs="Courier New" w:eastAsia="Courier New" w:hAnsi="Courier New"/>
          <w:sz w:val="18"/>
          <w:szCs w:val="18"/>
          <w:color w:val="auto"/>
        </w:rPr>
        <w:t>the Certificate of Incorporation or these Bylaws directed or required to be exercised or done by the stockholders.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MEETINGS OF THE BOARD OF DIRECTORS</w:t>
      </w:r>
    </w:p>
    <w:p>
      <w:pPr>
        <w:spacing w:after="0" w:line="207" w:lineRule="exact"/>
        <w:rPr>
          <w:sz w:val="20"/>
          <w:szCs w:val="20"/>
          <w:color w:val="auto"/>
        </w:rPr>
      </w:pPr>
    </w:p>
    <w:p>
      <w:pPr>
        <w:ind w:right="4319" w:firstLine="527"/>
        <w:spacing w:after="0" w:line="279" w:lineRule="auto"/>
        <w:rPr>
          <w:sz w:val="20"/>
          <w:szCs w:val="20"/>
          <w:color w:val="auto"/>
        </w:rPr>
      </w:pPr>
      <w:r>
        <w:rPr>
          <w:rFonts w:ascii="Courier New" w:cs="Courier New" w:eastAsia="Courier New" w:hAnsi="Courier New"/>
          <w:sz w:val="16"/>
          <w:szCs w:val="16"/>
          <w:color w:val="auto"/>
        </w:rPr>
        <w:t>SECTION 7. The Board of Directors of the corporation may hold meetings, both regular and special, either within or without the State of Delaware.</w:t>
      </w:r>
    </w:p>
    <w:p>
      <w:pPr>
        <w:spacing w:after="0" w:line="178" w:lineRule="exact"/>
        <w:rPr>
          <w:sz w:val="20"/>
          <w:szCs w:val="20"/>
          <w:color w:val="auto"/>
        </w:rPr>
      </w:pPr>
    </w:p>
    <w:p>
      <w:pPr>
        <w:ind w:right="3899" w:firstLine="527"/>
        <w:spacing w:after="0" w:line="270" w:lineRule="auto"/>
        <w:rPr>
          <w:sz w:val="20"/>
          <w:szCs w:val="20"/>
          <w:color w:val="auto"/>
        </w:rPr>
      </w:pPr>
      <w:r>
        <w:rPr>
          <w:rFonts w:ascii="Courier New" w:cs="Courier New" w:eastAsia="Courier New" w:hAnsi="Courier New"/>
          <w:sz w:val="16"/>
          <w:szCs w:val="16"/>
          <w:color w:val="auto"/>
        </w:rPr>
        <w:t>SECTION 8. The first meeting of each newly elected Board of Directors shall be held at such time and place as shall be fixed by the vote of the stockholders at the annual meeting and no notice of such meeting shall be necessary to the newly elected directors in order legally to constitute the meeting, provided a quorum shall be present. In the event of the failure of the stockholders to fix the time or place of such first meeting of the newly elected Board of Directors, or in the event such meeting is not held at the time and place so fixed by the stockholders, the meeting may be held at such time and place as shall be specified in a notice given as hereinafter provided for special meetings of the Board of Directors, or as shall be specified in a written waiver signed by all of the directors.</w:t>
      </w:r>
    </w:p>
    <w:p>
      <w:pPr>
        <w:spacing w:after="0" w:line="388" w:lineRule="exact"/>
        <w:rPr>
          <w:sz w:val="20"/>
          <w:szCs w:val="20"/>
          <w:color w:val="auto"/>
        </w:rPr>
      </w:pPr>
    </w:p>
    <w:p>
      <w:pPr>
        <w:ind w:right="4099" w:firstLine="527"/>
        <w:spacing w:after="0" w:line="237" w:lineRule="auto"/>
        <w:rPr>
          <w:sz w:val="20"/>
          <w:szCs w:val="20"/>
          <w:color w:val="auto"/>
        </w:rPr>
      </w:pPr>
      <w:r>
        <w:rPr>
          <w:rFonts w:ascii="Courier New" w:cs="Courier New" w:eastAsia="Courier New" w:hAnsi="Courier New"/>
          <w:sz w:val="18"/>
          <w:szCs w:val="18"/>
          <w:color w:val="auto"/>
        </w:rPr>
        <w:t>SECTION 9. Regular meetings of the Board of Directors may be held without notice at such time and at such place as shall from time to time be determined by the Board.</w:t>
      </w:r>
    </w:p>
    <w:p>
      <w:pPr>
        <w:spacing w:after="0" w:line="207" w:lineRule="exact"/>
        <w:rPr>
          <w:sz w:val="20"/>
          <w:szCs w:val="20"/>
          <w:color w:val="auto"/>
        </w:rPr>
      </w:pPr>
    </w:p>
    <w:p>
      <w:pPr>
        <w:ind w:right="4099" w:firstLine="527"/>
        <w:spacing w:after="0" w:line="272" w:lineRule="auto"/>
        <w:rPr>
          <w:sz w:val="20"/>
          <w:szCs w:val="20"/>
          <w:color w:val="auto"/>
        </w:rPr>
      </w:pPr>
      <w:r>
        <w:rPr>
          <w:rFonts w:ascii="Courier New" w:cs="Courier New" w:eastAsia="Courier New" w:hAnsi="Courier New"/>
          <w:sz w:val="16"/>
          <w:szCs w:val="16"/>
          <w:color w:val="auto"/>
        </w:rPr>
        <w:t>SECTION 10. Special meetings of the Board may be called by the president on two days' notice to each director, either personally or by mail or by telegram; special meetings shall be called by the president or secretary in like manner and on like notice on the written request of the Chairman of the Board or two directors.</w:t>
      </w:r>
    </w:p>
    <w:p>
      <w:pPr>
        <w:spacing w:after="0" w:line="186" w:lineRule="exact"/>
        <w:rPr>
          <w:sz w:val="20"/>
          <w:szCs w:val="20"/>
          <w:color w:val="auto"/>
        </w:rPr>
      </w:pPr>
    </w:p>
    <w:p>
      <w:pPr>
        <w:ind w:right="3899" w:firstLine="527"/>
        <w:spacing w:after="0" w:line="238" w:lineRule="auto"/>
        <w:rPr>
          <w:sz w:val="20"/>
          <w:szCs w:val="20"/>
          <w:color w:val="auto"/>
        </w:rPr>
      </w:pPr>
      <w:r>
        <w:rPr>
          <w:rFonts w:ascii="Courier New" w:cs="Courier New" w:eastAsia="Courier New" w:hAnsi="Courier New"/>
          <w:sz w:val="18"/>
          <w:szCs w:val="18"/>
          <w:color w:val="auto"/>
        </w:rPr>
        <w:t>SECTION 11. At all meetings of the Board a majority of the authorized number of directors shall constitute a quorum for the transaction of business and the act of a majority of the directors present at any meeting at which there is a quorum shall be the act of the Board of Directors, except as may be otherwise specifically provided by statute or by the Certificate of Incorporation. If a quorum shall not be present at any meeting of the Board of Directors, the directors present thereat may adjourn the meeting from time to time, without notice other than announcement at the meeting, until a quorum shall be present.</w:t>
      </w:r>
    </w:p>
    <w:p>
      <w:pPr>
        <w:spacing w:after="0" w:line="207" w:lineRule="exact"/>
        <w:rPr>
          <w:sz w:val="20"/>
          <w:szCs w:val="20"/>
          <w:color w:val="auto"/>
        </w:rPr>
      </w:pPr>
    </w:p>
    <w:p>
      <w:pPr>
        <w:ind w:right="3899" w:firstLine="527"/>
        <w:spacing w:after="0" w:line="273" w:lineRule="auto"/>
        <w:rPr>
          <w:sz w:val="20"/>
          <w:szCs w:val="20"/>
          <w:color w:val="auto"/>
        </w:rPr>
      </w:pPr>
      <w:r>
        <w:rPr>
          <w:rFonts w:ascii="Courier New" w:cs="Courier New" w:eastAsia="Courier New" w:hAnsi="Courier New"/>
          <w:sz w:val="16"/>
          <w:szCs w:val="16"/>
          <w:color w:val="auto"/>
        </w:rPr>
        <w:t>SECTION 12. Unless otherwise restricted by the Certificate of Incorporation or these Bylaws, any action required or permitted to be taken at any meeting of the Board of Directors or of any committee thereof may be taken without a meeting, if all members of the Board or committee,</w:t>
      </w:r>
    </w:p>
    <w:p>
      <w:pPr>
        <w:sectPr>
          <w:pgSz w:w="11900" w:h="16838" w:orient="portrait"/>
          <w:cols w:equalWidth="0" w:num="1">
            <w:col w:w="10219"/>
          </w:cols>
          <w:pgMar w:left="240" w:top="520" w:right="1440" w:bottom="1440" w:gutter="0" w:footer="0" w:header="0"/>
        </w:sectPr>
      </w:pPr>
    </w:p>
    <w:bookmarkStart w:id="65" w:name="page66"/>
    <w:bookmarkEnd w:id="65"/>
    <w:p>
      <w:pPr>
        <w:ind w:right="4419"/>
        <w:spacing w:after="0" w:line="236" w:lineRule="auto"/>
        <w:rPr>
          <w:sz w:val="20"/>
          <w:szCs w:val="20"/>
          <w:color w:val="auto"/>
        </w:rPr>
      </w:pPr>
      <w:r>
        <w:rPr>
          <w:rFonts w:ascii="Courier New" w:cs="Courier New" w:eastAsia="Courier New" w:hAnsi="Courier New"/>
          <w:sz w:val="18"/>
          <w:szCs w:val="18"/>
          <w:color w:val="auto"/>
        </w:rPr>
        <w:t>as the case may be, consent thereto in writing, and the writing or writings are filed with the minutes of proceedings of the Board or committee.</w:t>
      </w:r>
    </w:p>
    <w:p>
      <w:pPr>
        <w:spacing w:after="0" w:line="203" w:lineRule="exact"/>
        <w:rPr>
          <w:sz w:val="20"/>
          <w:szCs w:val="20"/>
          <w:color w:val="auto"/>
        </w:rPr>
      </w:pP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SECTION 13.</w:t>
      </w:r>
      <w:r>
        <w:rPr>
          <w:sz w:val="20"/>
          <w:szCs w:val="20"/>
          <w:color w:val="auto"/>
        </w:rPr>
        <w:tab/>
      </w:r>
      <w:r>
        <w:rPr>
          <w:rFonts w:ascii="Courier New" w:cs="Courier New" w:eastAsia="Courier New" w:hAnsi="Courier New"/>
          <w:sz w:val="16"/>
          <w:szCs w:val="16"/>
          <w:color w:val="auto"/>
        </w:rPr>
        <w:t>Unless otherwise restricted by the</w:t>
      </w:r>
    </w:p>
    <w:p>
      <w:pPr>
        <w:spacing w:after="0" w:line="4"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Certificate of Incorporation or these Bylaws, members of the Board of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presence in person at the meeting.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COMMITTEES OF DIRECTORS</w:t>
      </w:r>
    </w:p>
    <w:p>
      <w:pPr>
        <w:spacing w:after="0" w:line="207" w:lineRule="exact"/>
        <w:rPr>
          <w:sz w:val="20"/>
          <w:szCs w:val="20"/>
          <w:color w:val="auto"/>
        </w:rPr>
      </w:pPr>
    </w:p>
    <w:p>
      <w:pPr>
        <w:ind w:right="3899" w:firstLine="527"/>
        <w:spacing w:after="0" w:line="269" w:lineRule="auto"/>
        <w:rPr>
          <w:sz w:val="20"/>
          <w:szCs w:val="20"/>
          <w:color w:val="auto"/>
        </w:rPr>
      </w:pPr>
      <w:r>
        <w:rPr>
          <w:rFonts w:ascii="Courier New" w:cs="Courier New" w:eastAsia="Courier New" w:hAnsi="Courier New"/>
          <w:sz w:val="16"/>
          <w:szCs w:val="16"/>
          <w:color w:val="auto"/>
        </w:rPr>
        <w:t>SECTION 14. The Board of Directors may, by resolution passed by a majority of the authorized number of directors, appoint an executive committee consisting of two or more of the directors of the corporation. The Board may designate one or more directors as alternate members of any committee, who may replace any absent or disqualified member at any meeting of the committee. The executive committee, to the extent provided in the resolution of the Board of Directors and subject to any limitation by statute, shall have and may exercise all the powers and authority of the Board of Directors in the management of the business and affairs of the corporation, and may authorize the seal of the corporation to be affixed to all papers which may require it; but it shall not have the power or authority in reference to amending the Certificate of Incorporation, adopting an agreement of merger or consolidation, recommending to the stockholders the sale, lease or exchange of all or substantially all the corporation's property and assets, recommending to the stockholders a dissolution of the corporation or a revocation of a dissolution, or amending the Bylaws of the corporation; and, unless the resolution or the Certificate of Incorporation expressly so provide, it shall not have the power or authority to declare a dividend or to authorize the issuance of stock.</w:t>
      </w:r>
    </w:p>
    <w:p>
      <w:pPr>
        <w:spacing w:after="0" w:line="200" w:lineRule="exact"/>
        <w:rPr>
          <w:sz w:val="20"/>
          <w:szCs w:val="20"/>
          <w:color w:val="auto"/>
        </w:rPr>
      </w:pPr>
    </w:p>
    <w:p>
      <w:pPr>
        <w:spacing w:after="0" w:line="395" w:lineRule="exact"/>
        <w:rPr>
          <w:sz w:val="20"/>
          <w:szCs w:val="20"/>
          <w:color w:val="auto"/>
        </w:rPr>
      </w:pPr>
    </w:p>
    <w:p>
      <w:pPr>
        <w:ind w:right="3899" w:firstLine="527"/>
        <w:spacing w:after="0" w:line="270" w:lineRule="auto"/>
        <w:rPr>
          <w:sz w:val="20"/>
          <w:szCs w:val="20"/>
          <w:color w:val="auto"/>
        </w:rPr>
      </w:pPr>
      <w:r>
        <w:rPr>
          <w:rFonts w:ascii="Courier New" w:cs="Courier New" w:eastAsia="Courier New" w:hAnsi="Courier New"/>
          <w:sz w:val="16"/>
          <w:szCs w:val="16"/>
          <w:color w:val="auto"/>
        </w:rPr>
        <w:t>SECTION 15. The Board of Directors may, by resolution adopted by a majority of the authorized number of directors, designate such other committees, each consisting of 2 or more directors, as it may from time to time deem advisable to perform such general or special duties as may from time to time be delegated to any such committee by the Board of Directors, subject to the limitations imposed by statute or by the Certificate of Incorporation or by these Bylaws. The Board may designate one or more directors as alternate members of any committee, who may replace any absent member at any meeting of the committee.</w:t>
      </w:r>
    </w:p>
    <w:p>
      <w:pPr>
        <w:sectPr>
          <w:pgSz w:w="11900" w:h="16838" w:orient="portrait"/>
          <w:cols w:equalWidth="0" w:num="1">
            <w:col w:w="10219"/>
          </w:cols>
          <w:pgMar w:left="240" w:top="520"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207" w:lineRule="exact"/>
        <w:rPr>
          <w:sz w:val="20"/>
          <w:szCs w:val="20"/>
          <w:color w:val="auto"/>
        </w:rPr>
      </w:pPr>
    </w:p>
    <w:p>
      <w:pPr>
        <w:ind w:right="3899" w:firstLine="527"/>
        <w:spacing w:after="0" w:line="270" w:lineRule="auto"/>
        <w:rPr>
          <w:sz w:val="20"/>
          <w:szCs w:val="20"/>
          <w:color w:val="auto"/>
        </w:rPr>
      </w:pPr>
      <w:r>
        <w:rPr>
          <w:rFonts w:ascii="Courier New" w:cs="Courier New" w:eastAsia="Courier New" w:hAnsi="Courier New"/>
          <w:sz w:val="16"/>
          <w:szCs w:val="16"/>
          <w:color w:val="auto"/>
        </w:rPr>
        <w:t>SECTION 17. Unless otherwise restricted by the Certificate of Incorporation or these Bylaws, the Board of Directors shall have the authority to fix the compensation of directors. The directors may be paid their expenses, if any, of attendance of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SECTION 1. 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his address as it appears on the records of the corporation, with postage thereon prepaid, and such notice shall be deemed to be given at the time when the same shall be deposited in the United States mail. Notice to directors may also be given by telegram.</w:t>
      </w:r>
    </w:p>
    <w:p>
      <w:pPr>
        <w:spacing w:after="0" w:line="216" w:lineRule="exact"/>
        <w:rPr>
          <w:sz w:val="20"/>
          <w:szCs w:val="20"/>
          <w:color w:val="auto"/>
        </w:rPr>
      </w:pPr>
    </w:p>
    <w:p>
      <w:pPr>
        <w:ind w:right="4099" w:firstLine="527"/>
        <w:spacing w:after="0" w:line="272" w:lineRule="auto"/>
        <w:rPr>
          <w:sz w:val="20"/>
          <w:szCs w:val="20"/>
          <w:color w:val="auto"/>
        </w:rPr>
      </w:pPr>
      <w:r>
        <w:rPr>
          <w:rFonts w:ascii="Courier New" w:cs="Courier New" w:eastAsia="Courier New" w:hAnsi="Courier New"/>
          <w:sz w:val="16"/>
          <w:szCs w:val="16"/>
          <w:color w:val="auto"/>
        </w:rPr>
        <w:t>SECTION 2. Whenever any notice is required to be given under the provisions of the Delaware statutes or of the Certificate of Incorporation or of these Bylaws, a waiver thereof in writing, signed by the person or persons entitled to said notice, whether before or after the time stated therein, shall be deemed equivalent thereto.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7"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SECTION 1. The officers of the corporation shall be chosen by the Board of Directors, and shall be a president, a vice-president, a secretary, and a treasurer. The Board of Directors may also choose additional vice-presidents, and one or more assistant secretaries and assistant treasurers. Any number of offices may be held by the same person, unless the Certificate of Incorporation or these Bylaws otherwise provide.</w:t>
      </w:r>
    </w:p>
    <w:p>
      <w:pPr>
        <w:sectPr>
          <w:pgSz w:w="11900" w:h="16838" w:orient="portrait"/>
          <w:cols w:equalWidth="0" w:num="1">
            <w:col w:w="10219"/>
          </w:cols>
          <w:pgMar w:left="240" w:top="514" w:right="1440" w:bottom="1440" w:gutter="0" w:footer="0" w:header="0"/>
        </w:sectPr>
      </w:pPr>
    </w:p>
    <w:bookmarkStart w:id="67" w:name="page68"/>
    <w:bookmarkEnd w:id="67"/>
    <w:p>
      <w:pPr>
        <w:ind w:right="3899" w:firstLine="527"/>
        <w:spacing w:after="0" w:line="237" w:lineRule="auto"/>
        <w:rPr>
          <w:sz w:val="20"/>
          <w:szCs w:val="20"/>
          <w:color w:val="auto"/>
        </w:rPr>
      </w:pPr>
      <w:r>
        <w:rPr>
          <w:rFonts w:ascii="Courier New" w:cs="Courier New" w:eastAsia="Courier New" w:hAnsi="Courier New"/>
          <w:sz w:val="18"/>
          <w:szCs w:val="18"/>
          <w:color w:val="auto"/>
        </w:rPr>
        <w:t>SECTION 2. The Board of Directors at its first meeting after each annual meeting of stockholders shall choose a president, one or more vice-presidents, a secretary and a treasurer.</w:t>
      </w:r>
    </w:p>
    <w:p>
      <w:pPr>
        <w:spacing w:after="0" w:line="207" w:lineRule="exact"/>
        <w:rPr>
          <w:sz w:val="20"/>
          <w:szCs w:val="20"/>
          <w:color w:val="auto"/>
        </w:rPr>
      </w:pPr>
    </w:p>
    <w:p>
      <w:pPr>
        <w:ind w:right="3999" w:firstLine="527"/>
        <w:spacing w:after="0" w:line="237" w:lineRule="auto"/>
        <w:rPr>
          <w:sz w:val="20"/>
          <w:szCs w:val="20"/>
          <w:color w:val="auto"/>
        </w:rPr>
      </w:pPr>
      <w:r>
        <w:rPr>
          <w:rFonts w:ascii="Courier New" w:cs="Courier New" w:eastAsia="Courier New" w:hAnsi="Courier New"/>
          <w:sz w:val="18"/>
          <w:szCs w:val="18"/>
          <w:color w:val="auto"/>
        </w:rPr>
        <w:t>SECTION 3. The Board of Directors may appoint such other officers and agents as it shall deem necessary who shall hold their offices for such terms and shall exercise such powers and perform such duties as shall be determined from time to time by the Board.</w:t>
      </w:r>
    </w:p>
    <w:p>
      <w:pPr>
        <w:spacing w:after="0" w:line="209" w:lineRule="exact"/>
        <w:rPr>
          <w:sz w:val="20"/>
          <w:szCs w:val="20"/>
          <w:color w:val="auto"/>
        </w:rPr>
      </w:pPr>
    </w:p>
    <w:p>
      <w:pPr>
        <w:ind w:right="3899" w:firstLine="527"/>
        <w:spacing w:after="0" w:line="235" w:lineRule="auto"/>
        <w:rPr>
          <w:sz w:val="20"/>
          <w:szCs w:val="20"/>
          <w:color w:val="auto"/>
        </w:rPr>
      </w:pPr>
      <w:r>
        <w:rPr>
          <w:rFonts w:ascii="Courier New" w:cs="Courier New" w:eastAsia="Courier New" w:hAnsi="Courier New"/>
          <w:sz w:val="18"/>
          <w:szCs w:val="18"/>
          <w:color w:val="auto"/>
        </w:rPr>
        <w:t>SECTION 4. The salaries of all officers and agents of the corporation shall be fixed by the Board of Directors.</w:t>
      </w:r>
    </w:p>
    <w:p>
      <w:pPr>
        <w:spacing w:after="0" w:line="208" w:lineRule="exact"/>
        <w:rPr>
          <w:sz w:val="20"/>
          <w:szCs w:val="20"/>
          <w:color w:val="auto"/>
        </w:rPr>
      </w:pPr>
    </w:p>
    <w:p>
      <w:pPr>
        <w:ind w:right="4099" w:firstLine="527"/>
        <w:spacing w:after="0" w:line="237" w:lineRule="auto"/>
        <w:rPr>
          <w:sz w:val="20"/>
          <w:szCs w:val="20"/>
          <w:color w:val="auto"/>
        </w:rPr>
      </w:pPr>
      <w:r>
        <w:rPr>
          <w:rFonts w:ascii="Courier New" w:cs="Courier New" w:eastAsia="Courier New" w:hAnsi="Courier New"/>
          <w:sz w:val="18"/>
          <w:szCs w:val="18"/>
          <w:color w:val="auto"/>
        </w:rPr>
        <w:t>SECTION 5.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w:t>
      </w:r>
    </w:p>
    <w:p>
      <w:pPr>
        <w:spacing w:after="0" w:line="211" w:lineRule="exact"/>
        <w:rPr>
          <w:sz w:val="20"/>
          <w:szCs w:val="20"/>
          <w:color w:val="auto"/>
        </w:rPr>
      </w:pPr>
    </w:p>
    <w:p>
      <w:pPr>
        <w:ind w:right="3999" w:firstLine="527"/>
        <w:spacing w:after="0" w:line="237" w:lineRule="auto"/>
        <w:rPr>
          <w:sz w:val="20"/>
          <w:szCs w:val="20"/>
          <w:color w:val="auto"/>
        </w:rPr>
      </w:pPr>
      <w:r>
        <w:rPr>
          <w:rFonts w:ascii="Courier New" w:cs="Courier New" w:eastAsia="Courier New" w:hAnsi="Courier New"/>
          <w:sz w:val="18"/>
          <w:szCs w:val="18"/>
          <w:color w:val="auto"/>
        </w:rPr>
        <w:t>Any officer may resign at any time by giving written notice to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CHAIRMAN OF THE BOARD</w:t>
      </w:r>
    </w:p>
    <w:p>
      <w:pPr>
        <w:spacing w:after="0" w:line="207"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SECTION 6. The Chairman of the Board, if there shall be such an officer, shall, if present, preside at all meetings of the Board of Directors, and exercise and perform such other powers and duties as may be from time to time assigned to him by the Board of Directors or prescribed by these Bylaws.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PRESIDENT</w:t>
      </w:r>
    </w:p>
    <w:p>
      <w:pPr>
        <w:spacing w:after="0" w:line="207" w:lineRule="exact"/>
        <w:rPr>
          <w:sz w:val="20"/>
          <w:szCs w:val="20"/>
          <w:color w:val="auto"/>
        </w:rPr>
      </w:pPr>
    </w:p>
    <w:p>
      <w:pPr>
        <w:ind w:right="3899" w:firstLine="527"/>
        <w:spacing w:after="0" w:line="238" w:lineRule="auto"/>
        <w:rPr>
          <w:sz w:val="20"/>
          <w:szCs w:val="20"/>
          <w:color w:val="auto"/>
        </w:rPr>
      </w:pPr>
      <w:r>
        <w:rPr>
          <w:rFonts w:ascii="Courier New" w:cs="Courier New" w:eastAsia="Courier New" w:hAnsi="Courier New"/>
          <w:sz w:val="18"/>
          <w:szCs w:val="18"/>
          <w:color w:val="auto"/>
        </w:rPr>
        <w:t>SECTION 7. Subject to such supervisory powers, if any, as may be given by the Board of Directors to the Chairman of the Board, if there be such an officer, the President shall be the general manager of the corporation and shall, subject to the control of the Board of Directors, have general supervision, direction, and control of the business and officers of the corporation. He shall preside at all meetings of the shareholders and in the absence of the Chairman of the Board or if there be none, at all meetings of the Board of Directors. He shall be ex officio a member of all the standing committees, including the executive committee, if any, and shall have the general powers and duties of management usually vested in the office of president of a corporation, and shall have such other powers and duties as may be prescribed by the Board of Directors or by these Bylaws.</w:t>
      </w:r>
    </w:p>
    <w:p>
      <w:pPr>
        <w:sectPr>
          <w:pgSz w:w="11900" w:h="16838" w:orient="portrait"/>
          <w:cols w:equalWidth="0" w:num="1">
            <w:col w:w="10219"/>
          </w:cols>
          <w:pgMar w:left="240" w:top="520" w:right="1440" w:bottom="1440" w:gutter="0" w:footer="0" w:header="0"/>
        </w:sectPr>
      </w:pPr>
    </w:p>
    <w:bookmarkStart w:id="68" w:name="page69"/>
    <w:bookmarkEnd w:id="68"/>
    <w:p>
      <w:pPr>
        <w:ind w:right="3899" w:firstLine="527"/>
        <w:spacing w:after="0" w:line="237" w:lineRule="auto"/>
        <w:rPr>
          <w:sz w:val="20"/>
          <w:szCs w:val="20"/>
          <w:color w:val="auto"/>
        </w:rPr>
      </w:pPr>
      <w:r>
        <w:rPr>
          <w:rFonts w:ascii="Courier New" w:cs="Courier New" w:eastAsia="Courier New" w:hAnsi="Courier New"/>
          <w:sz w:val="18"/>
          <w:szCs w:val="18"/>
          <w:color w:val="auto"/>
        </w:rPr>
        <w:t>SECTION 8. He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VICE-PRESIDENTS</w:t>
      </w:r>
    </w:p>
    <w:p>
      <w:pPr>
        <w:spacing w:after="0" w:line="207"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SECTION 9. In the absence of the president or in the event of his inability or refusal to act, the vice-president (or in the event there be more than one vice-president, the vice-presidents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vice-presidents shall perform such other duties and have such other powers as the Board of Directors may from time to time prescribe.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 AND ASSISTANT SECRETARY</w:t>
      </w:r>
    </w:p>
    <w:p>
      <w:pPr>
        <w:spacing w:after="0" w:line="207" w:lineRule="exact"/>
        <w:rPr>
          <w:sz w:val="20"/>
          <w:szCs w:val="20"/>
          <w:color w:val="auto"/>
        </w:rPr>
      </w:pPr>
    </w:p>
    <w:p>
      <w:pPr>
        <w:ind w:right="3899" w:firstLine="527"/>
        <w:spacing w:after="0" w:line="269" w:lineRule="auto"/>
        <w:rPr>
          <w:sz w:val="20"/>
          <w:szCs w:val="20"/>
          <w:color w:val="auto"/>
        </w:rPr>
      </w:pPr>
      <w:r>
        <w:rPr>
          <w:rFonts w:ascii="Courier New" w:cs="Courier New" w:eastAsia="Courier New" w:hAnsi="Courier New"/>
          <w:sz w:val="16"/>
          <w:szCs w:val="16"/>
          <w:color w:val="auto"/>
        </w:rPr>
        <w:t>SECTION 10.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shall give, or cause to be given, notice of all meetings of the stockholders and special meetings of the Board of Directors, and shall perform such other duties as may be prescribed by the Board of Directors or president, under whose supervision he shall be placed. He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395"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SECTION 11.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sectPr>
          <w:pgSz w:w="11900" w:h="16838" w:orient="portrait"/>
          <w:cols w:equalWidth="0" w:num="1">
            <w:col w:w="10219"/>
          </w:cols>
          <w:pgMar w:left="240" w:top="520"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8"/>
          <w:szCs w:val="18"/>
          <w:color w:val="auto"/>
        </w:rPr>
        <w:t>THE TREASURER AND ASSISTANT TREASURERS</w:t>
      </w:r>
    </w:p>
    <w:p>
      <w:pPr>
        <w:spacing w:after="0" w:line="207"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SECTION 12.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211" w:lineRule="exact"/>
        <w:rPr>
          <w:sz w:val="20"/>
          <w:szCs w:val="20"/>
          <w:color w:val="auto"/>
        </w:rPr>
      </w:pPr>
    </w:p>
    <w:p>
      <w:pPr>
        <w:ind w:right="4099" w:firstLine="527"/>
        <w:spacing w:after="0" w:line="271" w:lineRule="auto"/>
        <w:rPr>
          <w:sz w:val="20"/>
          <w:szCs w:val="20"/>
          <w:color w:val="auto"/>
        </w:rPr>
      </w:pPr>
      <w:r>
        <w:rPr>
          <w:rFonts w:ascii="Courier New" w:cs="Courier New" w:eastAsia="Courier New" w:hAnsi="Courier New"/>
          <w:sz w:val="16"/>
          <w:szCs w:val="16"/>
          <w:color w:val="auto"/>
        </w:rPr>
        <w:t>SECTION 13. 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188"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SECTION 14. If required by the Board of Directors, he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215"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SECTION 15. If the assistant treasurer, or if there shall be more than one,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perform such other duties and have such other powers as the Board of Directors may from time to time prescribe.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CERTIFICATE OF STOCK</w:t>
      </w:r>
    </w:p>
    <w:p>
      <w:pPr>
        <w:spacing w:after="0" w:line="207"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SECTION 1. Every holder of stock in the corporation shall be entitled to have a certificate, signed by, or in the name of the corporation by, the chairman or vice-chairman of the Board of Directors, or the president or a vice-president and the treasurer or an assistant treasurer, or the secretary or an assistant secretary of the corporation, certifying the number of shares owned by him in the corporation.</w:t>
      </w:r>
    </w:p>
    <w:p>
      <w:pPr>
        <w:sectPr>
          <w:pgSz w:w="11900" w:h="16838" w:orient="portrait"/>
          <w:cols w:equalWidth="0" w:num="1">
            <w:col w:w="10219"/>
          </w:cols>
          <w:pgMar w:left="240" w:top="514" w:right="1440" w:bottom="1440" w:gutter="0" w:footer="0" w:header="0"/>
        </w:sectPr>
      </w:pPr>
    </w:p>
    <w:bookmarkStart w:id="70" w:name="page71"/>
    <w:bookmarkEnd w:id="70"/>
    <w:p>
      <w:pPr>
        <w:ind w:right="4099" w:firstLine="527"/>
        <w:spacing w:after="0" w:line="273" w:lineRule="auto"/>
        <w:rPr>
          <w:sz w:val="20"/>
          <w:szCs w:val="20"/>
          <w:color w:val="auto"/>
        </w:rPr>
      </w:pPr>
      <w:r>
        <w:rPr>
          <w:rFonts w:ascii="Courier New" w:cs="Courier New" w:eastAsia="Courier New" w:hAnsi="Courier New"/>
          <w:sz w:val="16"/>
          <w:szCs w:val="16"/>
          <w:color w:val="auto"/>
        </w:rPr>
        <w:t>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185" w:lineRule="exact"/>
        <w:rPr>
          <w:sz w:val="20"/>
          <w:szCs w:val="20"/>
          <w:color w:val="auto"/>
        </w:rPr>
      </w:pPr>
    </w:p>
    <w:p>
      <w:pPr>
        <w:ind w:right="3899" w:firstLine="527"/>
        <w:spacing w:after="0" w:line="238" w:lineRule="auto"/>
        <w:rPr>
          <w:sz w:val="20"/>
          <w:szCs w:val="20"/>
          <w:color w:val="auto"/>
        </w:rPr>
      </w:pPr>
      <w:r>
        <w:rPr>
          <w:rFonts w:ascii="Courier New" w:cs="Courier New" w:eastAsia="Courier New" w:hAnsi="Courier New"/>
          <w:sz w:val="18"/>
          <w:szCs w:val="18"/>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Delaware, in lieu of the foregoing requirements, there may be set forth on the face of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204"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Any or all of the signatures on the</w:t>
      </w:r>
    </w:p>
    <w:p>
      <w:pPr>
        <w:spacing w:after="0" w:line="4" w:lineRule="exact"/>
        <w:rPr>
          <w:sz w:val="20"/>
          <w:szCs w:val="20"/>
          <w:color w:val="auto"/>
        </w:rPr>
      </w:pPr>
    </w:p>
    <w:p>
      <w:pPr>
        <w:ind w:right="3899"/>
        <w:spacing w:after="0" w:line="271" w:lineRule="auto"/>
        <w:rPr>
          <w:sz w:val="20"/>
          <w:szCs w:val="20"/>
          <w:color w:val="auto"/>
        </w:rPr>
      </w:pPr>
      <w:r>
        <w:rPr>
          <w:rFonts w:ascii="Courier New" w:cs="Courier New" w:eastAsia="Courier New" w:hAnsi="Courier New"/>
          <w:sz w:val="16"/>
          <w:szCs w:val="16"/>
          <w:color w:val="auto"/>
        </w:rPr>
        <w:t>certificate may be facsimile. In case any officer, transfer agent or registrar who has signed or whose facsimile signature have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LOST CERTIFICATES</w:t>
      </w:r>
    </w:p>
    <w:p>
      <w:pPr>
        <w:spacing w:after="0" w:line="207" w:lineRule="exact"/>
        <w:rPr>
          <w:sz w:val="20"/>
          <w:szCs w:val="20"/>
          <w:color w:val="auto"/>
        </w:rPr>
      </w:pPr>
    </w:p>
    <w:p>
      <w:pPr>
        <w:ind w:right="3899" w:firstLine="527"/>
        <w:spacing w:after="0" w:line="269" w:lineRule="auto"/>
        <w:rPr>
          <w:sz w:val="20"/>
          <w:szCs w:val="20"/>
          <w:color w:val="auto"/>
        </w:rPr>
      </w:pPr>
      <w:r>
        <w:rPr>
          <w:rFonts w:ascii="Courier New" w:cs="Courier New" w:eastAsia="Courier New" w:hAnsi="Courier New"/>
          <w:sz w:val="16"/>
          <w:szCs w:val="16"/>
          <w:color w:val="auto"/>
        </w:rPr>
        <w:t>SECTION 3. The Board of Directors may direct a new certificate or certificates to be issued in place of any certificate or certificates theretofore issues by the corporation alleged to have been lost, stolen or destroyed, upon the making of an affidavit to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ectPr>
          <w:pgSz w:w="11900" w:h="16838" w:orient="portrait"/>
          <w:cols w:equalWidth="0" w:num="1">
            <w:col w:w="10219"/>
          </w:cols>
          <w:pgMar w:left="240" w:top="520"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8"/>
          <w:szCs w:val="18"/>
          <w:color w:val="auto"/>
        </w:rPr>
        <w:t>TRANSFER OF STOCK</w:t>
      </w:r>
    </w:p>
    <w:p>
      <w:pPr>
        <w:spacing w:after="0" w:line="207"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SECTION 4.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FIXING RECORD DATE</w:t>
      </w:r>
    </w:p>
    <w:p>
      <w:pPr>
        <w:spacing w:after="0" w:line="207" w:lineRule="exact"/>
        <w:rPr>
          <w:sz w:val="20"/>
          <w:szCs w:val="20"/>
          <w:color w:val="auto"/>
        </w:rPr>
      </w:pPr>
    </w:p>
    <w:p>
      <w:pPr>
        <w:ind w:right="3899" w:firstLine="527"/>
        <w:spacing w:after="0" w:line="269" w:lineRule="auto"/>
        <w:rPr>
          <w:sz w:val="20"/>
          <w:szCs w:val="20"/>
          <w:color w:val="auto"/>
        </w:rPr>
      </w:pPr>
      <w:r>
        <w:rPr>
          <w:rFonts w:ascii="Courier New" w:cs="Courier New" w:eastAsia="Courier New" w:hAnsi="Courier New"/>
          <w:sz w:val="16"/>
          <w:szCs w:val="16"/>
          <w:color w:val="auto"/>
        </w:rPr>
        <w:t>SECTION 5.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such other action. A determination of shareholders of record entitled to notice of or to vote at a meeting of stockholders shall apply to any adjournment of the meeting; provided, however, that the Board of Directors may fix a new record date for the adjourned meeting.</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REGISTERED STOCKHOLDERS</w:t>
      </w:r>
    </w:p>
    <w:p>
      <w:pPr>
        <w:spacing w:after="0" w:line="207"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SECTION 6.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215" w:lineRule="exact"/>
        <w:rPr>
          <w:sz w:val="20"/>
          <w:szCs w:val="20"/>
          <w:color w:val="auto"/>
        </w:rPr>
      </w:pPr>
    </w:p>
    <w:p>
      <w:pPr>
        <w:ind w:right="3899" w:firstLine="527"/>
        <w:spacing w:after="0" w:line="270" w:lineRule="auto"/>
        <w:rPr>
          <w:sz w:val="20"/>
          <w:szCs w:val="20"/>
          <w:color w:val="auto"/>
        </w:rPr>
      </w:pPr>
      <w:r>
        <w:rPr>
          <w:rFonts w:ascii="Courier New" w:cs="Courier New" w:eastAsia="Courier New" w:hAnsi="Courier New"/>
          <w:sz w:val="16"/>
          <w:szCs w:val="16"/>
          <w:color w:val="auto"/>
        </w:rPr>
        <w:t>SECTION 7. The accounting books and records, and minutes of proceedings of the shareholders and the Board of Directors and committees of the Board shall be open to inspection upon written demand made upon the corporation by any shareholder or the holder of a voting trust certificate, at any reasonable time during usual business hours, for a purpose reasonably related to his interest as a shareholder, or as the holder of such voting trust certificate. The record of shareholders shall also be open to inspection by any shareholder or holder of a voting trust certificate at any time during usual business hours upon written demand on</w:t>
      </w:r>
    </w:p>
    <w:p>
      <w:pPr>
        <w:sectPr>
          <w:pgSz w:w="11900" w:h="16838" w:orient="portrait"/>
          <w:cols w:equalWidth="0" w:num="1">
            <w:col w:w="10219"/>
          </w:cols>
          <w:pgMar w:left="240" w:top="514" w:right="1440" w:bottom="1440" w:gutter="0" w:footer="0" w:header="0"/>
        </w:sectPr>
      </w:pPr>
    </w:p>
    <w:bookmarkStart w:id="72" w:name="page73"/>
    <w:bookmarkEnd w:id="72"/>
    <w:p>
      <w:pPr>
        <w:ind w:right="3899"/>
        <w:spacing w:after="0" w:line="237" w:lineRule="auto"/>
        <w:rPr>
          <w:sz w:val="20"/>
          <w:szCs w:val="20"/>
          <w:color w:val="auto"/>
        </w:rPr>
      </w:pPr>
      <w:r>
        <w:rPr>
          <w:rFonts w:ascii="Courier New" w:cs="Courier New" w:eastAsia="Courier New" w:hAnsi="Courier New"/>
          <w:sz w:val="18"/>
          <w:szCs w:val="18"/>
          <w:color w:val="auto"/>
        </w:rPr>
        <w:t>the corporation, for a purpose reasonably related to such holder's interest as a shareholder or holder of a voting trust certificate. Such inspection may be made in person or by an agent or attorney, and shall include the right to copy and to make extracts.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PROVISIONS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3999" w:firstLine="527"/>
        <w:spacing w:after="0" w:line="237" w:lineRule="auto"/>
        <w:rPr>
          <w:sz w:val="20"/>
          <w:szCs w:val="20"/>
          <w:color w:val="auto"/>
        </w:rPr>
      </w:pPr>
      <w:r>
        <w:rPr>
          <w:rFonts w:ascii="Courier New" w:cs="Courier New" w:eastAsia="Courier New" w:hAnsi="Courier New"/>
          <w:sz w:val="18"/>
          <w:szCs w:val="18"/>
          <w:color w:val="auto"/>
        </w:rPr>
        <w:t>SECTION 1. Dividends upon the capital stock of the corporation, subject to the provision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spacing w:after="0" w:line="211"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SECTION 2. Before payment of any dividend, there may be set aside out of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CHECKS</w:t>
      </w:r>
    </w:p>
    <w:p>
      <w:pPr>
        <w:spacing w:after="0" w:line="207" w:lineRule="exact"/>
        <w:rPr>
          <w:sz w:val="20"/>
          <w:szCs w:val="20"/>
          <w:color w:val="auto"/>
        </w:rPr>
      </w:pPr>
    </w:p>
    <w:p>
      <w:pPr>
        <w:ind w:right="3999" w:firstLine="527"/>
        <w:spacing w:after="0" w:line="237" w:lineRule="auto"/>
        <w:rPr>
          <w:sz w:val="20"/>
          <w:szCs w:val="20"/>
          <w:color w:val="auto"/>
        </w:rPr>
      </w:pPr>
      <w:r>
        <w:rPr>
          <w:rFonts w:ascii="Courier New" w:cs="Courier New" w:eastAsia="Courier New" w:hAnsi="Courier New"/>
          <w:sz w:val="18"/>
          <w:szCs w:val="18"/>
          <w:color w:val="auto"/>
        </w:rPr>
        <w:t>SECTION 3. All checks or demands for money and notes of the corporation shall be signed by such officer or officers or such other person or persons as the Board of Directors may from time to time designate.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FISCAL YEAR</w:t>
      </w:r>
    </w:p>
    <w:p>
      <w:pPr>
        <w:spacing w:after="0" w:line="207" w:lineRule="exact"/>
        <w:rPr>
          <w:sz w:val="20"/>
          <w:szCs w:val="20"/>
          <w:color w:val="auto"/>
        </w:rPr>
      </w:pPr>
    </w:p>
    <w:p>
      <w:pPr>
        <w:ind w:right="3899" w:firstLine="527"/>
        <w:spacing w:after="0" w:line="235" w:lineRule="auto"/>
        <w:rPr>
          <w:sz w:val="20"/>
          <w:szCs w:val="20"/>
          <w:color w:val="auto"/>
        </w:rPr>
      </w:pPr>
      <w:r>
        <w:rPr>
          <w:rFonts w:ascii="Courier New" w:cs="Courier New" w:eastAsia="Courier New" w:hAnsi="Courier New"/>
          <w:sz w:val="18"/>
          <w:szCs w:val="18"/>
          <w:color w:val="auto"/>
        </w:rPr>
        <w:t>SECTION 4. The fiscal year of the corporation shall be fixed by resolution of the Board of Directors.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pacing w:after="0" w:line="207" w:lineRule="exact"/>
        <w:rPr>
          <w:sz w:val="20"/>
          <w:szCs w:val="20"/>
          <w:color w:val="auto"/>
        </w:rPr>
      </w:pPr>
    </w:p>
    <w:p>
      <w:pPr>
        <w:ind w:right="3999" w:firstLine="527"/>
        <w:spacing w:after="0" w:line="237" w:lineRule="auto"/>
        <w:rPr>
          <w:sz w:val="20"/>
          <w:szCs w:val="20"/>
          <w:color w:val="auto"/>
        </w:rPr>
      </w:pPr>
      <w:r>
        <w:rPr>
          <w:rFonts w:ascii="Courier New" w:cs="Courier New" w:eastAsia="Courier New" w:hAnsi="Courier New"/>
          <w:sz w:val="18"/>
          <w:szCs w:val="18"/>
          <w:color w:val="auto"/>
        </w:rPr>
        <w:t>SECTION 5. The corporate seal shall have inscribed thereon the name of the corporation, the year of its organization and the words "Corporate Seal, Delaware." The seal may be used by causing it or a facsimile thereof to be impressed or affixed or reproduced or otherwise.</w:t>
      </w:r>
    </w:p>
    <w:p>
      <w:pPr>
        <w:sectPr>
          <w:pgSz w:w="11900" w:h="16838" w:orient="portrait"/>
          <w:cols w:equalWidth="0" w:num="1">
            <w:col w:w="10219"/>
          </w:cols>
          <w:pgMar w:left="240" w:top="520"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8"/>
          <w:szCs w:val="18"/>
          <w:color w:val="auto"/>
        </w:rPr>
        <w:t>INDEMNIFICATION</w:t>
      </w:r>
    </w:p>
    <w:p>
      <w:pPr>
        <w:spacing w:after="0" w:line="207" w:lineRule="exact"/>
        <w:rPr>
          <w:sz w:val="20"/>
          <w:szCs w:val="20"/>
          <w:color w:val="auto"/>
        </w:rPr>
      </w:pPr>
    </w:p>
    <w:p>
      <w:pPr>
        <w:jc w:val="both"/>
        <w:ind w:right="4419" w:firstLine="527"/>
        <w:spacing w:after="0" w:line="279" w:lineRule="auto"/>
        <w:rPr>
          <w:sz w:val="20"/>
          <w:szCs w:val="20"/>
          <w:color w:val="auto"/>
        </w:rPr>
      </w:pPr>
      <w:r>
        <w:rPr>
          <w:rFonts w:ascii="Courier New" w:cs="Courier New" w:eastAsia="Courier New" w:hAnsi="Courier New"/>
          <w:sz w:val="16"/>
          <w:szCs w:val="16"/>
          <w:color w:val="auto"/>
        </w:rPr>
        <w:t>SECTION 6. The corporation shall indemnify its officers, directors, employees and agents to the extent permitted by the General Corporation Law of Delaware.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AMENDMENTS</w:t>
      </w:r>
    </w:p>
    <w:p>
      <w:pPr>
        <w:spacing w:after="0" w:line="207" w:lineRule="exact"/>
        <w:rPr>
          <w:sz w:val="20"/>
          <w:szCs w:val="20"/>
          <w:color w:val="auto"/>
        </w:rPr>
      </w:pPr>
    </w:p>
    <w:p>
      <w:pPr>
        <w:ind w:right="3899" w:firstLine="527"/>
        <w:spacing w:after="0" w:line="270" w:lineRule="auto"/>
        <w:rPr>
          <w:sz w:val="20"/>
          <w:szCs w:val="20"/>
          <w:color w:val="auto"/>
        </w:rPr>
      </w:pPr>
      <w:r>
        <w:rPr>
          <w:rFonts w:ascii="Courier New" w:cs="Courier New" w:eastAsia="Courier New" w:hAnsi="Courier New"/>
          <w:sz w:val="16"/>
          <w:szCs w:val="16"/>
          <w:color w:val="auto"/>
        </w:rPr>
        <w:t>SECTION 1. These Bylaws may be altered, amended or repealed or new Bylaws may be adopted by the stockholders or by the Board of Directors at any regular meeting of the stockholders or of the Board of Directors or at any special meeting of the stockholders or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392" w:lineRule="exact"/>
        <w:rPr>
          <w:sz w:val="20"/>
          <w:szCs w:val="20"/>
          <w:color w:val="auto"/>
        </w:rPr>
      </w:pPr>
    </w:p>
    <w:p>
      <w:pPr>
        <w:ind w:right="4199" w:firstLine="527"/>
        <w:spacing w:after="0" w:line="290" w:lineRule="auto"/>
        <w:rPr>
          <w:sz w:val="20"/>
          <w:szCs w:val="20"/>
          <w:color w:val="auto"/>
        </w:rPr>
      </w:pPr>
      <w:r>
        <w:rPr>
          <w:rFonts w:ascii="Courier New" w:cs="Courier New" w:eastAsia="Courier New" w:hAnsi="Courier New"/>
          <w:sz w:val="16"/>
          <w:szCs w:val="16"/>
          <w:color w:val="auto"/>
        </w:rPr>
        <w:t>I, Nancy A. Stanger, the secretary of Micron Technology, Inc., a Delaware corporation, hereby certify:</w:t>
      </w:r>
    </w:p>
    <w:p>
      <w:pPr>
        <w:spacing w:after="0" w:line="170" w:lineRule="exact"/>
        <w:rPr>
          <w:sz w:val="20"/>
          <w:szCs w:val="20"/>
          <w:color w:val="auto"/>
        </w:rPr>
      </w:pPr>
    </w:p>
    <w:p>
      <w:pPr>
        <w:ind w:right="3899" w:firstLine="527"/>
        <w:spacing w:after="0" w:line="290" w:lineRule="auto"/>
        <w:rPr>
          <w:sz w:val="20"/>
          <w:szCs w:val="20"/>
          <w:color w:val="auto"/>
        </w:rPr>
      </w:pPr>
      <w:r>
        <w:rPr>
          <w:rFonts w:ascii="Courier New" w:cs="Courier New" w:eastAsia="Courier New" w:hAnsi="Courier New"/>
          <w:sz w:val="16"/>
          <w:szCs w:val="16"/>
          <w:color w:val="auto"/>
        </w:rPr>
        <w:t>The foregoing bylaws, comprising 14 pages, were adopted as the bylaws of Micron Technology on May 21, 1984.</w:t>
      </w:r>
    </w:p>
    <w:p>
      <w:pPr>
        <w:sectPr>
          <w:pgSz w:w="11900" w:h="16838" w:orient="portrait"/>
          <w:cols w:equalWidth="0" w:num="1">
            <w:col w:w="10219"/>
          </w:cols>
          <w:pgMar w:left="240" w:top="514" w:right="1440" w:bottom="1440" w:gutter="0" w:footer="0" w:header="0"/>
        </w:sectPr>
      </w:pPr>
    </w:p>
    <w:p>
      <w:pPr>
        <w:spacing w:after="0" w:line="170"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May 25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19 84</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1160" w:space="120"/>
            <w:col w:w="2420" w:space="0"/>
            <w:col w:w="6519"/>
          </w:cols>
          <w:pgMar w:left="240" w:top="514" w:right="1440" w:bottom="1440" w:gutter="0" w:footer="0" w:header="0"/>
          <w:type w:val="continuous"/>
        </w:sectPr>
      </w:pPr>
    </w:p>
    <w:p>
      <w:pPr>
        <w:spacing w:after="0" w:line="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Nancy A. Stanger</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Nancy A. Stanger</w:t>
      </w:r>
    </w:p>
    <w:p>
      <w:pPr>
        <w:sectPr>
          <w:pgSz w:w="11900" w:h="16838" w:orient="portrait"/>
          <w:cols w:equalWidth="0" w:num="1">
            <w:col w:w="10219"/>
          </w:cols>
          <w:pgMar w:left="240" w:top="514"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ectPr>
          <w:pgSz w:w="11900" w:h="16838" w:orient="portrait"/>
          <w:cols w:equalWidth="0" w:num="1">
            <w:col w:w="10219"/>
          </w:cols>
          <w:pgMar w:left="240" w:top="514" w:right="1440" w:bottom="1440" w:gutter="0" w:footer="0" w:header="0"/>
          <w:type w:val="continuous"/>
        </w:sectPr>
      </w:pPr>
    </w:p>
    <w:bookmarkStart w:id="74" w:name="page75"/>
    <w:bookmarkEnd w:id="74"/>
    <w:p>
      <w:pPr>
        <w:spacing w:after="0"/>
        <w:rPr>
          <w:sz w:val="20"/>
          <w:szCs w:val="20"/>
          <w:color w:val="auto"/>
        </w:rPr>
      </w:pPr>
      <w:r>
        <w:rPr>
          <w:rFonts w:ascii="Courier New" w:cs="Courier New" w:eastAsia="Courier New" w:hAnsi="Courier New"/>
          <w:sz w:val="18"/>
          <w:szCs w:val="18"/>
          <w:color w:val="auto"/>
        </w:rPr>
        <w:t>CERTIFICATE OF FIRST AMENDMENT</w:t>
      </w:r>
    </w:p>
    <w:p>
      <w:pPr>
        <w:spacing w:after="0" w:line="238" w:lineRule="auto"/>
        <w:rPr>
          <w:sz w:val="20"/>
          <w:szCs w:val="20"/>
          <w:color w:val="auto"/>
        </w:rPr>
      </w:pPr>
      <w:r>
        <w:rPr>
          <w:rFonts w:ascii="Courier New" w:cs="Courier New" w:eastAsia="Courier New" w:hAnsi="Courier New"/>
          <w:sz w:val="18"/>
          <w:szCs w:val="18"/>
          <w:color w:val="auto"/>
        </w:rPr>
        <w:t>TO THE BYLAWS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6"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We, the undersigned, being the President and Secretary, respectively, of MICRON TECHNOLOGY, INC., a corporation organized and existing under the laws of the State of Delaware, do hereby certify that a meeting of the Board of Directors of this Corporation was held on December 17, 1984 and an amendment to the Bylaws of MICRON TECHNOLOGY, INC. was unanimously adopted.</w:t>
      </w:r>
    </w:p>
    <w:p>
      <w:pPr>
        <w:spacing w:after="0" w:line="211" w:lineRule="exact"/>
        <w:rPr>
          <w:sz w:val="20"/>
          <w:szCs w:val="20"/>
          <w:color w:val="auto"/>
        </w:rPr>
      </w:pPr>
    </w:p>
    <w:p>
      <w:pPr>
        <w:ind w:right="4419" w:firstLine="527"/>
        <w:spacing w:after="0" w:line="235" w:lineRule="auto"/>
        <w:rPr>
          <w:sz w:val="20"/>
          <w:szCs w:val="20"/>
          <w:color w:val="auto"/>
        </w:rPr>
      </w:pPr>
      <w:r>
        <w:rPr>
          <w:rFonts w:ascii="Courier New" w:cs="Courier New" w:eastAsia="Courier New" w:hAnsi="Courier New"/>
          <w:sz w:val="18"/>
          <w:szCs w:val="18"/>
          <w:color w:val="auto"/>
        </w:rPr>
        <w:t>The amendment adopted was pursuant to a Resolution reading as follows:</w:t>
      </w:r>
    </w:p>
    <w:p>
      <w:pPr>
        <w:spacing w:after="0" w:line="208" w:lineRule="exact"/>
        <w:rPr>
          <w:sz w:val="20"/>
          <w:szCs w:val="20"/>
          <w:color w:val="auto"/>
        </w:rPr>
      </w:pPr>
    </w:p>
    <w:p>
      <w:pPr>
        <w:ind w:right="4199" w:firstLine="527"/>
        <w:spacing w:after="0" w:line="236" w:lineRule="auto"/>
        <w:rPr>
          <w:sz w:val="20"/>
          <w:szCs w:val="20"/>
          <w:color w:val="auto"/>
        </w:rPr>
      </w:pPr>
      <w:r>
        <w:rPr>
          <w:rFonts w:ascii="Courier New" w:cs="Courier New" w:eastAsia="Courier New" w:hAnsi="Courier New"/>
          <w:sz w:val="18"/>
          <w:szCs w:val="18"/>
          <w:color w:val="auto"/>
        </w:rPr>
        <w:t>RESOLVED: The Board hereby approves that the second paragraph of Article II Section 10 of the Bylaws of the Company be amended to read as follows:</w:t>
      </w:r>
    </w:p>
    <w:p>
      <w:pPr>
        <w:spacing w:after="0" w:line="209" w:lineRule="exact"/>
        <w:rPr>
          <w:sz w:val="20"/>
          <w:szCs w:val="20"/>
          <w:color w:val="auto"/>
        </w:rPr>
      </w:pPr>
    </w:p>
    <w:p>
      <w:pPr>
        <w:ind w:right="4939" w:firstLine="527"/>
        <w:spacing w:after="0" w:line="238" w:lineRule="auto"/>
        <w:rPr>
          <w:sz w:val="20"/>
          <w:szCs w:val="20"/>
          <w:color w:val="auto"/>
        </w:rPr>
      </w:pPr>
      <w:r>
        <w:rPr>
          <w:rFonts w:ascii="Courier New" w:cs="Courier New" w:eastAsia="Courier New" w:hAnsi="Courier New"/>
          <w:sz w:val="18"/>
          <w:szCs w:val="18"/>
          <w:color w:val="auto"/>
        </w:rPr>
        <w:t>"At all elections of directors of the corporation each stockholder having voting power shall be entitled to exercise the right of cumulative voting as provided in the Certificate of Incorporation. However, no stockholder shall be entitled to cumulate votes for a candidate or candidates unless such candidate's name or candidate's names have been placed in nomination prior to the voting and a stockholder has given notice at the meeting prior to the voting of the stockholder's intention to cumulate votes. If any stockholder has given such notice, all stockholders may cumulate their votes for candidates in nomination."</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 WITNESS WHEREOF, we have hereunto set our hands and</w:t>
      </w:r>
    </w:p>
    <w:p>
      <w:pPr>
        <w:spacing w:after="0" w:line="16" w:lineRule="exact"/>
        <w:rPr>
          <w:sz w:val="20"/>
          <w:szCs w:val="20"/>
          <w:color w:val="auto"/>
        </w:rPr>
      </w:pPr>
    </w:p>
    <w:p>
      <w:pPr>
        <w:spacing w:after="0"/>
        <w:tabs>
          <w:tab w:leader="none" w:pos="3680" w:val="left"/>
          <w:tab w:leader="none" w:pos="4420" w:val="left"/>
          <w:tab w:leader="none" w:pos="5260" w:val="left"/>
          <w:tab w:leader="none" w:pos="6000" w:val="left"/>
        </w:tabs>
        <w:rPr>
          <w:sz w:val="20"/>
          <w:szCs w:val="20"/>
          <w:color w:val="auto"/>
        </w:rPr>
      </w:pPr>
      <w:r>
        <w:rPr>
          <w:rFonts w:ascii="Courier New" w:cs="Courier New" w:eastAsia="Courier New" w:hAnsi="Courier New"/>
          <w:sz w:val="18"/>
          <w:szCs w:val="18"/>
          <w:color w:val="auto"/>
        </w:rPr>
        <w:t>the seal of the Corporation this</w:t>
      </w:r>
      <w:r>
        <w:rPr>
          <w:sz w:val="20"/>
          <w:szCs w:val="20"/>
          <w:color w:val="auto"/>
        </w:rPr>
        <w:tab/>
      </w:r>
      <w:r>
        <w:rPr>
          <w:rFonts w:ascii="Courier New" w:cs="Courier New" w:eastAsia="Courier New" w:hAnsi="Courier New"/>
          <w:sz w:val="18"/>
          <w:szCs w:val="18"/>
          <w:color w:val="auto"/>
        </w:rPr>
        <w:t>5th</w:t>
      </w:r>
      <w:r>
        <w:rPr>
          <w:sz w:val="20"/>
          <w:szCs w:val="20"/>
          <w:color w:val="auto"/>
        </w:rPr>
        <w:tab/>
      </w:r>
      <w:r>
        <w:rPr>
          <w:rFonts w:ascii="Courier New" w:cs="Courier New" w:eastAsia="Courier New" w:hAnsi="Courier New"/>
          <w:sz w:val="18"/>
          <w:szCs w:val="18"/>
          <w:color w:val="auto"/>
        </w:rPr>
        <w:t>day of</w:t>
        <w:tab/>
        <w:t>July</w:t>
      </w:r>
      <w:r>
        <w:rPr>
          <w:sz w:val="20"/>
          <w:szCs w:val="20"/>
          <w:color w:val="auto"/>
        </w:rPr>
        <w:tab/>
      </w:r>
      <w:r>
        <w:rPr>
          <w:rFonts w:ascii="Courier New" w:cs="Courier New" w:eastAsia="Courier New" w:hAnsi="Courier New"/>
          <w:sz w:val="16"/>
          <w:szCs w:val="16"/>
          <w:color w:val="auto"/>
        </w:rPr>
        <w:t>,</w:t>
      </w:r>
    </w:p>
    <w:p>
      <w:pPr>
        <w:ind w:left="3480"/>
        <w:spacing w:after="0" w:line="238" w:lineRule="auto"/>
        <w:tabs>
          <w:tab w:leader="none" w:pos="51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5" w:lineRule="exact"/>
        <w:rPr>
          <w:sz w:val="20"/>
          <w:szCs w:val="20"/>
          <w:color w:val="auto"/>
        </w:rPr>
      </w:pPr>
    </w:p>
    <w:p>
      <w:pPr>
        <w:jc w:val="center"/>
        <w:ind w:right="9479"/>
        <w:spacing w:after="0"/>
        <w:rPr>
          <w:sz w:val="20"/>
          <w:szCs w:val="20"/>
          <w:color w:val="auto"/>
        </w:rPr>
      </w:pPr>
      <w:r>
        <w:rPr>
          <w:rFonts w:ascii="Courier New" w:cs="Courier New" w:eastAsia="Courier New" w:hAnsi="Courier New"/>
          <w:sz w:val="16"/>
          <w:szCs w:val="16"/>
          <w:color w:val="auto"/>
        </w:rPr>
        <w:t>19 85 .</w:t>
      </w:r>
    </w:p>
    <w:p>
      <w:pPr>
        <w:spacing w:after="0" w:line="16" w:lineRule="exact"/>
        <w:rPr>
          <w:sz w:val="20"/>
          <w:szCs w:val="20"/>
          <w:color w:val="auto"/>
        </w:rPr>
      </w:pPr>
    </w:p>
    <w:p>
      <w:pPr>
        <w:jc w:val="center"/>
        <w:ind w:right="9479"/>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MICRON TECHNOLOGY, INC.</w:t>
      </w:r>
    </w:p>
    <w:p>
      <w:pPr>
        <w:sectPr>
          <w:pgSz w:w="11900" w:h="16838" w:orient="portrait"/>
          <w:cols w:equalWidth="0" w:num="1">
            <w:col w:w="10219"/>
          </w:cols>
          <w:pgMar w:left="240" w:top="514" w:right="1440" w:bottom="1440" w:gutter="0" w:footer="0" w:header="0"/>
        </w:sectPr>
      </w:pP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Joseph L. Parkinson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Joseph L. Parkinson, President</w:t>
      </w:r>
    </w:p>
    <w:p>
      <w:pPr>
        <w:spacing w:after="0" w:line="200" w:lineRule="exact"/>
        <w:rPr>
          <w:sz w:val="20"/>
          <w:szCs w:val="20"/>
          <w:color w:val="auto"/>
        </w:rPr>
      </w:pPr>
    </w:p>
    <w:p>
      <w:pPr>
        <w:sectPr>
          <w:pgSz w:w="11900" w:h="16838" w:orient="portrait"/>
          <w:cols w:equalWidth="0" w:num="2">
            <w:col w:w="3700" w:space="520"/>
            <w:col w:w="5999"/>
          </w:cols>
          <w:pgMar w:left="240" w:top="514"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Cathy L. Smith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Cathy L. Smith, Secretary</w:t>
      </w:r>
    </w:p>
    <w:p>
      <w:pPr>
        <w:sectPr>
          <w:pgSz w:w="11900" w:h="16838" w:orient="portrait"/>
          <w:cols w:equalWidth="0" w:num="3">
            <w:col w:w="2660" w:space="720"/>
            <w:col w:w="320" w:space="520"/>
            <w:col w:w="5999"/>
          </w:cols>
          <w:pgMar w:left="240" w:top="514" w:right="1440" w:bottom="1440" w:gutter="0" w:footer="0" w:header="0"/>
          <w:type w:val="continuous"/>
        </w:sectPr>
      </w:pPr>
    </w:p>
    <w:bookmarkStart w:id="75" w:name="page76"/>
    <w:bookmarkEnd w:id="75"/>
    <w:p>
      <w:pPr>
        <w:spacing w:after="0" w:line="6" w:lineRule="exact"/>
        <w:rPr>
          <w:sz w:val="20"/>
          <w:szCs w:val="20"/>
          <w:color w:val="auto"/>
        </w:rPr>
      </w:pPr>
    </w:p>
    <w:p>
      <w:pPr>
        <w:spacing w:after="0" w:line="536" w:lineRule="auto"/>
        <w:rPr>
          <w:sz w:val="20"/>
          <w:szCs w:val="20"/>
          <w:color w:val="auto"/>
        </w:rPr>
      </w:pPr>
      <w:r>
        <w:rPr>
          <w:rFonts w:ascii="Courier New" w:cs="Courier New" w:eastAsia="Courier New" w:hAnsi="Courier New"/>
          <w:sz w:val="16"/>
          <w:szCs w:val="16"/>
          <w:color w:val="auto"/>
        </w:rPr>
        <w:t>STATE OF IDAHO County of Ada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ectPr>
          <w:pgSz w:w="11900" w:h="16838" w:orient="portrait"/>
          <w:cols w:equalWidth="0" w:num="2">
            <w:col w:w="1480" w:space="520"/>
            <w:col w:w="8219"/>
          </w:cols>
          <w:pgMar w:left="240" w:top="717" w:right="1440" w:bottom="1440" w:gutter="0" w:footer="0" w:header="0"/>
        </w:sectPr>
      </w:pPr>
    </w:p>
    <w:p>
      <w:pPr>
        <w:ind w:left="1280" w:right="3999" w:hanging="736"/>
        <w:spacing w:after="0" w:line="235" w:lineRule="auto"/>
        <w:tabs>
          <w:tab w:leader="none" w:pos="1260" w:val="left"/>
        </w:tabs>
        <w:rPr>
          <w:sz w:val="20"/>
          <w:szCs w:val="20"/>
          <w:color w:val="auto"/>
        </w:rPr>
      </w:pPr>
      <w:r>
        <w:rPr>
          <w:rFonts w:ascii="Courier New" w:cs="Courier New" w:eastAsia="Courier New" w:hAnsi="Courier New"/>
          <w:sz w:val="18"/>
          <w:szCs w:val="18"/>
          <w:color w:val="auto"/>
        </w:rPr>
        <w:t>On this</w:t>
        <w:tab/>
        <w:t>5th day of July , 19 85 , before me, the ------ --------- ---</w:t>
      </w:r>
    </w:p>
    <w:p>
      <w:pPr>
        <w:sectPr>
          <w:pgSz w:w="11900" w:h="16838" w:orient="portrait"/>
          <w:cols w:equalWidth="0" w:num="1">
            <w:col w:w="10219"/>
          </w:cols>
          <w:pgMar w:left="240" w:top="717" w:right="1440" w:bottom="1440" w:gutter="0" w:footer="0" w:header="0"/>
          <w:type w:val="continuous"/>
        </w:sectPr>
      </w:pPr>
    </w:p>
    <w:p>
      <w:pPr>
        <w:spacing w:after="0" w:line="6" w:lineRule="exact"/>
        <w:rPr>
          <w:sz w:val="20"/>
          <w:szCs w:val="20"/>
          <w:color w:val="auto"/>
        </w:rPr>
      </w:pPr>
    </w:p>
    <w:p>
      <w:pPr>
        <w:ind w:right="3999"/>
        <w:spacing w:after="0" w:line="272" w:lineRule="auto"/>
        <w:rPr>
          <w:sz w:val="20"/>
          <w:szCs w:val="20"/>
          <w:color w:val="auto"/>
        </w:rPr>
      </w:pPr>
      <w:r>
        <w:rPr>
          <w:rFonts w:ascii="Courier New" w:cs="Courier New" w:eastAsia="Courier New" w:hAnsi="Courier New"/>
          <w:sz w:val="16"/>
          <w:szCs w:val="16"/>
          <w:color w:val="auto"/>
        </w:rPr>
        <w:t>undersigned, personally appeared JOSEPH L. PARKINSON and CATHY L. SMITH, known to me to be the President and Secretary, respectively, of MICRON TECHNOLOGY, INC., the corporation that executed the instrument or the persons who executed the instrument on behalf of said corporation, and acknowledged to me that such corporation executed the same.</w:t>
      </w:r>
    </w:p>
    <w:p>
      <w:pPr>
        <w:spacing w:after="0" w:line="186" w:lineRule="exact"/>
        <w:rPr>
          <w:sz w:val="20"/>
          <w:szCs w:val="20"/>
          <w:color w:val="auto"/>
        </w:rPr>
      </w:pPr>
    </w:p>
    <w:p>
      <w:pPr>
        <w:jc w:val="both"/>
        <w:ind w:right="4319" w:firstLine="527"/>
        <w:spacing w:after="0" w:line="236" w:lineRule="auto"/>
        <w:rPr>
          <w:sz w:val="20"/>
          <w:szCs w:val="20"/>
          <w:color w:val="auto"/>
        </w:rPr>
      </w:pPr>
      <w:r>
        <w:rPr>
          <w:rFonts w:ascii="Courier New" w:cs="Courier New" w:eastAsia="Courier New" w:hAnsi="Courier New"/>
          <w:sz w:val="18"/>
          <w:szCs w:val="18"/>
          <w:color w:val="auto"/>
        </w:rPr>
        <w:t>IN WITNESS WHEREOF, I have hereunto set my hand and affixed my official seal in said County the day and year first above written.</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Jill L. Henson</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Notary Public for Idaho</w:t>
      </w:r>
    </w:p>
    <w:p>
      <w:pPr>
        <w:spacing w:after="0" w:line="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Residing at Boise</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type w:val="continuous"/>
        </w:sectPr>
      </w:pPr>
    </w:p>
    <w:bookmarkStart w:id="76" w:name="page77"/>
    <w:bookmarkEnd w:id="76"/>
    <w:p>
      <w:pPr>
        <w:spacing w:after="0"/>
        <w:rPr>
          <w:sz w:val="20"/>
          <w:szCs w:val="20"/>
          <w:color w:val="auto"/>
        </w:rPr>
      </w:pPr>
      <w:r>
        <w:rPr>
          <w:rFonts w:ascii="Courier New" w:cs="Courier New" w:eastAsia="Courier New" w:hAnsi="Courier New"/>
          <w:sz w:val="18"/>
          <w:szCs w:val="18"/>
          <w:color w:val="auto"/>
        </w:rPr>
        <w:t>CERTIFICATE OF SECOND AMENDMENT</w:t>
      </w:r>
    </w:p>
    <w:p>
      <w:pPr>
        <w:spacing w:after="0" w:line="238" w:lineRule="auto"/>
        <w:rPr>
          <w:sz w:val="20"/>
          <w:szCs w:val="20"/>
          <w:color w:val="auto"/>
        </w:rPr>
      </w:pPr>
      <w:r>
        <w:rPr>
          <w:rFonts w:ascii="Courier New" w:cs="Courier New" w:eastAsia="Courier New" w:hAnsi="Courier New"/>
          <w:sz w:val="18"/>
          <w:szCs w:val="18"/>
          <w:color w:val="auto"/>
        </w:rPr>
        <w:t>TO THE BYLAWS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9" w:lineRule="exact"/>
        <w:rPr>
          <w:sz w:val="20"/>
          <w:szCs w:val="20"/>
          <w:color w:val="auto"/>
        </w:rPr>
      </w:pPr>
    </w:p>
    <w:p>
      <w:pPr>
        <w:ind w:right="4199" w:firstLine="527"/>
        <w:spacing w:after="0" w:line="237" w:lineRule="auto"/>
        <w:rPr>
          <w:sz w:val="20"/>
          <w:szCs w:val="20"/>
          <w:color w:val="auto"/>
        </w:rPr>
      </w:pPr>
      <w:r>
        <w:rPr>
          <w:rFonts w:ascii="Courier New" w:cs="Courier New" w:eastAsia="Courier New" w:hAnsi="Courier New"/>
          <w:sz w:val="18"/>
          <w:szCs w:val="18"/>
          <w:color w:val="auto"/>
        </w:rPr>
        <w:t>I, Cathy L. Smith, Corporate Secretary of Micron Technology, Inc., a Delaware corporation, hereby certify that the following resolution was adopted by the Board of Directors on March 3, 1986:</w:t>
      </w:r>
    </w:p>
    <w:p>
      <w:pPr>
        <w:spacing w:after="0" w:line="202" w:lineRule="exact"/>
        <w:rPr>
          <w:sz w:val="20"/>
          <w:szCs w:val="20"/>
          <w:color w:val="auto"/>
        </w:rPr>
      </w:pPr>
    </w:p>
    <w:p>
      <w:pPr>
        <w:ind w:left="540"/>
        <w:spacing w:after="0"/>
        <w:tabs>
          <w:tab w:leader="none" w:pos="1680" w:val="left"/>
        </w:tabs>
        <w:rPr>
          <w:sz w:val="20"/>
          <w:szCs w:val="20"/>
          <w:color w:val="auto"/>
        </w:rPr>
      </w:pPr>
      <w:r>
        <w:rPr>
          <w:rFonts w:ascii="Courier New" w:cs="Courier New" w:eastAsia="Courier New" w:hAnsi="Courier New"/>
          <w:sz w:val="18"/>
          <w:szCs w:val="18"/>
          <w:color w:val="auto"/>
        </w:rPr>
        <w:t>RESOLVED:</w:t>
      </w:r>
      <w:r>
        <w:rPr>
          <w:sz w:val="20"/>
          <w:szCs w:val="20"/>
          <w:color w:val="auto"/>
        </w:rPr>
        <w:tab/>
      </w:r>
      <w:r>
        <w:rPr>
          <w:rFonts w:ascii="Courier New" w:cs="Courier New" w:eastAsia="Courier New" w:hAnsi="Courier New"/>
          <w:sz w:val="16"/>
          <w:szCs w:val="16"/>
          <w:color w:val="auto"/>
        </w:rPr>
        <w:t>Article III Section 1 of the</w:t>
      </w:r>
    </w:p>
    <w:p>
      <w:pPr>
        <w:spacing w:after="0" w:line="238" w:lineRule="auto"/>
        <w:rPr>
          <w:sz w:val="20"/>
          <w:szCs w:val="20"/>
          <w:color w:val="auto"/>
        </w:rPr>
      </w:pPr>
      <w:r>
        <w:rPr>
          <w:rFonts w:ascii="Courier New" w:cs="Courier New" w:eastAsia="Courier New" w:hAnsi="Courier New"/>
          <w:sz w:val="18"/>
          <w:szCs w:val="18"/>
          <w:color w:val="auto"/>
        </w:rPr>
        <w:t>Bylaws of this corporation are hereby amended to</w:t>
      </w:r>
    </w:p>
    <w:p>
      <w:pPr>
        <w:spacing w:after="0"/>
        <w:rPr>
          <w:sz w:val="20"/>
          <w:szCs w:val="20"/>
          <w:color w:val="auto"/>
        </w:rPr>
      </w:pPr>
      <w:r>
        <w:rPr>
          <w:rFonts w:ascii="Courier New" w:cs="Courier New" w:eastAsia="Courier New" w:hAnsi="Courier New"/>
          <w:sz w:val="18"/>
          <w:szCs w:val="18"/>
          <w:color w:val="auto"/>
        </w:rPr>
        <w:t>read as follows:</w:t>
      </w:r>
    </w:p>
    <w:p>
      <w:pPr>
        <w:spacing w:after="0" w:line="200"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The authorized number</w:t>
      </w:r>
    </w:p>
    <w:p>
      <w:pPr>
        <w:spacing w:after="0" w:line="238" w:lineRule="auto"/>
        <w:rPr>
          <w:sz w:val="20"/>
          <w:szCs w:val="20"/>
          <w:color w:val="auto"/>
        </w:rPr>
      </w:pPr>
      <w:r>
        <w:rPr>
          <w:rFonts w:ascii="Courier New" w:cs="Courier New" w:eastAsia="Courier New" w:hAnsi="Courier New"/>
          <w:sz w:val="18"/>
          <w:szCs w:val="18"/>
          <w:color w:val="auto"/>
        </w:rPr>
        <w:t>of directors of the Corporation shall be</w:t>
      </w:r>
    </w:p>
    <w:p>
      <w:pPr>
        <w:spacing w:after="0"/>
        <w:tabs>
          <w:tab w:leader="none" w:pos="620" w:val="left"/>
        </w:tabs>
        <w:rPr>
          <w:sz w:val="20"/>
          <w:szCs w:val="20"/>
          <w:color w:val="auto"/>
        </w:rPr>
      </w:pPr>
      <w:r>
        <w:rPr>
          <w:rFonts w:ascii="Courier New" w:cs="Courier New" w:eastAsia="Courier New" w:hAnsi="Courier New"/>
          <w:sz w:val="18"/>
          <w:szCs w:val="18"/>
          <w:color w:val="auto"/>
        </w:rPr>
        <w:t>ten.</w:t>
      </w:r>
      <w:r>
        <w:rPr>
          <w:sz w:val="20"/>
          <w:szCs w:val="20"/>
          <w:color w:val="auto"/>
        </w:rPr>
        <w:tab/>
      </w:r>
      <w:r>
        <w:rPr>
          <w:rFonts w:ascii="Courier New" w:cs="Courier New" w:eastAsia="Courier New" w:hAnsi="Courier New"/>
          <w:sz w:val="16"/>
          <w:szCs w:val="16"/>
          <w:color w:val="auto"/>
        </w:rPr>
        <w:t>The number of directors provided</w:t>
      </w:r>
    </w:p>
    <w:p>
      <w:pPr>
        <w:spacing w:after="0" w:line="237" w:lineRule="auto"/>
        <w:rPr>
          <w:sz w:val="20"/>
          <w:szCs w:val="20"/>
          <w:color w:val="auto"/>
        </w:rPr>
      </w:pPr>
      <w:r>
        <w:rPr>
          <w:rFonts w:ascii="Courier New" w:cs="Courier New" w:eastAsia="Courier New" w:hAnsi="Courier New"/>
          <w:sz w:val="18"/>
          <w:szCs w:val="18"/>
          <w:color w:val="auto"/>
        </w:rPr>
        <w:t>in this Section 1 may be changed by a</w:t>
      </w:r>
    </w:p>
    <w:p>
      <w:pPr>
        <w:spacing w:after="0" w:line="238" w:lineRule="auto"/>
        <w:rPr>
          <w:sz w:val="20"/>
          <w:szCs w:val="20"/>
          <w:color w:val="auto"/>
        </w:rPr>
      </w:pPr>
      <w:r>
        <w:rPr>
          <w:rFonts w:ascii="Courier New" w:cs="Courier New" w:eastAsia="Courier New" w:hAnsi="Courier New"/>
          <w:sz w:val="18"/>
          <w:szCs w:val="18"/>
          <w:color w:val="auto"/>
        </w:rPr>
        <w:t>Bylaw duly adopted by the affirmative</w:t>
      </w:r>
    </w:p>
    <w:p>
      <w:pPr>
        <w:spacing w:after="0"/>
        <w:rPr>
          <w:sz w:val="20"/>
          <w:szCs w:val="20"/>
          <w:color w:val="auto"/>
        </w:rPr>
      </w:pPr>
      <w:r>
        <w:rPr>
          <w:rFonts w:ascii="Courier New" w:cs="Courier New" w:eastAsia="Courier New" w:hAnsi="Courier New"/>
          <w:sz w:val="18"/>
          <w:szCs w:val="18"/>
          <w:color w:val="auto"/>
        </w:rPr>
        <w:t>vote of a majority of the outstanding</w:t>
      </w:r>
    </w:p>
    <w:p>
      <w:pPr>
        <w:spacing w:after="0" w:line="237" w:lineRule="auto"/>
        <w:rPr>
          <w:sz w:val="20"/>
          <w:szCs w:val="20"/>
          <w:color w:val="auto"/>
        </w:rPr>
      </w:pPr>
      <w:r>
        <w:rPr>
          <w:rFonts w:ascii="Courier New" w:cs="Courier New" w:eastAsia="Courier New" w:hAnsi="Courier New"/>
          <w:sz w:val="18"/>
          <w:szCs w:val="18"/>
          <w:color w:val="auto"/>
        </w:rPr>
        <w:t>shares entitled to vote or by a</w:t>
      </w:r>
    </w:p>
    <w:p>
      <w:pPr>
        <w:spacing w:after="0"/>
        <w:rPr>
          <w:sz w:val="20"/>
          <w:szCs w:val="20"/>
          <w:color w:val="auto"/>
        </w:rPr>
      </w:pPr>
      <w:r>
        <w:rPr>
          <w:rFonts w:ascii="Courier New" w:cs="Courier New" w:eastAsia="Courier New" w:hAnsi="Courier New"/>
          <w:sz w:val="18"/>
          <w:szCs w:val="18"/>
          <w:color w:val="auto"/>
        </w:rPr>
        <w:t>resolution of the Board of Directors.</w:t>
      </w:r>
    </w:p>
    <w:p>
      <w:pPr>
        <w:spacing w:after="0" w:line="206" w:lineRule="exact"/>
        <w:rPr>
          <w:sz w:val="20"/>
          <w:szCs w:val="20"/>
          <w:color w:val="auto"/>
        </w:rPr>
      </w:pPr>
    </w:p>
    <w:p>
      <w:pPr>
        <w:ind w:right="3999" w:firstLine="527"/>
        <w:spacing w:after="0" w:line="236" w:lineRule="auto"/>
        <w:rPr>
          <w:sz w:val="20"/>
          <w:szCs w:val="20"/>
          <w:color w:val="auto"/>
        </w:rPr>
      </w:pPr>
      <w:r>
        <w:rPr>
          <w:rFonts w:ascii="Courier New" w:cs="Courier New" w:eastAsia="Courier New" w:hAnsi="Courier New"/>
          <w:sz w:val="18"/>
          <w:szCs w:val="18"/>
          <w:color w:val="auto"/>
        </w:rPr>
        <w:t>IN WITNESS WHEREOF, I have hereunto set my hand and affixed the corporate seal of said corporation effective as of the 3rd day of March, 1986.</w:t>
      </w:r>
    </w:p>
    <w:p>
      <w:pPr>
        <w:spacing w:after="0" w:line="1" w:lineRule="exact"/>
        <w:rPr>
          <w:sz w:val="20"/>
          <w:szCs w:val="20"/>
          <w:color w:val="auto"/>
        </w:rPr>
      </w:pPr>
    </w:p>
    <w:p>
      <w:pPr>
        <w:ind w:left="1900" w:hanging="1155"/>
        <w:spacing w:after="0"/>
        <w:tabs>
          <w:tab w:leader="none" w:pos="190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Cathy L. Smith</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Corporate 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514" w:right="1440"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8"/>
          <w:szCs w:val="18"/>
          <w:color w:val="auto"/>
        </w:rPr>
        <w:t>CERTIFICATE THIRD AMENDMENT</w:t>
      </w:r>
    </w:p>
    <w:p>
      <w:pPr>
        <w:spacing w:after="0" w:line="238" w:lineRule="auto"/>
        <w:rPr>
          <w:sz w:val="20"/>
          <w:szCs w:val="20"/>
          <w:color w:val="auto"/>
        </w:rPr>
      </w:pPr>
      <w:r>
        <w:rPr>
          <w:rFonts w:ascii="Courier New" w:cs="Courier New" w:eastAsia="Courier New" w:hAnsi="Courier New"/>
          <w:sz w:val="18"/>
          <w:szCs w:val="18"/>
          <w:color w:val="auto"/>
        </w:rPr>
        <w:t>TO THE BYLAWS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9" w:lineRule="exact"/>
        <w:rPr>
          <w:sz w:val="20"/>
          <w:szCs w:val="20"/>
          <w:color w:val="auto"/>
        </w:rPr>
      </w:pPr>
    </w:p>
    <w:p>
      <w:pPr>
        <w:ind w:right="4199" w:firstLine="527"/>
        <w:spacing w:after="0" w:line="237" w:lineRule="auto"/>
        <w:rPr>
          <w:sz w:val="20"/>
          <w:szCs w:val="20"/>
          <w:color w:val="auto"/>
        </w:rPr>
      </w:pPr>
      <w:r>
        <w:rPr>
          <w:rFonts w:ascii="Courier New" w:cs="Courier New" w:eastAsia="Courier New" w:hAnsi="Courier New"/>
          <w:sz w:val="18"/>
          <w:szCs w:val="18"/>
          <w:color w:val="auto"/>
        </w:rPr>
        <w:t>I, Cathy L. Smith, Corporate Secretary of Micron Technology, Inc., a Delaware corporation, hereby certify that the following resolution was adopted by the Board of Directors on November 24, 1986:</w:t>
      </w:r>
    </w:p>
    <w:p>
      <w:pPr>
        <w:spacing w:after="0" w:line="202" w:lineRule="exact"/>
        <w:rPr>
          <w:sz w:val="20"/>
          <w:szCs w:val="20"/>
          <w:color w:val="auto"/>
        </w:rPr>
      </w:pPr>
    </w:p>
    <w:p>
      <w:pPr>
        <w:ind w:left="540"/>
        <w:spacing w:after="0"/>
        <w:tabs>
          <w:tab w:leader="none" w:pos="1680" w:val="left"/>
        </w:tabs>
        <w:rPr>
          <w:sz w:val="20"/>
          <w:szCs w:val="20"/>
          <w:color w:val="auto"/>
        </w:rPr>
      </w:pPr>
      <w:r>
        <w:rPr>
          <w:rFonts w:ascii="Courier New" w:cs="Courier New" w:eastAsia="Courier New" w:hAnsi="Courier New"/>
          <w:sz w:val="18"/>
          <w:szCs w:val="18"/>
          <w:color w:val="auto"/>
        </w:rPr>
        <w:t>RESOLVED:</w:t>
      </w:r>
      <w:r>
        <w:rPr>
          <w:sz w:val="20"/>
          <w:szCs w:val="20"/>
          <w:color w:val="auto"/>
        </w:rPr>
        <w:tab/>
      </w:r>
      <w:r>
        <w:rPr>
          <w:rFonts w:ascii="Courier New" w:cs="Courier New" w:eastAsia="Courier New" w:hAnsi="Courier New"/>
          <w:sz w:val="16"/>
          <w:szCs w:val="16"/>
          <w:color w:val="auto"/>
        </w:rPr>
        <w:t>Article III Section 1 of the</w:t>
      </w:r>
    </w:p>
    <w:p>
      <w:pPr>
        <w:spacing w:after="0" w:line="238" w:lineRule="auto"/>
        <w:rPr>
          <w:sz w:val="20"/>
          <w:szCs w:val="20"/>
          <w:color w:val="auto"/>
        </w:rPr>
      </w:pPr>
      <w:r>
        <w:rPr>
          <w:rFonts w:ascii="Courier New" w:cs="Courier New" w:eastAsia="Courier New" w:hAnsi="Courier New"/>
          <w:sz w:val="18"/>
          <w:szCs w:val="18"/>
          <w:color w:val="auto"/>
        </w:rPr>
        <w:t>Bylaws of this corporation are hereby amended to</w:t>
      </w:r>
    </w:p>
    <w:p>
      <w:pPr>
        <w:spacing w:after="0"/>
        <w:rPr>
          <w:sz w:val="20"/>
          <w:szCs w:val="20"/>
          <w:color w:val="auto"/>
        </w:rPr>
      </w:pPr>
      <w:r>
        <w:rPr>
          <w:rFonts w:ascii="Courier New" w:cs="Courier New" w:eastAsia="Courier New" w:hAnsi="Courier New"/>
          <w:sz w:val="18"/>
          <w:szCs w:val="18"/>
          <w:color w:val="auto"/>
        </w:rPr>
        <w:t>read as follows:</w:t>
      </w:r>
    </w:p>
    <w:p>
      <w:pPr>
        <w:spacing w:after="0" w:line="200"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The authorized number</w:t>
      </w:r>
    </w:p>
    <w:p>
      <w:pPr>
        <w:spacing w:after="0" w:line="238" w:lineRule="auto"/>
        <w:rPr>
          <w:sz w:val="20"/>
          <w:szCs w:val="20"/>
          <w:color w:val="auto"/>
        </w:rPr>
      </w:pPr>
      <w:r>
        <w:rPr>
          <w:rFonts w:ascii="Courier New" w:cs="Courier New" w:eastAsia="Courier New" w:hAnsi="Courier New"/>
          <w:sz w:val="18"/>
          <w:szCs w:val="18"/>
          <w:color w:val="auto"/>
        </w:rPr>
        <w:t>of directors of the Corporation shall be</w:t>
      </w:r>
    </w:p>
    <w:p>
      <w:pPr>
        <w:spacing w:after="0"/>
        <w:tabs>
          <w:tab w:leader="none" w:pos="720" w:val="left"/>
        </w:tabs>
        <w:rPr>
          <w:sz w:val="20"/>
          <w:szCs w:val="20"/>
          <w:color w:val="auto"/>
        </w:rPr>
      </w:pPr>
      <w:r>
        <w:rPr>
          <w:rFonts w:ascii="Courier New" w:cs="Courier New" w:eastAsia="Courier New" w:hAnsi="Courier New"/>
          <w:sz w:val="18"/>
          <w:szCs w:val="18"/>
          <w:color w:val="auto"/>
        </w:rPr>
        <w:t>nine.</w:t>
      </w:r>
      <w:r>
        <w:rPr>
          <w:sz w:val="20"/>
          <w:szCs w:val="20"/>
          <w:color w:val="auto"/>
        </w:rPr>
        <w:tab/>
      </w:r>
      <w:r>
        <w:rPr>
          <w:rFonts w:ascii="Courier New" w:cs="Courier New" w:eastAsia="Courier New" w:hAnsi="Courier New"/>
          <w:sz w:val="16"/>
          <w:szCs w:val="16"/>
          <w:color w:val="auto"/>
        </w:rPr>
        <w:t>The number of directors provided</w:t>
      </w:r>
    </w:p>
    <w:p>
      <w:pPr>
        <w:spacing w:after="0" w:line="237" w:lineRule="auto"/>
        <w:rPr>
          <w:sz w:val="20"/>
          <w:szCs w:val="20"/>
          <w:color w:val="auto"/>
        </w:rPr>
      </w:pPr>
      <w:r>
        <w:rPr>
          <w:rFonts w:ascii="Courier New" w:cs="Courier New" w:eastAsia="Courier New" w:hAnsi="Courier New"/>
          <w:sz w:val="18"/>
          <w:szCs w:val="18"/>
          <w:color w:val="auto"/>
        </w:rPr>
        <w:t>in this Section 1 may be changed by a</w:t>
      </w:r>
    </w:p>
    <w:p>
      <w:pPr>
        <w:spacing w:after="0" w:line="238" w:lineRule="auto"/>
        <w:rPr>
          <w:sz w:val="20"/>
          <w:szCs w:val="20"/>
          <w:color w:val="auto"/>
        </w:rPr>
      </w:pPr>
      <w:r>
        <w:rPr>
          <w:rFonts w:ascii="Courier New" w:cs="Courier New" w:eastAsia="Courier New" w:hAnsi="Courier New"/>
          <w:sz w:val="18"/>
          <w:szCs w:val="18"/>
          <w:color w:val="auto"/>
        </w:rPr>
        <w:t>Bylaw duly adopted by the affirmative</w:t>
      </w:r>
    </w:p>
    <w:p>
      <w:pPr>
        <w:spacing w:after="0"/>
        <w:rPr>
          <w:sz w:val="20"/>
          <w:szCs w:val="20"/>
          <w:color w:val="auto"/>
        </w:rPr>
      </w:pPr>
      <w:r>
        <w:rPr>
          <w:rFonts w:ascii="Courier New" w:cs="Courier New" w:eastAsia="Courier New" w:hAnsi="Courier New"/>
          <w:sz w:val="18"/>
          <w:szCs w:val="18"/>
          <w:color w:val="auto"/>
        </w:rPr>
        <w:t>vote of a majority of the outstanding</w:t>
      </w:r>
    </w:p>
    <w:p>
      <w:pPr>
        <w:spacing w:after="0" w:line="237" w:lineRule="auto"/>
        <w:rPr>
          <w:sz w:val="20"/>
          <w:szCs w:val="20"/>
          <w:color w:val="auto"/>
        </w:rPr>
      </w:pPr>
      <w:r>
        <w:rPr>
          <w:rFonts w:ascii="Courier New" w:cs="Courier New" w:eastAsia="Courier New" w:hAnsi="Courier New"/>
          <w:sz w:val="18"/>
          <w:szCs w:val="18"/>
          <w:color w:val="auto"/>
        </w:rPr>
        <w:t>shares entitled to vote or by a</w:t>
      </w:r>
    </w:p>
    <w:p>
      <w:pPr>
        <w:spacing w:after="0"/>
        <w:rPr>
          <w:sz w:val="20"/>
          <w:szCs w:val="20"/>
          <w:color w:val="auto"/>
        </w:rPr>
      </w:pPr>
      <w:r>
        <w:rPr>
          <w:rFonts w:ascii="Courier New" w:cs="Courier New" w:eastAsia="Courier New" w:hAnsi="Courier New"/>
          <w:sz w:val="18"/>
          <w:szCs w:val="18"/>
          <w:color w:val="auto"/>
        </w:rPr>
        <w:t>resolution of the Board of Directors.</w:t>
      </w:r>
    </w:p>
    <w:p>
      <w:pPr>
        <w:spacing w:after="0" w:line="206" w:lineRule="exact"/>
        <w:rPr>
          <w:sz w:val="20"/>
          <w:szCs w:val="20"/>
          <w:color w:val="auto"/>
        </w:rPr>
      </w:pPr>
    </w:p>
    <w:p>
      <w:pPr>
        <w:ind w:right="3999" w:firstLine="527"/>
        <w:spacing w:after="0" w:line="236" w:lineRule="auto"/>
        <w:rPr>
          <w:sz w:val="20"/>
          <w:szCs w:val="20"/>
          <w:color w:val="auto"/>
        </w:rPr>
      </w:pPr>
      <w:r>
        <w:rPr>
          <w:rFonts w:ascii="Courier New" w:cs="Courier New" w:eastAsia="Courier New" w:hAnsi="Courier New"/>
          <w:sz w:val="18"/>
          <w:szCs w:val="18"/>
          <w:color w:val="auto"/>
        </w:rPr>
        <w:t>IN WITNESS WHEREOF, I hereunto set my hand and affixed the corporate seal of said corporation effective as of the 24th day of November, 1986.</w:t>
      </w:r>
    </w:p>
    <w:p>
      <w:pPr>
        <w:spacing w:after="0" w:line="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Cathy L. Smith</w:t>
      </w:r>
    </w:p>
    <w:p>
      <w:pPr>
        <w:ind w:left="3380"/>
        <w:spacing w:after="0"/>
        <w:rPr>
          <w:sz w:val="20"/>
          <w:szCs w:val="20"/>
          <w:color w:val="auto"/>
        </w:rPr>
      </w:pPr>
      <w:r>
        <w:rPr>
          <w:rFonts w:ascii="Courier New" w:cs="Courier New" w:eastAsia="Courier New" w:hAnsi="Courier New"/>
          <w:sz w:val="18"/>
          <w:szCs w:val="18"/>
          <w:color w:val="auto"/>
        </w:rPr>
        <w:t>--------------</w:t>
      </w:r>
    </w:p>
    <w:p>
      <w:pPr>
        <w:ind w:left="3380"/>
        <w:spacing w:after="0" w:line="237" w:lineRule="auto"/>
        <w:rPr>
          <w:sz w:val="20"/>
          <w:szCs w:val="20"/>
          <w:color w:val="auto"/>
        </w:rPr>
      </w:pPr>
      <w:r>
        <w:rPr>
          <w:rFonts w:ascii="Courier New" w:cs="Courier New" w:eastAsia="Courier New" w:hAnsi="Courier New"/>
          <w:sz w:val="18"/>
          <w:szCs w:val="18"/>
          <w:color w:val="auto"/>
        </w:rPr>
        <w:t>Corporate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514"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8"/>
          <w:szCs w:val="18"/>
          <w:color w:val="auto"/>
        </w:rPr>
        <w:t>CERTIFICATE OF FOURTH AMENDMENT</w:t>
      </w:r>
    </w:p>
    <w:p>
      <w:pPr>
        <w:spacing w:after="0" w:line="238" w:lineRule="auto"/>
        <w:rPr>
          <w:sz w:val="20"/>
          <w:szCs w:val="20"/>
          <w:color w:val="auto"/>
        </w:rPr>
      </w:pPr>
      <w:r>
        <w:rPr>
          <w:rFonts w:ascii="Courier New" w:cs="Courier New" w:eastAsia="Courier New" w:hAnsi="Courier New"/>
          <w:sz w:val="18"/>
          <w:szCs w:val="18"/>
          <w:color w:val="auto"/>
        </w:rPr>
        <w:t>TO THE BYLAWS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9" w:lineRule="exact"/>
        <w:rPr>
          <w:sz w:val="20"/>
          <w:szCs w:val="20"/>
          <w:color w:val="auto"/>
        </w:rPr>
      </w:pPr>
    </w:p>
    <w:p>
      <w:pPr>
        <w:ind w:right="4199" w:firstLine="527"/>
        <w:spacing w:after="0" w:line="237" w:lineRule="auto"/>
        <w:rPr>
          <w:sz w:val="20"/>
          <w:szCs w:val="20"/>
          <w:color w:val="auto"/>
        </w:rPr>
      </w:pPr>
      <w:r>
        <w:rPr>
          <w:rFonts w:ascii="Courier New" w:cs="Courier New" w:eastAsia="Courier New" w:hAnsi="Courier New"/>
          <w:sz w:val="18"/>
          <w:szCs w:val="18"/>
          <w:color w:val="auto"/>
        </w:rPr>
        <w:t>I, Cathy L. Smith, Corporate Secretary of Micron Technology, Inc., a Delaware corporation, hereby certify that the following resolution was adopted by the Board of Directors on September 28, 1987:</w:t>
      </w:r>
    </w:p>
    <w:p>
      <w:pPr>
        <w:spacing w:after="0" w:line="202" w:lineRule="exact"/>
        <w:rPr>
          <w:sz w:val="20"/>
          <w:szCs w:val="20"/>
          <w:color w:val="auto"/>
        </w:rPr>
      </w:pPr>
    </w:p>
    <w:p>
      <w:pPr>
        <w:ind w:left="540"/>
        <w:spacing w:after="0"/>
        <w:tabs>
          <w:tab w:leader="none" w:pos="1680" w:val="left"/>
        </w:tabs>
        <w:rPr>
          <w:sz w:val="20"/>
          <w:szCs w:val="20"/>
          <w:color w:val="auto"/>
        </w:rPr>
      </w:pPr>
      <w:r>
        <w:rPr>
          <w:rFonts w:ascii="Courier New" w:cs="Courier New" w:eastAsia="Courier New" w:hAnsi="Courier New"/>
          <w:sz w:val="18"/>
          <w:szCs w:val="18"/>
          <w:color w:val="auto"/>
        </w:rPr>
        <w:t>RESOLVED:</w:t>
      </w:r>
      <w:r>
        <w:rPr>
          <w:sz w:val="20"/>
          <w:szCs w:val="20"/>
          <w:color w:val="auto"/>
        </w:rPr>
        <w:tab/>
      </w:r>
      <w:r>
        <w:rPr>
          <w:rFonts w:ascii="Courier New" w:cs="Courier New" w:eastAsia="Courier New" w:hAnsi="Courier New"/>
          <w:sz w:val="16"/>
          <w:szCs w:val="16"/>
          <w:color w:val="auto"/>
        </w:rPr>
        <w:t>Article III Section 1 of the</w:t>
      </w:r>
    </w:p>
    <w:p>
      <w:pPr>
        <w:spacing w:after="0" w:line="238" w:lineRule="auto"/>
        <w:rPr>
          <w:sz w:val="20"/>
          <w:szCs w:val="20"/>
          <w:color w:val="auto"/>
        </w:rPr>
      </w:pPr>
      <w:r>
        <w:rPr>
          <w:rFonts w:ascii="Courier New" w:cs="Courier New" w:eastAsia="Courier New" w:hAnsi="Courier New"/>
          <w:sz w:val="18"/>
          <w:szCs w:val="18"/>
          <w:color w:val="auto"/>
        </w:rPr>
        <w:t>Bylaws of this corporation are hereby amended to</w:t>
      </w:r>
    </w:p>
    <w:p>
      <w:pPr>
        <w:spacing w:after="0"/>
        <w:rPr>
          <w:sz w:val="20"/>
          <w:szCs w:val="20"/>
          <w:color w:val="auto"/>
        </w:rPr>
      </w:pPr>
      <w:r>
        <w:rPr>
          <w:rFonts w:ascii="Courier New" w:cs="Courier New" w:eastAsia="Courier New" w:hAnsi="Courier New"/>
          <w:sz w:val="18"/>
          <w:szCs w:val="18"/>
          <w:color w:val="auto"/>
        </w:rPr>
        <w:t>read as follows:</w:t>
      </w:r>
    </w:p>
    <w:p>
      <w:pPr>
        <w:spacing w:after="0" w:line="200"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The authorized number</w:t>
      </w:r>
    </w:p>
    <w:p>
      <w:pPr>
        <w:spacing w:after="0" w:line="238" w:lineRule="auto"/>
        <w:rPr>
          <w:sz w:val="20"/>
          <w:szCs w:val="20"/>
          <w:color w:val="auto"/>
        </w:rPr>
      </w:pPr>
      <w:r>
        <w:rPr>
          <w:rFonts w:ascii="Courier New" w:cs="Courier New" w:eastAsia="Courier New" w:hAnsi="Courier New"/>
          <w:sz w:val="18"/>
          <w:szCs w:val="18"/>
          <w:color w:val="auto"/>
        </w:rPr>
        <w:t>of directors of the Corporation shall be</w:t>
      </w:r>
    </w:p>
    <w:p>
      <w:pPr>
        <w:spacing w:after="0"/>
        <w:tabs>
          <w:tab w:leader="none" w:pos="840" w:val="left"/>
        </w:tabs>
        <w:rPr>
          <w:sz w:val="20"/>
          <w:szCs w:val="20"/>
          <w:color w:val="auto"/>
        </w:rPr>
      </w:pPr>
      <w:r>
        <w:rPr>
          <w:rFonts w:ascii="Courier New" w:cs="Courier New" w:eastAsia="Courier New" w:hAnsi="Courier New"/>
          <w:sz w:val="18"/>
          <w:szCs w:val="18"/>
          <w:color w:val="auto"/>
        </w:rPr>
        <w:t>eight.</w:t>
        <w:tab/>
        <w:t>The number of directors provided</w:t>
      </w:r>
    </w:p>
    <w:p>
      <w:pPr>
        <w:spacing w:after="0" w:line="237" w:lineRule="auto"/>
        <w:rPr>
          <w:sz w:val="20"/>
          <w:szCs w:val="20"/>
          <w:color w:val="auto"/>
        </w:rPr>
      </w:pPr>
      <w:r>
        <w:rPr>
          <w:rFonts w:ascii="Courier New" w:cs="Courier New" w:eastAsia="Courier New" w:hAnsi="Courier New"/>
          <w:sz w:val="18"/>
          <w:szCs w:val="18"/>
          <w:color w:val="auto"/>
        </w:rPr>
        <w:t>in this Section 1 may be changed by a</w:t>
      </w:r>
    </w:p>
    <w:p>
      <w:pPr>
        <w:spacing w:after="0" w:line="238" w:lineRule="auto"/>
        <w:rPr>
          <w:sz w:val="20"/>
          <w:szCs w:val="20"/>
          <w:color w:val="auto"/>
        </w:rPr>
      </w:pPr>
      <w:r>
        <w:rPr>
          <w:rFonts w:ascii="Courier New" w:cs="Courier New" w:eastAsia="Courier New" w:hAnsi="Courier New"/>
          <w:sz w:val="18"/>
          <w:szCs w:val="18"/>
          <w:color w:val="auto"/>
        </w:rPr>
        <w:t>Bylaw duly adopted by the affirmative</w:t>
      </w:r>
    </w:p>
    <w:p>
      <w:pPr>
        <w:spacing w:after="0"/>
        <w:rPr>
          <w:sz w:val="20"/>
          <w:szCs w:val="20"/>
          <w:color w:val="auto"/>
        </w:rPr>
      </w:pPr>
      <w:r>
        <w:rPr>
          <w:rFonts w:ascii="Courier New" w:cs="Courier New" w:eastAsia="Courier New" w:hAnsi="Courier New"/>
          <w:sz w:val="18"/>
          <w:szCs w:val="18"/>
          <w:color w:val="auto"/>
        </w:rPr>
        <w:t>vote of a majority of the outstanding</w:t>
      </w:r>
    </w:p>
    <w:p>
      <w:pPr>
        <w:spacing w:after="0" w:line="237" w:lineRule="auto"/>
        <w:rPr>
          <w:sz w:val="20"/>
          <w:szCs w:val="20"/>
          <w:color w:val="auto"/>
        </w:rPr>
      </w:pPr>
      <w:r>
        <w:rPr>
          <w:rFonts w:ascii="Courier New" w:cs="Courier New" w:eastAsia="Courier New" w:hAnsi="Courier New"/>
          <w:sz w:val="18"/>
          <w:szCs w:val="18"/>
          <w:color w:val="auto"/>
        </w:rPr>
        <w:t>shares entitled to vote or by a</w:t>
      </w:r>
    </w:p>
    <w:p>
      <w:pPr>
        <w:spacing w:after="0"/>
        <w:rPr>
          <w:sz w:val="20"/>
          <w:szCs w:val="20"/>
          <w:color w:val="auto"/>
        </w:rPr>
      </w:pPr>
      <w:r>
        <w:rPr>
          <w:rFonts w:ascii="Courier New" w:cs="Courier New" w:eastAsia="Courier New" w:hAnsi="Courier New"/>
          <w:sz w:val="18"/>
          <w:szCs w:val="18"/>
          <w:color w:val="auto"/>
        </w:rPr>
        <w:t>resolution of the Board of Directors.</w:t>
      </w: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 WITNESS WHEREOF, I hereunto set my hand and affixed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corporate seal of said corporation effective as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28th day of September, 1987.</w:t>
      </w:r>
    </w:p>
    <w:p>
      <w:pPr>
        <w:spacing w:after="0"/>
        <w:tabs>
          <w:tab w:leader="none" w:pos="14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Cathy L. Smith</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Cathy L. Smith</w:t>
      </w:r>
    </w:p>
    <w:p>
      <w:pPr>
        <w:ind w:left="3480"/>
        <w:spacing w:after="0" w:line="237" w:lineRule="auto"/>
        <w:rPr>
          <w:sz w:val="20"/>
          <w:szCs w:val="20"/>
          <w:color w:val="auto"/>
        </w:rPr>
      </w:pPr>
      <w:r>
        <w:rPr>
          <w:rFonts w:ascii="Courier New" w:cs="Courier New" w:eastAsia="Courier New" w:hAnsi="Courier New"/>
          <w:sz w:val="18"/>
          <w:szCs w:val="18"/>
          <w:color w:val="auto"/>
        </w:rPr>
        <w:t>Corporate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514"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8"/>
          <w:szCs w:val="18"/>
          <w:color w:val="auto"/>
        </w:rPr>
        <w:t>CERTIFICATE OF FIFTH AMENDMENT</w:t>
      </w:r>
    </w:p>
    <w:p>
      <w:pPr>
        <w:spacing w:after="0" w:line="238" w:lineRule="auto"/>
        <w:rPr>
          <w:sz w:val="20"/>
          <w:szCs w:val="20"/>
          <w:color w:val="auto"/>
        </w:rPr>
      </w:pPr>
      <w:r>
        <w:rPr>
          <w:rFonts w:ascii="Courier New" w:cs="Courier New" w:eastAsia="Courier New" w:hAnsi="Courier New"/>
          <w:sz w:val="18"/>
          <w:szCs w:val="18"/>
          <w:color w:val="auto"/>
        </w:rPr>
        <w:t>TO THE BYLAWS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9" w:lineRule="exact"/>
        <w:rPr>
          <w:sz w:val="20"/>
          <w:szCs w:val="20"/>
          <w:color w:val="auto"/>
        </w:rPr>
      </w:pPr>
    </w:p>
    <w:p>
      <w:pPr>
        <w:ind w:right="4199" w:firstLine="527"/>
        <w:spacing w:after="0" w:line="237" w:lineRule="auto"/>
        <w:rPr>
          <w:sz w:val="20"/>
          <w:szCs w:val="20"/>
          <w:color w:val="auto"/>
        </w:rPr>
      </w:pPr>
      <w:r>
        <w:rPr>
          <w:rFonts w:ascii="Courier New" w:cs="Courier New" w:eastAsia="Courier New" w:hAnsi="Courier New"/>
          <w:sz w:val="18"/>
          <w:szCs w:val="18"/>
          <w:color w:val="auto"/>
        </w:rPr>
        <w:t>I, Cathy L. Smith, Corporate Secretary of Micron Technology, Inc., a Delaware corporation, hereby certify that the following resolution was adopted by the Board of Directors on March 28, 1988:</w:t>
      </w:r>
    </w:p>
    <w:p>
      <w:pPr>
        <w:spacing w:after="0" w:line="202" w:lineRule="exact"/>
        <w:rPr>
          <w:sz w:val="20"/>
          <w:szCs w:val="20"/>
          <w:color w:val="auto"/>
        </w:rPr>
      </w:pPr>
    </w:p>
    <w:p>
      <w:pPr>
        <w:ind w:left="540"/>
        <w:spacing w:after="0"/>
        <w:tabs>
          <w:tab w:leader="none" w:pos="1680" w:val="left"/>
        </w:tabs>
        <w:rPr>
          <w:sz w:val="20"/>
          <w:szCs w:val="20"/>
          <w:color w:val="auto"/>
        </w:rPr>
      </w:pPr>
      <w:r>
        <w:rPr>
          <w:rFonts w:ascii="Courier New" w:cs="Courier New" w:eastAsia="Courier New" w:hAnsi="Courier New"/>
          <w:sz w:val="18"/>
          <w:szCs w:val="18"/>
          <w:color w:val="auto"/>
        </w:rPr>
        <w:t>RESOLVED:</w:t>
      </w:r>
      <w:r>
        <w:rPr>
          <w:sz w:val="20"/>
          <w:szCs w:val="20"/>
          <w:color w:val="auto"/>
        </w:rPr>
        <w:tab/>
      </w:r>
      <w:r>
        <w:rPr>
          <w:rFonts w:ascii="Courier New" w:cs="Courier New" w:eastAsia="Courier New" w:hAnsi="Courier New"/>
          <w:sz w:val="16"/>
          <w:szCs w:val="16"/>
          <w:color w:val="auto"/>
        </w:rPr>
        <w:t>Article III Section 1 of the</w:t>
      </w:r>
    </w:p>
    <w:p>
      <w:pPr>
        <w:spacing w:after="0" w:line="238" w:lineRule="auto"/>
        <w:rPr>
          <w:sz w:val="20"/>
          <w:szCs w:val="20"/>
          <w:color w:val="auto"/>
        </w:rPr>
      </w:pPr>
      <w:r>
        <w:rPr>
          <w:rFonts w:ascii="Courier New" w:cs="Courier New" w:eastAsia="Courier New" w:hAnsi="Courier New"/>
          <w:sz w:val="18"/>
          <w:szCs w:val="18"/>
          <w:color w:val="auto"/>
        </w:rPr>
        <w:t>Bylaws of this corporation are hereby amended to</w:t>
      </w:r>
    </w:p>
    <w:p>
      <w:pPr>
        <w:spacing w:after="0"/>
        <w:rPr>
          <w:sz w:val="20"/>
          <w:szCs w:val="20"/>
          <w:color w:val="auto"/>
        </w:rPr>
      </w:pPr>
      <w:r>
        <w:rPr>
          <w:rFonts w:ascii="Courier New" w:cs="Courier New" w:eastAsia="Courier New" w:hAnsi="Courier New"/>
          <w:sz w:val="18"/>
          <w:szCs w:val="18"/>
          <w:color w:val="auto"/>
        </w:rPr>
        <w:t>read as follows:</w:t>
      </w:r>
    </w:p>
    <w:p>
      <w:pPr>
        <w:spacing w:after="0" w:line="200"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The authorized number</w:t>
      </w:r>
    </w:p>
    <w:p>
      <w:pPr>
        <w:spacing w:after="0" w:line="238" w:lineRule="auto"/>
        <w:rPr>
          <w:sz w:val="20"/>
          <w:szCs w:val="20"/>
          <w:color w:val="auto"/>
        </w:rPr>
      </w:pPr>
      <w:r>
        <w:rPr>
          <w:rFonts w:ascii="Courier New" w:cs="Courier New" w:eastAsia="Courier New" w:hAnsi="Courier New"/>
          <w:sz w:val="18"/>
          <w:szCs w:val="18"/>
          <w:color w:val="auto"/>
        </w:rPr>
        <w:t>of directors of the Corporation shall be</w:t>
      </w:r>
    </w:p>
    <w:p>
      <w:pPr>
        <w:spacing w:after="0"/>
        <w:tabs>
          <w:tab w:leader="none" w:pos="720" w:val="left"/>
        </w:tabs>
        <w:rPr>
          <w:sz w:val="20"/>
          <w:szCs w:val="20"/>
          <w:color w:val="auto"/>
        </w:rPr>
      </w:pPr>
      <w:r>
        <w:rPr>
          <w:rFonts w:ascii="Courier New" w:cs="Courier New" w:eastAsia="Courier New" w:hAnsi="Courier New"/>
          <w:sz w:val="18"/>
          <w:szCs w:val="18"/>
          <w:color w:val="auto"/>
        </w:rPr>
        <w:t>nine.</w:t>
      </w:r>
      <w:r>
        <w:rPr>
          <w:sz w:val="20"/>
          <w:szCs w:val="20"/>
          <w:color w:val="auto"/>
        </w:rPr>
        <w:tab/>
      </w:r>
      <w:r>
        <w:rPr>
          <w:rFonts w:ascii="Courier New" w:cs="Courier New" w:eastAsia="Courier New" w:hAnsi="Courier New"/>
          <w:sz w:val="16"/>
          <w:szCs w:val="16"/>
          <w:color w:val="auto"/>
        </w:rPr>
        <w:t>The number of directors provided</w:t>
      </w:r>
    </w:p>
    <w:p>
      <w:pPr>
        <w:spacing w:after="0" w:line="237" w:lineRule="auto"/>
        <w:rPr>
          <w:sz w:val="20"/>
          <w:szCs w:val="20"/>
          <w:color w:val="auto"/>
        </w:rPr>
      </w:pPr>
      <w:r>
        <w:rPr>
          <w:rFonts w:ascii="Courier New" w:cs="Courier New" w:eastAsia="Courier New" w:hAnsi="Courier New"/>
          <w:sz w:val="18"/>
          <w:szCs w:val="18"/>
          <w:color w:val="auto"/>
        </w:rPr>
        <w:t>in this Section 1 may be changed by a</w:t>
      </w:r>
    </w:p>
    <w:p>
      <w:pPr>
        <w:spacing w:after="0" w:line="238" w:lineRule="auto"/>
        <w:rPr>
          <w:sz w:val="20"/>
          <w:szCs w:val="20"/>
          <w:color w:val="auto"/>
        </w:rPr>
      </w:pPr>
      <w:r>
        <w:rPr>
          <w:rFonts w:ascii="Courier New" w:cs="Courier New" w:eastAsia="Courier New" w:hAnsi="Courier New"/>
          <w:sz w:val="18"/>
          <w:szCs w:val="18"/>
          <w:color w:val="auto"/>
        </w:rPr>
        <w:t>Bylaw duly adopted by the affirmative</w:t>
      </w:r>
    </w:p>
    <w:p>
      <w:pPr>
        <w:spacing w:after="0"/>
        <w:rPr>
          <w:sz w:val="20"/>
          <w:szCs w:val="20"/>
          <w:color w:val="auto"/>
        </w:rPr>
      </w:pPr>
      <w:r>
        <w:rPr>
          <w:rFonts w:ascii="Courier New" w:cs="Courier New" w:eastAsia="Courier New" w:hAnsi="Courier New"/>
          <w:sz w:val="18"/>
          <w:szCs w:val="18"/>
          <w:color w:val="auto"/>
        </w:rPr>
        <w:t>vote of a majority of the outstanding</w:t>
      </w:r>
    </w:p>
    <w:p>
      <w:pPr>
        <w:spacing w:after="0" w:line="237" w:lineRule="auto"/>
        <w:rPr>
          <w:sz w:val="20"/>
          <w:szCs w:val="20"/>
          <w:color w:val="auto"/>
        </w:rPr>
      </w:pPr>
      <w:r>
        <w:rPr>
          <w:rFonts w:ascii="Courier New" w:cs="Courier New" w:eastAsia="Courier New" w:hAnsi="Courier New"/>
          <w:sz w:val="18"/>
          <w:szCs w:val="18"/>
          <w:color w:val="auto"/>
        </w:rPr>
        <w:t>shares entitled to vote or by a</w:t>
      </w:r>
    </w:p>
    <w:p>
      <w:pPr>
        <w:spacing w:after="0"/>
        <w:rPr>
          <w:sz w:val="20"/>
          <w:szCs w:val="20"/>
          <w:color w:val="auto"/>
        </w:rPr>
      </w:pPr>
      <w:r>
        <w:rPr>
          <w:rFonts w:ascii="Courier New" w:cs="Courier New" w:eastAsia="Courier New" w:hAnsi="Courier New"/>
          <w:sz w:val="18"/>
          <w:szCs w:val="18"/>
          <w:color w:val="auto"/>
        </w:rPr>
        <w:t>resolution of the Board of Directors.</w:t>
      </w:r>
    </w:p>
    <w:p>
      <w:pPr>
        <w:spacing w:after="0" w:line="206" w:lineRule="exact"/>
        <w:rPr>
          <w:sz w:val="20"/>
          <w:szCs w:val="20"/>
          <w:color w:val="auto"/>
        </w:rPr>
      </w:pPr>
    </w:p>
    <w:p>
      <w:pPr>
        <w:ind w:right="3999" w:firstLine="527"/>
        <w:spacing w:after="0" w:line="236" w:lineRule="auto"/>
        <w:rPr>
          <w:sz w:val="20"/>
          <w:szCs w:val="20"/>
          <w:color w:val="auto"/>
        </w:rPr>
      </w:pPr>
      <w:r>
        <w:rPr>
          <w:rFonts w:ascii="Courier New" w:cs="Courier New" w:eastAsia="Courier New" w:hAnsi="Courier New"/>
          <w:sz w:val="18"/>
          <w:szCs w:val="18"/>
          <w:color w:val="auto"/>
        </w:rPr>
        <w:t>IN WITNESS WHEREOF, I hereunto set my hand and affixed the corporate seal of said corporation effective as of the 28th day of March, 1988.</w:t>
      </w:r>
    </w:p>
    <w:p>
      <w:pPr>
        <w:spacing w:after="0" w:line="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Cathy L. Smith</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Corporate 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514" w:right="1440" w:bottom="1440" w:gutter="0" w:footer="0" w:header="0"/>
        </w:sectPr>
      </w:pPr>
    </w:p>
    <w:bookmarkStart w:id="80" w:name="page81"/>
    <w:bookmarkEnd w:id="80"/>
    <w:p>
      <w:pPr>
        <w:spacing w:after="0"/>
        <w:rPr>
          <w:sz w:val="20"/>
          <w:szCs w:val="20"/>
          <w:color w:val="auto"/>
        </w:rPr>
      </w:pPr>
      <w:r>
        <w:rPr>
          <w:rFonts w:ascii="Courier New" w:cs="Courier New" w:eastAsia="Courier New" w:hAnsi="Courier New"/>
          <w:sz w:val="18"/>
          <w:szCs w:val="18"/>
          <w:color w:val="auto"/>
        </w:rPr>
        <w:t>CERTIFICATE OF SIXTH AMENDMENT</w:t>
      </w:r>
    </w:p>
    <w:p>
      <w:pPr>
        <w:spacing w:after="0" w:line="238" w:lineRule="auto"/>
        <w:rPr>
          <w:sz w:val="20"/>
          <w:szCs w:val="20"/>
          <w:color w:val="auto"/>
        </w:rPr>
      </w:pPr>
      <w:r>
        <w:rPr>
          <w:rFonts w:ascii="Courier New" w:cs="Courier New" w:eastAsia="Courier New" w:hAnsi="Courier New"/>
          <w:sz w:val="18"/>
          <w:szCs w:val="18"/>
          <w:color w:val="auto"/>
        </w:rPr>
        <w:t>TO THE BYLAWS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9" w:lineRule="exact"/>
        <w:rPr>
          <w:sz w:val="20"/>
          <w:szCs w:val="20"/>
          <w:color w:val="auto"/>
        </w:rPr>
      </w:pPr>
    </w:p>
    <w:p>
      <w:pPr>
        <w:ind w:right="4199" w:firstLine="527"/>
        <w:spacing w:after="0" w:line="237" w:lineRule="auto"/>
        <w:rPr>
          <w:sz w:val="20"/>
          <w:szCs w:val="20"/>
          <w:color w:val="auto"/>
        </w:rPr>
      </w:pPr>
      <w:r>
        <w:rPr>
          <w:rFonts w:ascii="Courier New" w:cs="Courier New" w:eastAsia="Courier New" w:hAnsi="Courier New"/>
          <w:sz w:val="18"/>
          <w:szCs w:val="18"/>
          <w:color w:val="auto"/>
        </w:rPr>
        <w:t>I, Cathy L. Smith, Corporate Secretary of Micron Technology, Inc., a Delaware corporation, hereby certify that the following resolution was adopted by the Board of Directors on October 3, 1988:</w:t>
      </w:r>
    </w:p>
    <w:p>
      <w:pPr>
        <w:spacing w:after="0" w:line="202" w:lineRule="exact"/>
        <w:rPr>
          <w:sz w:val="20"/>
          <w:szCs w:val="20"/>
          <w:color w:val="auto"/>
        </w:rPr>
      </w:pPr>
    </w:p>
    <w:p>
      <w:pPr>
        <w:ind w:left="540"/>
        <w:spacing w:after="0"/>
        <w:tabs>
          <w:tab w:leader="none" w:pos="1680" w:val="left"/>
        </w:tabs>
        <w:rPr>
          <w:sz w:val="20"/>
          <w:szCs w:val="20"/>
          <w:color w:val="auto"/>
        </w:rPr>
      </w:pPr>
      <w:r>
        <w:rPr>
          <w:rFonts w:ascii="Courier New" w:cs="Courier New" w:eastAsia="Courier New" w:hAnsi="Courier New"/>
          <w:sz w:val="18"/>
          <w:szCs w:val="18"/>
          <w:color w:val="auto"/>
        </w:rPr>
        <w:t>RESOLVED:</w:t>
      </w:r>
      <w:r>
        <w:rPr>
          <w:sz w:val="20"/>
          <w:szCs w:val="20"/>
          <w:color w:val="auto"/>
        </w:rPr>
        <w:tab/>
      </w:r>
      <w:r>
        <w:rPr>
          <w:rFonts w:ascii="Courier New" w:cs="Courier New" w:eastAsia="Courier New" w:hAnsi="Courier New"/>
          <w:sz w:val="16"/>
          <w:szCs w:val="16"/>
          <w:color w:val="auto"/>
        </w:rPr>
        <w:t>Article III Section 1 of the</w:t>
      </w:r>
    </w:p>
    <w:p>
      <w:pPr>
        <w:spacing w:after="0" w:line="238" w:lineRule="auto"/>
        <w:rPr>
          <w:sz w:val="20"/>
          <w:szCs w:val="20"/>
          <w:color w:val="auto"/>
        </w:rPr>
      </w:pPr>
      <w:r>
        <w:rPr>
          <w:rFonts w:ascii="Courier New" w:cs="Courier New" w:eastAsia="Courier New" w:hAnsi="Courier New"/>
          <w:sz w:val="18"/>
          <w:szCs w:val="18"/>
          <w:color w:val="auto"/>
        </w:rPr>
        <w:t>Bylaws of this corporation are hereby amended to</w:t>
      </w:r>
    </w:p>
    <w:p>
      <w:pPr>
        <w:spacing w:after="0"/>
        <w:rPr>
          <w:sz w:val="20"/>
          <w:szCs w:val="20"/>
          <w:color w:val="auto"/>
        </w:rPr>
      </w:pPr>
      <w:r>
        <w:rPr>
          <w:rFonts w:ascii="Courier New" w:cs="Courier New" w:eastAsia="Courier New" w:hAnsi="Courier New"/>
          <w:sz w:val="18"/>
          <w:szCs w:val="18"/>
          <w:color w:val="auto"/>
        </w:rPr>
        <w:t>read as follows:</w:t>
      </w:r>
    </w:p>
    <w:p>
      <w:pPr>
        <w:spacing w:after="0" w:line="200"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The authorized number</w:t>
      </w:r>
    </w:p>
    <w:p>
      <w:pPr>
        <w:spacing w:after="0" w:line="238" w:lineRule="auto"/>
        <w:rPr>
          <w:sz w:val="20"/>
          <w:szCs w:val="20"/>
          <w:color w:val="auto"/>
        </w:rPr>
      </w:pPr>
      <w:r>
        <w:rPr>
          <w:rFonts w:ascii="Courier New" w:cs="Courier New" w:eastAsia="Courier New" w:hAnsi="Courier New"/>
          <w:sz w:val="18"/>
          <w:szCs w:val="18"/>
          <w:color w:val="auto"/>
        </w:rPr>
        <w:t>of directors of the Corporation shall be</w:t>
      </w:r>
    </w:p>
    <w:p>
      <w:pPr>
        <w:spacing w:after="0"/>
        <w:tabs>
          <w:tab w:leader="none" w:pos="620" w:val="left"/>
        </w:tabs>
        <w:rPr>
          <w:sz w:val="20"/>
          <w:szCs w:val="20"/>
          <w:color w:val="auto"/>
        </w:rPr>
      </w:pPr>
      <w:r>
        <w:rPr>
          <w:rFonts w:ascii="Courier New" w:cs="Courier New" w:eastAsia="Courier New" w:hAnsi="Courier New"/>
          <w:sz w:val="18"/>
          <w:szCs w:val="18"/>
          <w:color w:val="auto"/>
        </w:rPr>
        <w:t>ten.</w:t>
      </w:r>
      <w:r>
        <w:rPr>
          <w:sz w:val="20"/>
          <w:szCs w:val="20"/>
          <w:color w:val="auto"/>
        </w:rPr>
        <w:tab/>
      </w:r>
      <w:r>
        <w:rPr>
          <w:rFonts w:ascii="Courier New" w:cs="Courier New" w:eastAsia="Courier New" w:hAnsi="Courier New"/>
          <w:sz w:val="16"/>
          <w:szCs w:val="16"/>
          <w:color w:val="auto"/>
        </w:rPr>
        <w:t>The number of directors provided</w:t>
      </w:r>
    </w:p>
    <w:p>
      <w:pPr>
        <w:spacing w:after="0" w:line="237" w:lineRule="auto"/>
        <w:rPr>
          <w:sz w:val="20"/>
          <w:szCs w:val="20"/>
          <w:color w:val="auto"/>
        </w:rPr>
      </w:pPr>
      <w:r>
        <w:rPr>
          <w:rFonts w:ascii="Courier New" w:cs="Courier New" w:eastAsia="Courier New" w:hAnsi="Courier New"/>
          <w:sz w:val="18"/>
          <w:szCs w:val="18"/>
          <w:color w:val="auto"/>
        </w:rPr>
        <w:t>in this Section 1 may be changed by a</w:t>
      </w:r>
    </w:p>
    <w:p>
      <w:pPr>
        <w:spacing w:after="0" w:line="238" w:lineRule="auto"/>
        <w:rPr>
          <w:sz w:val="20"/>
          <w:szCs w:val="20"/>
          <w:color w:val="auto"/>
        </w:rPr>
      </w:pPr>
      <w:r>
        <w:rPr>
          <w:rFonts w:ascii="Courier New" w:cs="Courier New" w:eastAsia="Courier New" w:hAnsi="Courier New"/>
          <w:sz w:val="18"/>
          <w:szCs w:val="18"/>
          <w:color w:val="auto"/>
        </w:rPr>
        <w:t>Bylaw duly adopted by the affirmative</w:t>
      </w:r>
    </w:p>
    <w:p>
      <w:pPr>
        <w:spacing w:after="0"/>
        <w:rPr>
          <w:sz w:val="20"/>
          <w:szCs w:val="20"/>
          <w:color w:val="auto"/>
        </w:rPr>
      </w:pPr>
      <w:r>
        <w:rPr>
          <w:rFonts w:ascii="Courier New" w:cs="Courier New" w:eastAsia="Courier New" w:hAnsi="Courier New"/>
          <w:sz w:val="18"/>
          <w:szCs w:val="18"/>
          <w:color w:val="auto"/>
        </w:rPr>
        <w:t>vote of a majority of the outstanding</w:t>
      </w:r>
    </w:p>
    <w:p>
      <w:pPr>
        <w:spacing w:after="0" w:line="237" w:lineRule="auto"/>
        <w:rPr>
          <w:sz w:val="20"/>
          <w:szCs w:val="20"/>
          <w:color w:val="auto"/>
        </w:rPr>
      </w:pPr>
      <w:r>
        <w:rPr>
          <w:rFonts w:ascii="Courier New" w:cs="Courier New" w:eastAsia="Courier New" w:hAnsi="Courier New"/>
          <w:sz w:val="18"/>
          <w:szCs w:val="18"/>
          <w:color w:val="auto"/>
        </w:rPr>
        <w:t>shares entitled to vote or by a</w:t>
      </w:r>
    </w:p>
    <w:p>
      <w:pPr>
        <w:spacing w:after="0"/>
        <w:rPr>
          <w:sz w:val="20"/>
          <w:szCs w:val="20"/>
          <w:color w:val="auto"/>
        </w:rPr>
      </w:pPr>
      <w:r>
        <w:rPr>
          <w:rFonts w:ascii="Courier New" w:cs="Courier New" w:eastAsia="Courier New" w:hAnsi="Courier New"/>
          <w:sz w:val="18"/>
          <w:szCs w:val="18"/>
          <w:color w:val="auto"/>
        </w:rPr>
        <w:t>resolution of the Board of Directors.</w:t>
      </w:r>
    </w:p>
    <w:p>
      <w:pPr>
        <w:spacing w:after="0" w:line="206" w:lineRule="exact"/>
        <w:rPr>
          <w:sz w:val="20"/>
          <w:szCs w:val="20"/>
          <w:color w:val="auto"/>
        </w:rPr>
      </w:pPr>
    </w:p>
    <w:p>
      <w:pPr>
        <w:ind w:right="3999" w:firstLine="527"/>
        <w:spacing w:after="0" w:line="236" w:lineRule="auto"/>
        <w:rPr>
          <w:sz w:val="20"/>
          <w:szCs w:val="20"/>
          <w:color w:val="auto"/>
        </w:rPr>
      </w:pPr>
      <w:r>
        <w:rPr>
          <w:rFonts w:ascii="Courier New" w:cs="Courier New" w:eastAsia="Courier New" w:hAnsi="Courier New"/>
          <w:sz w:val="18"/>
          <w:szCs w:val="18"/>
          <w:color w:val="auto"/>
        </w:rPr>
        <w:t>IN WITNESS WHEREOF, I hereunto set my hand and affixed the corporate seal of said corporation effective as of the 17th day of October, 1988.</w:t>
      </w: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Cathy L. Smith</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Corporate 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514" w:right="1440" w:bottom="1440" w:gutter="0" w:footer="0" w:header="0"/>
        </w:sectPr>
      </w:pPr>
    </w:p>
    <w:bookmarkStart w:id="81" w:name="page82"/>
    <w:bookmarkEnd w:id="81"/>
    <w:p>
      <w:pPr>
        <w:spacing w:after="0"/>
        <w:rPr>
          <w:sz w:val="20"/>
          <w:szCs w:val="20"/>
          <w:color w:val="auto"/>
        </w:rPr>
      </w:pPr>
      <w:r>
        <w:rPr>
          <w:rFonts w:ascii="Courier New" w:cs="Courier New" w:eastAsia="Courier New" w:hAnsi="Courier New"/>
          <w:sz w:val="18"/>
          <w:szCs w:val="18"/>
          <w:color w:val="auto"/>
        </w:rPr>
        <w:t>CERTIFICATE OF SEVENTH AMENDMENT</w:t>
      </w:r>
    </w:p>
    <w:p>
      <w:pPr>
        <w:spacing w:after="0" w:line="238" w:lineRule="auto"/>
        <w:rPr>
          <w:sz w:val="20"/>
          <w:szCs w:val="20"/>
          <w:color w:val="auto"/>
        </w:rPr>
      </w:pPr>
      <w:r>
        <w:rPr>
          <w:rFonts w:ascii="Courier New" w:cs="Courier New" w:eastAsia="Courier New" w:hAnsi="Courier New"/>
          <w:sz w:val="18"/>
          <w:szCs w:val="18"/>
          <w:color w:val="auto"/>
        </w:rPr>
        <w:t>TO THE BYLAWS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9" w:lineRule="exact"/>
        <w:rPr>
          <w:sz w:val="20"/>
          <w:szCs w:val="20"/>
          <w:color w:val="auto"/>
        </w:rPr>
      </w:pPr>
    </w:p>
    <w:p>
      <w:pPr>
        <w:ind w:right="4199" w:firstLine="527"/>
        <w:spacing w:after="0" w:line="237" w:lineRule="auto"/>
        <w:rPr>
          <w:sz w:val="20"/>
          <w:szCs w:val="20"/>
          <w:color w:val="auto"/>
        </w:rPr>
      </w:pPr>
      <w:r>
        <w:rPr>
          <w:rFonts w:ascii="Courier New" w:cs="Courier New" w:eastAsia="Courier New" w:hAnsi="Courier New"/>
          <w:sz w:val="18"/>
          <w:szCs w:val="18"/>
          <w:color w:val="auto"/>
        </w:rPr>
        <w:t>I, Cathy L. Smith, Corporate Secretary of Micron Technology, Inc., a Delaware corporation, hereby certify that the following resolution was adopted by the Board of Directors on September 25, 1989:</w:t>
      </w:r>
    </w:p>
    <w:p>
      <w:pPr>
        <w:spacing w:after="0" w:line="202" w:lineRule="exact"/>
        <w:rPr>
          <w:sz w:val="20"/>
          <w:szCs w:val="20"/>
          <w:color w:val="auto"/>
        </w:rPr>
      </w:pPr>
    </w:p>
    <w:p>
      <w:pPr>
        <w:ind w:left="540"/>
        <w:spacing w:after="0"/>
        <w:tabs>
          <w:tab w:leader="none" w:pos="1680" w:val="left"/>
        </w:tabs>
        <w:rPr>
          <w:sz w:val="20"/>
          <w:szCs w:val="20"/>
          <w:color w:val="auto"/>
        </w:rPr>
      </w:pPr>
      <w:r>
        <w:rPr>
          <w:rFonts w:ascii="Courier New" w:cs="Courier New" w:eastAsia="Courier New" w:hAnsi="Courier New"/>
          <w:sz w:val="18"/>
          <w:szCs w:val="18"/>
          <w:color w:val="auto"/>
        </w:rPr>
        <w:t>RESOLVED:</w:t>
      </w:r>
      <w:r>
        <w:rPr>
          <w:sz w:val="20"/>
          <w:szCs w:val="20"/>
          <w:color w:val="auto"/>
        </w:rPr>
        <w:tab/>
      </w:r>
      <w:r>
        <w:rPr>
          <w:rFonts w:ascii="Courier New" w:cs="Courier New" w:eastAsia="Courier New" w:hAnsi="Courier New"/>
          <w:sz w:val="16"/>
          <w:szCs w:val="16"/>
          <w:color w:val="auto"/>
        </w:rPr>
        <w:t>Article III Section 1 of the</w:t>
      </w:r>
    </w:p>
    <w:p>
      <w:pPr>
        <w:spacing w:after="0" w:line="238" w:lineRule="auto"/>
        <w:rPr>
          <w:sz w:val="20"/>
          <w:szCs w:val="20"/>
          <w:color w:val="auto"/>
        </w:rPr>
      </w:pPr>
      <w:r>
        <w:rPr>
          <w:rFonts w:ascii="Courier New" w:cs="Courier New" w:eastAsia="Courier New" w:hAnsi="Courier New"/>
          <w:sz w:val="18"/>
          <w:szCs w:val="18"/>
          <w:color w:val="auto"/>
        </w:rPr>
        <w:t>Bylaws of this corporation are hereby amended to</w:t>
      </w:r>
    </w:p>
    <w:p>
      <w:pPr>
        <w:spacing w:after="0"/>
        <w:rPr>
          <w:sz w:val="20"/>
          <w:szCs w:val="20"/>
          <w:color w:val="auto"/>
        </w:rPr>
      </w:pPr>
      <w:r>
        <w:rPr>
          <w:rFonts w:ascii="Courier New" w:cs="Courier New" w:eastAsia="Courier New" w:hAnsi="Courier New"/>
          <w:sz w:val="18"/>
          <w:szCs w:val="18"/>
          <w:color w:val="auto"/>
        </w:rPr>
        <w:t>read as follows:</w:t>
      </w:r>
    </w:p>
    <w:p>
      <w:pPr>
        <w:spacing w:after="0" w:line="200"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The authorized number</w:t>
      </w:r>
    </w:p>
    <w:p>
      <w:pPr>
        <w:spacing w:after="0" w:line="238" w:lineRule="auto"/>
        <w:rPr>
          <w:sz w:val="20"/>
          <w:szCs w:val="20"/>
          <w:color w:val="auto"/>
        </w:rPr>
      </w:pPr>
      <w:r>
        <w:rPr>
          <w:rFonts w:ascii="Courier New" w:cs="Courier New" w:eastAsia="Courier New" w:hAnsi="Courier New"/>
          <w:sz w:val="18"/>
          <w:szCs w:val="18"/>
          <w:color w:val="auto"/>
        </w:rPr>
        <w:t>of directors of the Corporation shall be</w:t>
      </w:r>
    </w:p>
    <w:p>
      <w:pPr>
        <w:spacing w:after="0"/>
        <w:tabs>
          <w:tab w:leader="none" w:pos="720" w:val="left"/>
        </w:tabs>
        <w:rPr>
          <w:sz w:val="20"/>
          <w:szCs w:val="20"/>
          <w:color w:val="auto"/>
        </w:rPr>
      </w:pPr>
      <w:r>
        <w:rPr>
          <w:rFonts w:ascii="Courier New" w:cs="Courier New" w:eastAsia="Courier New" w:hAnsi="Courier New"/>
          <w:sz w:val="18"/>
          <w:szCs w:val="18"/>
          <w:color w:val="auto"/>
        </w:rPr>
        <w:t>nine.</w:t>
      </w:r>
      <w:r>
        <w:rPr>
          <w:sz w:val="20"/>
          <w:szCs w:val="20"/>
          <w:color w:val="auto"/>
        </w:rPr>
        <w:tab/>
      </w:r>
      <w:r>
        <w:rPr>
          <w:rFonts w:ascii="Courier New" w:cs="Courier New" w:eastAsia="Courier New" w:hAnsi="Courier New"/>
          <w:sz w:val="16"/>
          <w:szCs w:val="16"/>
          <w:color w:val="auto"/>
        </w:rPr>
        <w:t>The number of directors provided</w:t>
      </w:r>
    </w:p>
    <w:p>
      <w:pPr>
        <w:spacing w:after="0" w:line="237" w:lineRule="auto"/>
        <w:rPr>
          <w:sz w:val="20"/>
          <w:szCs w:val="20"/>
          <w:color w:val="auto"/>
        </w:rPr>
      </w:pPr>
      <w:r>
        <w:rPr>
          <w:rFonts w:ascii="Courier New" w:cs="Courier New" w:eastAsia="Courier New" w:hAnsi="Courier New"/>
          <w:sz w:val="18"/>
          <w:szCs w:val="18"/>
          <w:color w:val="auto"/>
        </w:rPr>
        <w:t>in this Section 1 may be changed by a</w:t>
      </w:r>
    </w:p>
    <w:p>
      <w:pPr>
        <w:spacing w:after="0" w:line="238" w:lineRule="auto"/>
        <w:rPr>
          <w:sz w:val="20"/>
          <w:szCs w:val="20"/>
          <w:color w:val="auto"/>
        </w:rPr>
      </w:pPr>
      <w:r>
        <w:rPr>
          <w:rFonts w:ascii="Courier New" w:cs="Courier New" w:eastAsia="Courier New" w:hAnsi="Courier New"/>
          <w:sz w:val="18"/>
          <w:szCs w:val="18"/>
          <w:color w:val="auto"/>
        </w:rPr>
        <w:t>Bylaw duly adopted by the affirmative</w:t>
      </w:r>
    </w:p>
    <w:p>
      <w:pPr>
        <w:spacing w:after="0"/>
        <w:rPr>
          <w:sz w:val="20"/>
          <w:szCs w:val="20"/>
          <w:color w:val="auto"/>
        </w:rPr>
      </w:pPr>
      <w:r>
        <w:rPr>
          <w:rFonts w:ascii="Courier New" w:cs="Courier New" w:eastAsia="Courier New" w:hAnsi="Courier New"/>
          <w:sz w:val="18"/>
          <w:szCs w:val="18"/>
          <w:color w:val="auto"/>
        </w:rPr>
        <w:t>vote of a majority of the outstanding</w:t>
      </w:r>
    </w:p>
    <w:p>
      <w:pPr>
        <w:spacing w:after="0" w:line="237" w:lineRule="auto"/>
        <w:rPr>
          <w:sz w:val="20"/>
          <w:szCs w:val="20"/>
          <w:color w:val="auto"/>
        </w:rPr>
      </w:pPr>
      <w:r>
        <w:rPr>
          <w:rFonts w:ascii="Courier New" w:cs="Courier New" w:eastAsia="Courier New" w:hAnsi="Courier New"/>
          <w:sz w:val="18"/>
          <w:szCs w:val="18"/>
          <w:color w:val="auto"/>
        </w:rPr>
        <w:t>shares entitled to vote or by a</w:t>
      </w:r>
    </w:p>
    <w:p>
      <w:pPr>
        <w:spacing w:after="0"/>
        <w:rPr>
          <w:sz w:val="20"/>
          <w:szCs w:val="20"/>
          <w:color w:val="auto"/>
        </w:rPr>
      </w:pPr>
      <w:r>
        <w:rPr>
          <w:rFonts w:ascii="Courier New" w:cs="Courier New" w:eastAsia="Courier New" w:hAnsi="Courier New"/>
          <w:sz w:val="18"/>
          <w:szCs w:val="18"/>
          <w:color w:val="auto"/>
        </w:rPr>
        <w:t>resolution of the Board of Directors.</w:t>
      </w:r>
    </w:p>
    <w:p>
      <w:pPr>
        <w:spacing w:after="0" w:line="206" w:lineRule="exact"/>
        <w:rPr>
          <w:sz w:val="20"/>
          <w:szCs w:val="20"/>
          <w:color w:val="auto"/>
        </w:rPr>
      </w:pPr>
    </w:p>
    <w:p>
      <w:pPr>
        <w:ind w:right="3999" w:firstLine="527"/>
        <w:spacing w:after="0" w:line="236" w:lineRule="auto"/>
        <w:rPr>
          <w:sz w:val="20"/>
          <w:szCs w:val="20"/>
          <w:color w:val="auto"/>
        </w:rPr>
      </w:pPr>
      <w:r>
        <w:rPr>
          <w:rFonts w:ascii="Courier New" w:cs="Courier New" w:eastAsia="Courier New" w:hAnsi="Courier New"/>
          <w:sz w:val="18"/>
          <w:szCs w:val="18"/>
          <w:color w:val="auto"/>
        </w:rPr>
        <w:t>IN WITNESS WHEREOF, I hereunto set my hand and affixed the corporate seal of said corporation effective as of the 28th day September, 1989.</w:t>
      </w: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Cathy L. Smith</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Corporate 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514"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8"/>
          <w:szCs w:val="18"/>
          <w:color w:val="auto"/>
        </w:rPr>
        <w:t>CERTIFICATE OF EIGHTH AMENDMENT</w:t>
      </w:r>
    </w:p>
    <w:p>
      <w:pPr>
        <w:spacing w:after="0" w:line="238" w:lineRule="auto"/>
        <w:rPr>
          <w:sz w:val="20"/>
          <w:szCs w:val="20"/>
          <w:color w:val="auto"/>
        </w:rPr>
      </w:pPr>
      <w:r>
        <w:rPr>
          <w:rFonts w:ascii="Courier New" w:cs="Courier New" w:eastAsia="Courier New" w:hAnsi="Courier New"/>
          <w:sz w:val="18"/>
          <w:szCs w:val="18"/>
          <w:color w:val="auto"/>
        </w:rPr>
        <w:t>TO THE BYLAWS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9" w:lineRule="exact"/>
        <w:rPr>
          <w:sz w:val="20"/>
          <w:szCs w:val="20"/>
          <w:color w:val="auto"/>
        </w:rPr>
      </w:pPr>
    </w:p>
    <w:p>
      <w:pPr>
        <w:ind w:right="4199" w:firstLine="527"/>
        <w:spacing w:after="0" w:line="237" w:lineRule="auto"/>
        <w:rPr>
          <w:sz w:val="20"/>
          <w:szCs w:val="20"/>
          <w:color w:val="auto"/>
        </w:rPr>
      </w:pPr>
      <w:r>
        <w:rPr>
          <w:rFonts w:ascii="Courier New" w:cs="Courier New" w:eastAsia="Courier New" w:hAnsi="Courier New"/>
          <w:sz w:val="18"/>
          <w:szCs w:val="18"/>
          <w:color w:val="auto"/>
        </w:rPr>
        <w:t>I, Cathy L. Smith, Corporate Secretary of Micron Technology, Inc., a Delaware corporation, hereby certify that the following resolution was adopted by the Board of Directors on October 30, 1989:</w:t>
      </w:r>
    </w:p>
    <w:p>
      <w:pPr>
        <w:spacing w:after="0" w:line="202" w:lineRule="exact"/>
        <w:rPr>
          <w:sz w:val="20"/>
          <w:szCs w:val="20"/>
          <w:color w:val="auto"/>
        </w:rPr>
      </w:pPr>
    </w:p>
    <w:p>
      <w:pPr>
        <w:ind w:left="540"/>
        <w:spacing w:after="0"/>
        <w:tabs>
          <w:tab w:leader="none" w:pos="1680" w:val="left"/>
        </w:tabs>
        <w:rPr>
          <w:sz w:val="20"/>
          <w:szCs w:val="20"/>
          <w:color w:val="auto"/>
        </w:rPr>
      </w:pPr>
      <w:r>
        <w:rPr>
          <w:rFonts w:ascii="Courier New" w:cs="Courier New" w:eastAsia="Courier New" w:hAnsi="Courier New"/>
          <w:sz w:val="18"/>
          <w:szCs w:val="18"/>
          <w:color w:val="auto"/>
        </w:rPr>
        <w:t>RESOLVED:</w:t>
      </w:r>
      <w:r>
        <w:rPr>
          <w:sz w:val="20"/>
          <w:szCs w:val="20"/>
          <w:color w:val="auto"/>
        </w:rPr>
        <w:tab/>
      </w:r>
      <w:r>
        <w:rPr>
          <w:rFonts w:ascii="Courier New" w:cs="Courier New" w:eastAsia="Courier New" w:hAnsi="Courier New"/>
          <w:sz w:val="16"/>
          <w:szCs w:val="16"/>
          <w:color w:val="auto"/>
        </w:rPr>
        <w:t>Article III Section 1 of the</w:t>
      </w:r>
    </w:p>
    <w:p>
      <w:pPr>
        <w:spacing w:after="0" w:line="238" w:lineRule="auto"/>
        <w:rPr>
          <w:sz w:val="20"/>
          <w:szCs w:val="20"/>
          <w:color w:val="auto"/>
        </w:rPr>
      </w:pPr>
      <w:r>
        <w:rPr>
          <w:rFonts w:ascii="Courier New" w:cs="Courier New" w:eastAsia="Courier New" w:hAnsi="Courier New"/>
          <w:sz w:val="18"/>
          <w:szCs w:val="18"/>
          <w:color w:val="auto"/>
        </w:rPr>
        <w:t>Bylaws of this corporation are hereby amended to</w:t>
      </w:r>
    </w:p>
    <w:p>
      <w:pPr>
        <w:spacing w:after="0"/>
        <w:rPr>
          <w:sz w:val="20"/>
          <w:szCs w:val="20"/>
          <w:color w:val="auto"/>
        </w:rPr>
      </w:pPr>
      <w:r>
        <w:rPr>
          <w:rFonts w:ascii="Courier New" w:cs="Courier New" w:eastAsia="Courier New" w:hAnsi="Courier New"/>
          <w:sz w:val="18"/>
          <w:szCs w:val="18"/>
          <w:color w:val="auto"/>
        </w:rPr>
        <w:t>read as follows:</w:t>
      </w:r>
    </w:p>
    <w:p>
      <w:pPr>
        <w:spacing w:after="0" w:line="200"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The authorized number</w:t>
      </w:r>
    </w:p>
    <w:p>
      <w:pPr>
        <w:spacing w:after="0" w:line="238" w:lineRule="auto"/>
        <w:rPr>
          <w:sz w:val="20"/>
          <w:szCs w:val="20"/>
          <w:color w:val="auto"/>
        </w:rPr>
      </w:pPr>
      <w:r>
        <w:rPr>
          <w:rFonts w:ascii="Courier New" w:cs="Courier New" w:eastAsia="Courier New" w:hAnsi="Courier New"/>
          <w:sz w:val="18"/>
          <w:szCs w:val="18"/>
          <w:color w:val="auto"/>
        </w:rPr>
        <w:t>of directors of the Corporation shall be</w:t>
      </w:r>
    </w:p>
    <w:p>
      <w:pPr>
        <w:spacing w:after="0"/>
        <w:tabs>
          <w:tab w:leader="none" w:pos="840" w:val="left"/>
        </w:tabs>
        <w:rPr>
          <w:sz w:val="20"/>
          <w:szCs w:val="20"/>
          <w:color w:val="auto"/>
        </w:rPr>
      </w:pPr>
      <w:r>
        <w:rPr>
          <w:rFonts w:ascii="Courier New" w:cs="Courier New" w:eastAsia="Courier New" w:hAnsi="Courier New"/>
          <w:sz w:val="18"/>
          <w:szCs w:val="18"/>
          <w:color w:val="auto"/>
        </w:rPr>
        <w:t>eight.</w:t>
        <w:tab/>
        <w:t>The number of directors provided</w:t>
      </w:r>
    </w:p>
    <w:p>
      <w:pPr>
        <w:spacing w:after="0" w:line="237" w:lineRule="auto"/>
        <w:rPr>
          <w:sz w:val="20"/>
          <w:szCs w:val="20"/>
          <w:color w:val="auto"/>
        </w:rPr>
      </w:pPr>
      <w:r>
        <w:rPr>
          <w:rFonts w:ascii="Courier New" w:cs="Courier New" w:eastAsia="Courier New" w:hAnsi="Courier New"/>
          <w:sz w:val="18"/>
          <w:szCs w:val="18"/>
          <w:color w:val="auto"/>
        </w:rPr>
        <w:t>in this Section 1 may be changed by a</w:t>
      </w:r>
    </w:p>
    <w:p>
      <w:pPr>
        <w:spacing w:after="0" w:line="238" w:lineRule="auto"/>
        <w:rPr>
          <w:sz w:val="20"/>
          <w:szCs w:val="20"/>
          <w:color w:val="auto"/>
        </w:rPr>
      </w:pPr>
      <w:r>
        <w:rPr>
          <w:rFonts w:ascii="Courier New" w:cs="Courier New" w:eastAsia="Courier New" w:hAnsi="Courier New"/>
          <w:sz w:val="18"/>
          <w:szCs w:val="18"/>
          <w:color w:val="auto"/>
        </w:rPr>
        <w:t>Bylaw duly adopted by the affirmative</w:t>
      </w:r>
    </w:p>
    <w:p>
      <w:pPr>
        <w:spacing w:after="0"/>
        <w:rPr>
          <w:sz w:val="20"/>
          <w:szCs w:val="20"/>
          <w:color w:val="auto"/>
        </w:rPr>
      </w:pPr>
      <w:r>
        <w:rPr>
          <w:rFonts w:ascii="Courier New" w:cs="Courier New" w:eastAsia="Courier New" w:hAnsi="Courier New"/>
          <w:sz w:val="18"/>
          <w:szCs w:val="18"/>
          <w:color w:val="auto"/>
        </w:rPr>
        <w:t>vote of a majority of the outstanding</w:t>
      </w:r>
    </w:p>
    <w:p>
      <w:pPr>
        <w:spacing w:after="0" w:line="237" w:lineRule="auto"/>
        <w:rPr>
          <w:sz w:val="20"/>
          <w:szCs w:val="20"/>
          <w:color w:val="auto"/>
        </w:rPr>
      </w:pPr>
      <w:r>
        <w:rPr>
          <w:rFonts w:ascii="Courier New" w:cs="Courier New" w:eastAsia="Courier New" w:hAnsi="Courier New"/>
          <w:sz w:val="18"/>
          <w:szCs w:val="18"/>
          <w:color w:val="auto"/>
        </w:rPr>
        <w:t>shares entitled to vote or by a</w:t>
      </w:r>
    </w:p>
    <w:p>
      <w:pPr>
        <w:spacing w:after="0"/>
        <w:rPr>
          <w:sz w:val="20"/>
          <w:szCs w:val="20"/>
          <w:color w:val="auto"/>
        </w:rPr>
      </w:pPr>
      <w:r>
        <w:rPr>
          <w:rFonts w:ascii="Courier New" w:cs="Courier New" w:eastAsia="Courier New" w:hAnsi="Courier New"/>
          <w:sz w:val="18"/>
          <w:szCs w:val="18"/>
          <w:color w:val="auto"/>
        </w:rPr>
        <w:t>resolution of the Board of Directors.</w:t>
      </w:r>
    </w:p>
    <w:p>
      <w:pPr>
        <w:spacing w:after="0" w:line="206" w:lineRule="exact"/>
        <w:rPr>
          <w:sz w:val="20"/>
          <w:szCs w:val="20"/>
          <w:color w:val="auto"/>
        </w:rPr>
      </w:pPr>
    </w:p>
    <w:p>
      <w:pPr>
        <w:ind w:right="3999" w:firstLine="527"/>
        <w:spacing w:after="0" w:line="236" w:lineRule="auto"/>
        <w:rPr>
          <w:sz w:val="20"/>
          <w:szCs w:val="20"/>
          <w:color w:val="auto"/>
        </w:rPr>
      </w:pPr>
      <w:r>
        <w:rPr>
          <w:rFonts w:ascii="Courier New" w:cs="Courier New" w:eastAsia="Courier New" w:hAnsi="Courier New"/>
          <w:sz w:val="18"/>
          <w:szCs w:val="18"/>
          <w:color w:val="auto"/>
        </w:rPr>
        <w:t>IN WITNESS WHEREOF, I hereunto set my hand and affixed the corporate seal of said corporation effective as of the 30th day of October, 1989.</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Cathy L. Smith</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Corporate 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514"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8"/>
          <w:szCs w:val="18"/>
          <w:color w:val="auto"/>
        </w:rPr>
        <w:t>CERTIFICATE OF NINTH AMENDMENT</w:t>
      </w:r>
    </w:p>
    <w:p>
      <w:pPr>
        <w:spacing w:after="0" w:line="238" w:lineRule="auto"/>
        <w:rPr>
          <w:sz w:val="20"/>
          <w:szCs w:val="20"/>
          <w:color w:val="auto"/>
        </w:rPr>
      </w:pPr>
      <w:r>
        <w:rPr>
          <w:rFonts w:ascii="Courier New" w:cs="Courier New" w:eastAsia="Courier New" w:hAnsi="Courier New"/>
          <w:sz w:val="18"/>
          <w:szCs w:val="18"/>
          <w:color w:val="auto"/>
        </w:rPr>
        <w:t>TO THE BYLAWS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9" w:lineRule="exact"/>
        <w:rPr>
          <w:sz w:val="20"/>
          <w:szCs w:val="20"/>
          <w:color w:val="auto"/>
        </w:rPr>
      </w:pPr>
    </w:p>
    <w:p>
      <w:pPr>
        <w:ind w:right="4199" w:firstLine="527"/>
        <w:spacing w:after="0" w:line="237" w:lineRule="auto"/>
        <w:rPr>
          <w:sz w:val="20"/>
          <w:szCs w:val="20"/>
          <w:color w:val="auto"/>
        </w:rPr>
      </w:pPr>
      <w:r>
        <w:rPr>
          <w:rFonts w:ascii="Courier New" w:cs="Courier New" w:eastAsia="Courier New" w:hAnsi="Courier New"/>
          <w:sz w:val="18"/>
          <w:szCs w:val="18"/>
          <w:color w:val="auto"/>
        </w:rPr>
        <w:t>I, Cathy L. Smith, Corporate Secretary of Micron Technology, Inc., a Delaware corporation, hereby certify that the following resolution was adopted by the Board of Directors on August 27, 1990:</w:t>
      </w:r>
    </w:p>
    <w:p>
      <w:pPr>
        <w:spacing w:after="0" w:line="202" w:lineRule="exact"/>
        <w:rPr>
          <w:sz w:val="20"/>
          <w:szCs w:val="20"/>
          <w:color w:val="auto"/>
        </w:rPr>
      </w:pPr>
    </w:p>
    <w:p>
      <w:pPr>
        <w:ind w:left="540"/>
        <w:spacing w:after="0"/>
        <w:tabs>
          <w:tab w:leader="none" w:pos="1680" w:val="left"/>
        </w:tabs>
        <w:rPr>
          <w:sz w:val="20"/>
          <w:szCs w:val="20"/>
          <w:color w:val="auto"/>
        </w:rPr>
      </w:pPr>
      <w:r>
        <w:rPr>
          <w:rFonts w:ascii="Courier New" w:cs="Courier New" w:eastAsia="Courier New" w:hAnsi="Courier New"/>
          <w:sz w:val="18"/>
          <w:szCs w:val="18"/>
          <w:color w:val="auto"/>
        </w:rPr>
        <w:t>RESOLVED:</w:t>
      </w:r>
      <w:r>
        <w:rPr>
          <w:sz w:val="20"/>
          <w:szCs w:val="20"/>
          <w:color w:val="auto"/>
        </w:rPr>
        <w:tab/>
      </w:r>
      <w:r>
        <w:rPr>
          <w:rFonts w:ascii="Courier New" w:cs="Courier New" w:eastAsia="Courier New" w:hAnsi="Courier New"/>
          <w:sz w:val="16"/>
          <w:szCs w:val="16"/>
          <w:color w:val="auto"/>
        </w:rPr>
        <w:t>Article III Section 1 of the</w:t>
      </w:r>
    </w:p>
    <w:p>
      <w:pPr>
        <w:spacing w:after="0" w:line="238" w:lineRule="auto"/>
        <w:rPr>
          <w:sz w:val="20"/>
          <w:szCs w:val="20"/>
          <w:color w:val="auto"/>
        </w:rPr>
      </w:pPr>
      <w:r>
        <w:rPr>
          <w:rFonts w:ascii="Courier New" w:cs="Courier New" w:eastAsia="Courier New" w:hAnsi="Courier New"/>
          <w:sz w:val="18"/>
          <w:szCs w:val="18"/>
          <w:color w:val="auto"/>
        </w:rPr>
        <w:t>Bylaws of this corporation are hereby amended to</w:t>
      </w:r>
    </w:p>
    <w:p>
      <w:pPr>
        <w:spacing w:after="0"/>
        <w:rPr>
          <w:sz w:val="20"/>
          <w:szCs w:val="20"/>
          <w:color w:val="auto"/>
        </w:rPr>
      </w:pPr>
      <w:r>
        <w:rPr>
          <w:rFonts w:ascii="Courier New" w:cs="Courier New" w:eastAsia="Courier New" w:hAnsi="Courier New"/>
          <w:sz w:val="18"/>
          <w:szCs w:val="18"/>
          <w:color w:val="auto"/>
        </w:rPr>
        <w:t>read as follows:</w:t>
      </w:r>
    </w:p>
    <w:p>
      <w:pPr>
        <w:spacing w:after="0" w:line="200"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The authorized number</w:t>
      </w:r>
    </w:p>
    <w:p>
      <w:pPr>
        <w:spacing w:after="0" w:line="238" w:lineRule="auto"/>
        <w:rPr>
          <w:sz w:val="20"/>
          <w:szCs w:val="20"/>
          <w:color w:val="auto"/>
        </w:rPr>
      </w:pPr>
      <w:r>
        <w:rPr>
          <w:rFonts w:ascii="Courier New" w:cs="Courier New" w:eastAsia="Courier New" w:hAnsi="Courier New"/>
          <w:sz w:val="18"/>
          <w:szCs w:val="18"/>
          <w:color w:val="auto"/>
        </w:rPr>
        <w:t>of directors of the Corporation shall be</w:t>
      </w:r>
    </w:p>
    <w:p>
      <w:pPr>
        <w:spacing w:after="0"/>
        <w:tabs>
          <w:tab w:leader="none" w:pos="720" w:val="left"/>
        </w:tabs>
        <w:rPr>
          <w:sz w:val="20"/>
          <w:szCs w:val="20"/>
          <w:color w:val="auto"/>
        </w:rPr>
      </w:pPr>
      <w:r>
        <w:rPr>
          <w:rFonts w:ascii="Courier New" w:cs="Courier New" w:eastAsia="Courier New" w:hAnsi="Courier New"/>
          <w:sz w:val="18"/>
          <w:szCs w:val="18"/>
          <w:color w:val="auto"/>
        </w:rPr>
        <w:t>nine.</w:t>
      </w:r>
      <w:r>
        <w:rPr>
          <w:sz w:val="20"/>
          <w:szCs w:val="20"/>
          <w:color w:val="auto"/>
        </w:rPr>
        <w:tab/>
      </w:r>
      <w:r>
        <w:rPr>
          <w:rFonts w:ascii="Courier New" w:cs="Courier New" w:eastAsia="Courier New" w:hAnsi="Courier New"/>
          <w:sz w:val="16"/>
          <w:szCs w:val="16"/>
          <w:color w:val="auto"/>
        </w:rPr>
        <w:t>The number of directors provided</w:t>
      </w:r>
    </w:p>
    <w:p>
      <w:pPr>
        <w:spacing w:after="0" w:line="237" w:lineRule="auto"/>
        <w:rPr>
          <w:sz w:val="20"/>
          <w:szCs w:val="20"/>
          <w:color w:val="auto"/>
        </w:rPr>
      </w:pPr>
      <w:r>
        <w:rPr>
          <w:rFonts w:ascii="Courier New" w:cs="Courier New" w:eastAsia="Courier New" w:hAnsi="Courier New"/>
          <w:sz w:val="18"/>
          <w:szCs w:val="18"/>
          <w:color w:val="auto"/>
        </w:rPr>
        <w:t>in this Section 1 may be changed by a</w:t>
      </w:r>
    </w:p>
    <w:p>
      <w:pPr>
        <w:spacing w:after="0" w:line="238" w:lineRule="auto"/>
        <w:rPr>
          <w:sz w:val="20"/>
          <w:szCs w:val="20"/>
          <w:color w:val="auto"/>
        </w:rPr>
      </w:pPr>
      <w:r>
        <w:rPr>
          <w:rFonts w:ascii="Courier New" w:cs="Courier New" w:eastAsia="Courier New" w:hAnsi="Courier New"/>
          <w:sz w:val="18"/>
          <w:szCs w:val="18"/>
          <w:color w:val="auto"/>
        </w:rPr>
        <w:t>Bylaw duly adopted by the affirmative</w:t>
      </w:r>
    </w:p>
    <w:p>
      <w:pPr>
        <w:spacing w:after="0"/>
        <w:rPr>
          <w:sz w:val="20"/>
          <w:szCs w:val="20"/>
          <w:color w:val="auto"/>
        </w:rPr>
      </w:pPr>
      <w:r>
        <w:rPr>
          <w:rFonts w:ascii="Courier New" w:cs="Courier New" w:eastAsia="Courier New" w:hAnsi="Courier New"/>
          <w:sz w:val="18"/>
          <w:szCs w:val="18"/>
          <w:color w:val="auto"/>
        </w:rPr>
        <w:t>vote of a majority of the outstanding</w:t>
      </w:r>
    </w:p>
    <w:p>
      <w:pPr>
        <w:spacing w:after="0" w:line="237" w:lineRule="auto"/>
        <w:rPr>
          <w:sz w:val="20"/>
          <w:szCs w:val="20"/>
          <w:color w:val="auto"/>
        </w:rPr>
      </w:pPr>
      <w:r>
        <w:rPr>
          <w:rFonts w:ascii="Courier New" w:cs="Courier New" w:eastAsia="Courier New" w:hAnsi="Courier New"/>
          <w:sz w:val="18"/>
          <w:szCs w:val="18"/>
          <w:color w:val="auto"/>
        </w:rPr>
        <w:t>shares entitled to vote or by a</w:t>
      </w:r>
    </w:p>
    <w:p>
      <w:pPr>
        <w:spacing w:after="0"/>
        <w:rPr>
          <w:sz w:val="20"/>
          <w:szCs w:val="20"/>
          <w:color w:val="auto"/>
        </w:rPr>
      </w:pPr>
      <w:r>
        <w:rPr>
          <w:rFonts w:ascii="Courier New" w:cs="Courier New" w:eastAsia="Courier New" w:hAnsi="Courier New"/>
          <w:sz w:val="18"/>
          <w:szCs w:val="18"/>
          <w:color w:val="auto"/>
        </w:rPr>
        <w:t>resolution of the Board of Directors.</w:t>
      </w:r>
    </w:p>
    <w:p>
      <w:pPr>
        <w:spacing w:after="0" w:line="206" w:lineRule="exact"/>
        <w:rPr>
          <w:sz w:val="20"/>
          <w:szCs w:val="20"/>
          <w:color w:val="auto"/>
        </w:rPr>
      </w:pPr>
    </w:p>
    <w:p>
      <w:pPr>
        <w:ind w:right="3999" w:firstLine="527"/>
        <w:spacing w:after="0" w:line="236" w:lineRule="auto"/>
        <w:rPr>
          <w:sz w:val="20"/>
          <w:szCs w:val="20"/>
          <w:color w:val="auto"/>
        </w:rPr>
      </w:pPr>
      <w:r>
        <w:rPr>
          <w:rFonts w:ascii="Courier New" w:cs="Courier New" w:eastAsia="Courier New" w:hAnsi="Courier New"/>
          <w:sz w:val="18"/>
          <w:szCs w:val="18"/>
          <w:color w:val="auto"/>
        </w:rPr>
        <w:t>IN WITNESS WHEREOF, I hereunto set my hand and affixed the corporate seal of said corporation effective as of the 27th day of August, 1990.</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Cathy L. Smith</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Corporate 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514"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8"/>
          <w:szCs w:val="18"/>
          <w:color w:val="auto"/>
        </w:rPr>
        <w:t>CERTIFICATE OF TENTH AMENDMENT</w:t>
      </w:r>
    </w:p>
    <w:p>
      <w:pPr>
        <w:spacing w:after="0" w:line="238" w:lineRule="auto"/>
        <w:rPr>
          <w:sz w:val="20"/>
          <w:szCs w:val="20"/>
          <w:color w:val="auto"/>
        </w:rPr>
      </w:pPr>
      <w:r>
        <w:rPr>
          <w:rFonts w:ascii="Courier New" w:cs="Courier New" w:eastAsia="Courier New" w:hAnsi="Courier New"/>
          <w:sz w:val="18"/>
          <w:szCs w:val="18"/>
          <w:color w:val="auto"/>
        </w:rPr>
        <w:t>TO THE BYLAWS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9" w:lineRule="exact"/>
        <w:rPr>
          <w:sz w:val="20"/>
          <w:szCs w:val="20"/>
          <w:color w:val="auto"/>
        </w:rPr>
      </w:pPr>
    </w:p>
    <w:p>
      <w:pPr>
        <w:ind w:right="4199" w:firstLine="527"/>
        <w:spacing w:after="0" w:line="237" w:lineRule="auto"/>
        <w:rPr>
          <w:sz w:val="20"/>
          <w:szCs w:val="20"/>
          <w:color w:val="auto"/>
        </w:rPr>
      </w:pPr>
      <w:r>
        <w:rPr>
          <w:rFonts w:ascii="Courier New" w:cs="Courier New" w:eastAsia="Courier New" w:hAnsi="Courier New"/>
          <w:sz w:val="18"/>
          <w:szCs w:val="18"/>
          <w:color w:val="auto"/>
        </w:rPr>
        <w:t>I, Cathy L. Smith, Corporate Secretary of Micron Technology, Inc., a Delaware corporation, hereby certify that the following resolution was adopted by the Board of Directors on September 24, 1990:</w:t>
      </w:r>
    </w:p>
    <w:p>
      <w:pPr>
        <w:spacing w:after="0" w:line="202" w:lineRule="exact"/>
        <w:rPr>
          <w:sz w:val="20"/>
          <w:szCs w:val="20"/>
          <w:color w:val="auto"/>
        </w:rPr>
      </w:pPr>
    </w:p>
    <w:p>
      <w:pPr>
        <w:ind w:left="540"/>
        <w:spacing w:after="0"/>
        <w:tabs>
          <w:tab w:leader="none" w:pos="1680" w:val="left"/>
        </w:tabs>
        <w:rPr>
          <w:sz w:val="20"/>
          <w:szCs w:val="20"/>
          <w:color w:val="auto"/>
        </w:rPr>
      </w:pPr>
      <w:r>
        <w:rPr>
          <w:rFonts w:ascii="Courier New" w:cs="Courier New" w:eastAsia="Courier New" w:hAnsi="Courier New"/>
          <w:sz w:val="18"/>
          <w:szCs w:val="18"/>
          <w:color w:val="auto"/>
        </w:rPr>
        <w:t>RESOLVED:</w:t>
      </w:r>
      <w:r>
        <w:rPr>
          <w:sz w:val="20"/>
          <w:szCs w:val="20"/>
          <w:color w:val="auto"/>
        </w:rPr>
        <w:tab/>
      </w:r>
      <w:r>
        <w:rPr>
          <w:rFonts w:ascii="Courier New" w:cs="Courier New" w:eastAsia="Courier New" w:hAnsi="Courier New"/>
          <w:sz w:val="16"/>
          <w:szCs w:val="16"/>
          <w:color w:val="auto"/>
        </w:rPr>
        <w:t>Article III, Section 1 of the</w:t>
      </w:r>
    </w:p>
    <w:p>
      <w:pPr>
        <w:spacing w:after="0" w:line="238" w:lineRule="auto"/>
        <w:rPr>
          <w:sz w:val="20"/>
          <w:szCs w:val="20"/>
          <w:color w:val="auto"/>
        </w:rPr>
      </w:pPr>
      <w:r>
        <w:rPr>
          <w:rFonts w:ascii="Courier New" w:cs="Courier New" w:eastAsia="Courier New" w:hAnsi="Courier New"/>
          <w:sz w:val="18"/>
          <w:szCs w:val="18"/>
          <w:color w:val="auto"/>
        </w:rPr>
        <w:t>Bylaws of this corporation are hereby amended to</w:t>
      </w:r>
    </w:p>
    <w:p>
      <w:pPr>
        <w:spacing w:after="0"/>
        <w:rPr>
          <w:sz w:val="20"/>
          <w:szCs w:val="20"/>
          <w:color w:val="auto"/>
        </w:rPr>
      </w:pPr>
      <w:r>
        <w:rPr>
          <w:rFonts w:ascii="Courier New" w:cs="Courier New" w:eastAsia="Courier New" w:hAnsi="Courier New"/>
          <w:sz w:val="18"/>
          <w:szCs w:val="18"/>
          <w:color w:val="auto"/>
        </w:rPr>
        <w:t>read as follows:</w:t>
      </w:r>
    </w:p>
    <w:p>
      <w:pPr>
        <w:spacing w:after="0" w:line="200"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The authorized number</w:t>
      </w:r>
    </w:p>
    <w:p>
      <w:pPr>
        <w:spacing w:after="0" w:line="238" w:lineRule="auto"/>
        <w:rPr>
          <w:sz w:val="20"/>
          <w:szCs w:val="20"/>
          <w:color w:val="auto"/>
        </w:rPr>
      </w:pPr>
      <w:r>
        <w:rPr>
          <w:rFonts w:ascii="Courier New" w:cs="Courier New" w:eastAsia="Courier New" w:hAnsi="Courier New"/>
          <w:sz w:val="18"/>
          <w:szCs w:val="18"/>
          <w:color w:val="auto"/>
        </w:rPr>
        <w:t>of directors of the Corporation shall be</w:t>
      </w:r>
    </w:p>
    <w:p>
      <w:pPr>
        <w:spacing w:after="0"/>
        <w:tabs>
          <w:tab w:leader="none" w:pos="620" w:val="left"/>
        </w:tabs>
        <w:rPr>
          <w:sz w:val="20"/>
          <w:szCs w:val="20"/>
          <w:color w:val="auto"/>
        </w:rPr>
      </w:pPr>
      <w:r>
        <w:rPr>
          <w:rFonts w:ascii="Courier New" w:cs="Courier New" w:eastAsia="Courier New" w:hAnsi="Courier New"/>
          <w:sz w:val="18"/>
          <w:szCs w:val="18"/>
          <w:color w:val="auto"/>
        </w:rPr>
        <w:t>ten.</w:t>
      </w:r>
      <w:r>
        <w:rPr>
          <w:sz w:val="20"/>
          <w:szCs w:val="20"/>
          <w:color w:val="auto"/>
        </w:rPr>
        <w:tab/>
      </w:r>
      <w:r>
        <w:rPr>
          <w:rFonts w:ascii="Courier New" w:cs="Courier New" w:eastAsia="Courier New" w:hAnsi="Courier New"/>
          <w:sz w:val="16"/>
          <w:szCs w:val="16"/>
          <w:color w:val="auto"/>
        </w:rPr>
        <w:t>The number of directors provided</w:t>
      </w:r>
    </w:p>
    <w:p>
      <w:pPr>
        <w:spacing w:after="0" w:line="237" w:lineRule="auto"/>
        <w:rPr>
          <w:sz w:val="20"/>
          <w:szCs w:val="20"/>
          <w:color w:val="auto"/>
        </w:rPr>
      </w:pPr>
      <w:r>
        <w:rPr>
          <w:rFonts w:ascii="Courier New" w:cs="Courier New" w:eastAsia="Courier New" w:hAnsi="Courier New"/>
          <w:sz w:val="18"/>
          <w:szCs w:val="18"/>
          <w:color w:val="auto"/>
        </w:rPr>
        <w:t>in this Section 1 may be changed by a</w:t>
      </w:r>
    </w:p>
    <w:p>
      <w:pPr>
        <w:spacing w:after="0" w:line="238" w:lineRule="auto"/>
        <w:rPr>
          <w:sz w:val="20"/>
          <w:szCs w:val="20"/>
          <w:color w:val="auto"/>
        </w:rPr>
      </w:pPr>
      <w:r>
        <w:rPr>
          <w:rFonts w:ascii="Courier New" w:cs="Courier New" w:eastAsia="Courier New" w:hAnsi="Courier New"/>
          <w:sz w:val="18"/>
          <w:szCs w:val="18"/>
          <w:color w:val="auto"/>
        </w:rPr>
        <w:t>Bylaw duly adopted by the affirmative</w:t>
      </w:r>
    </w:p>
    <w:p>
      <w:pPr>
        <w:spacing w:after="0"/>
        <w:rPr>
          <w:sz w:val="20"/>
          <w:szCs w:val="20"/>
          <w:color w:val="auto"/>
        </w:rPr>
      </w:pPr>
      <w:r>
        <w:rPr>
          <w:rFonts w:ascii="Courier New" w:cs="Courier New" w:eastAsia="Courier New" w:hAnsi="Courier New"/>
          <w:sz w:val="18"/>
          <w:szCs w:val="18"/>
          <w:color w:val="auto"/>
        </w:rPr>
        <w:t>vote of a majority of the outstanding</w:t>
      </w:r>
    </w:p>
    <w:p>
      <w:pPr>
        <w:spacing w:after="0" w:line="237" w:lineRule="auto"/>
        <w:rPr>
          <w:sz w:val="20"/>
          <w:szCs w:val="20"/>
          <w:color w:val="auto"/>
        </w:rPr>
      </w:pPr>
      <w:r>
        <w:rPr>
          <w:rFonts w:ascii="Courier New" w:cs="Courier New" w:eastAsia="Courier New" w:hAnsi="Courier New"/>
          <w:sz w:val="18"/>
          <w:szCs w:val="18"/>
          <w:color w:val="auto"/>
        </w:rPr>
        <w:t>shares entitled to vote or by a</w:t>
      </w:r>
    </w:p>
    <w:p>
      <w:pPr>
        <w:spacing w:after="0"/>
        <w:rPr>
          <w:sz w:val="20"/>
          <w:szCs w:val="20"/>
          <w:color w:val="auto"/>
        </w:rPr>
      </w:pPr>
      <w:r>
        <w:rPr>
          <w:rFonts w:ascii="Courier New" w:cs="Courier New" w:eastAsia="Courier New" w:hAnsi="Courier New"/>
          <w:sz w:val="18"/>
          <w:szCs w:val="18"/>
          <w:color w:val="auto"/>
        </w:rPr>
        <w:t>resolution of the Board of Directors.</w:t>
      </w:r>
    </w:p>
    <w:p>
      <w:pPr>
        <w:spacing w:after="0" w:line="206" w:lineRule="exact"/>
        <w:rPr>
          <w:sz w:val="20"/>
          <w:szCs w:val="20"/>
          <w:color w:val="auto"/>
        </w:rPr>
      </w:pPr>
    </w:p>
    <w:p>
      <w:pPr>
        <w:ind w:right="3999" w:firstLine="527"/>
        <w:spacing w:after="0" w:line="236" w:lineRule="auto"/>
        <w:rPr>
          <w:sz w:val="20"/>
          <w:szCs w:val="20"/>
          <w:color w:val="auto"/>
        </w:rPr>
      </w:pPr>
      <w:r>
        <w:rPr>
          <w:rFonts w:ascii="Courier New" w:cs="Courier New" w:eastAsia="Courier New" w:hAnsi="Courier New"/>
          <w:sz w:val="18"/>
          <w:szCs w:val="18"/>
          <w:color w:val="auto"/>
        </w:rPr>
        <w:t>IN WITNESS WHEREOF, I hereunto set my hand and affixed the corporate seal of said corporation effective as of the 24th day of September, 1990.</w:t>
      </w: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Cathy L. Smith</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Corporate 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514" w:right="1440" w:bottom="1440" w:gutter="0" w:footer="0" w:header="0"/>
        </w:sectPr>
      </w:pPr>
    </w:p>
    <w:bookmarkStart w:id="85" w:name="page86"/>
    <w:bookmarkEnd w:id="85"/>
    <w:p>
      <w:pPr>
        <w:spacing w:after="0"/>
        <w:rPr>
          <w:sz w:val="20"/>
          <w:szCs w:val="20"/>
          <w:color w:val="auto"/>
        </w:rPr>
      </w:pPr>
      <w:r>
        <w:rPr>
          <w:rFonts w:ascii="Courier New" w:cs="Courier New" w:eastAsia="Courier New" w:hAnsi="Courier New"/>
          <w:sz w:val="18"/>
          <w:szCs w:val="18"/>
          <w:color w:val="auto"/>
        </w:rPr>
        <w:t>CERTIFICATE OF ELEVENTH AMENDMENT</w:t>
      </w:r>
    </w:p>
    <w:p>
      <w:pPr>
        <w:spacing w:after="0" w:line="238" w:lineRule="auto"/>
        <w:rPr>
          <w:sz w:val="20"/>
          <w:szCs w:val="20"/>
          <w:color w:val="auto"/>
        </w:rPr>
      </w:pPr>
      <w:r>
        <w:rPr>
          <w:rFonts w:ascii="Courier New" w:cs="Courier New" w:eastAsia="Courier New" w:hAnsi="Courier New"/>
          <w:sz w:val="18"/>
          <w:szCs w:val="18"/>
          <w:color w:val="auto"/>
        </w:rPr>
        <w:t>TO THE BYLAWS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9" w:lineRule="exact"/>
        <w:rPr>
          <w:sz w:val="20"/>
          <w:szCs w:val="20"/>
          <w:color w:val="auto"/>
        </w:rPr>
      </w:pPr>
    </w:p>
    <w:p>
      <w:pPr>
        <w:ind w:right="4199" w:firstLine="527"/>
        <w:spacing w:after="0" w:line="237" w:lineRule="auto"/>
        <w:rPr>
          <w:sz w:val="20"/>
          <w:szCs w:val="20"/>
          <w:color w:val="auto"/>
        </w:rPr>
      </w:pPr>
      <w:r>
        <w:rPr>
          <w:rFonts w:ascii="Courier New" w:cs="Courier New" w:eastAsia="Courier New" w:hAnsi="Courier New"/>
          <w:sz w:val="18"/>
          <w:szCs w:val="18"/>
          <w:color w:val="auto"/>
        </w:rPr>
        <w:t>I, Cathy L. Smith, Corporate Secretary of Micron Technology, Inc., a Delaware corporation, hereby certify that the following resolution was adopted by the Board of Directors on July 27, 1992:</w:t>
      </w:r>
    </w:p>
    <w:p>
      <w:pPr>
        <w:spacing w:after="0" w:line="202" w:lineRule="exact"/>
        <w:rPr>
          <w:sz w:val="20"/>
          <w:szCs w:val="20"/>
          <w:color w:val="auto"/>
        </w:rPr>
      </w:pPr>
    </w:p>
    <w:p>
      <w:pPr>
        <w:ind w:left="540"/>
        <w:spacing w:after="0"/>
        <w:tabs>
          <w:tab w:leader="none" w:pos="1680" w:val="left"/>
        </w:tabs>
        <w:rPr>
          <w:sz w:val="20"/>
          <w:szCs w:val="20"/>
          <w:color w:val="auto"/>
        </w:rPr>
      </w:pPr>
      <w:r>
        <w:rPr>
          <w:rFonts w:ascii="Courier New" w:cs="Courier New" w:eastAsia="Courier New" w:hAnsi="Courier New"/>
          <w:sz w:val="18"/>
          <w:szCs w:val="18"/>
          <w:color w:val="auto"/>
        </w:rPr>
        <w:t>RESOLVED:</w:t>
      </w:r>
      <w:r>
        <w:rPr>
          <w:sz w:val="20"/>
          <w:szCs w:val="20"/>
          <w:color w:val="auto"/>
        </w:rPr>
        <w:tab/>
      </w:r>
      <w:r>
        <w:rPr>
          <w:rFonts w:ascii="Courier New" w:cs="Courier New" w:eastAsia="Courier New" w:hAnsi="Courier New"/>
          <w:sz w:val="16"/>
          <w:szCs w:val="16"/>
          <w:color w:val="auto"/>
        </w:rPr>
        <w:t>Article III Section 1 of the</w:t>
      </w:r>
    </w:p>
    <w:p>
      <w:pPr>
        <w:spacing w:after="0" w:line="4"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Bylaws of this corporation are hereby amended to read as follows:</w:t>
      </w:r>
    </w:p>
    <w:p>
      <w:pPr>
        <w:spacing w:after="0" w:line="203"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The authorized number</w:t>
      </w:r>
    </w:p>
    <w:p>
      <w:pPr>
        <w:spacing w:after="0" w:line="238" w:lineRule="auto"/>
        <w:rPr>
          <w:sz w:val="20"/>
          <w:szCs w:val="20"/>
          <w:color w:val="auto"/>
        </w:rPr>
      </w:pPr>
      <w:r>
        <w:rPr>
          <w:rFonts w:ascii="Courier New" w:cs="Courier New" w:eastAsia="Courier New" w:hAnsi="Courier New"/>
          <w:sz w:val="18"/>
          <w:szCs w:val="18"/>
          <w:color w:val="auto"/>
        </w:rPr>
        <w:t>of directors of the Corporation shall be</w:t>
      </w:r>
    </w:p>
    <w:p>
      <w:pPr>
        <w:spacing w:after="0"/>
        <w:tabs>
          <w:tab w:leader="none" w:pos="840" w:val="left"/>
        </w:tabs>
        <w:rPr>
          <w:sz w:val="20"/>
          <w:szCs w:val="20"/>
          <w:color w:val="auto"/>
        </w:rPr>
      </w:pPr>
      <w:r>
        <w:rPr>
          <w:rFonts w:ascii="Courier New" w:cs="Courier New" w:eastAsia="Courier New" w:hAnsi="Courier New"/>
          <w:sz w:val="18"/>
          <w:szCs w:val="18"/>
          <w:color w:val="auto"/>
        </w:rPr>
        <w:t>eight.</w:t>
        <w:tab/>
        <w:t>The number of directors provided</w:t>
      </w:r>
    </w:p>
    <w:p>
      <w:pPr>
        <w:spacing w:after="0" w:line="237" w:lineRule="auto"/>
        <w:rPr>
          <w:sz w:val="20"/>
          <w:szCs w:val="20"/>
          <w:color w:val="auto"/>
        </w:rPr>
      </w:pPr>
      <w:r>
        <w:rPr>
          <w:rFonts w:ascii="Courier New" w:cs="Courier New" w:eastAsia="Courier New" w:hAnsi="Courier New"/>
          <w:sz w:val="18"/>
          <w:szCs w:val="18"/>
          <w:color w:val="auto"/>
        </w:rPr>
        <w:t>in this Section 1 may be changed by a</w:t>
      </w:r>
    </w:p>
    <w:p>
      <w:pPr>
        <w:spacing w:after="0" w:line="238" w:lineRule="auto"/>
        <w:rPr>
          <w:sz w:val="20"/>
          <w:szCs w:val="20"/>
          <w:color w:val="auto"/>
        </w:rPr>
      </w:pPr>
      <w:r>
        <w:rPr>
          <w:rFonts w:ascii="Courier New" w:cs="Courier New" w:eastAsia="Courier New" w:hAnsi="Courier New"/>
          <w:sz w:val="18"/>
          <w:szCs w:val="18"/>
          <w:color w:val="auto"/>
        </w:rPr>
        <w:t>Bylaw duly adopted by the affirmative</w:t>
      </w:r>
    </w:p>
    <w:p>
      <w:pPr>
        <w:spacing w:after="0"/>
        <w:rPr>
          <w:sz w:val="20"/>
          <w:szCs w:val="20"/>
          <w:color w:val="auto"/>
        </w:rPr>
      </w:pPr>
      <w:r>
        <w:rPr>
          <w:rFonts w:ascii="Courier New" w:cs="Courier New" w:eastAsia="Courier New" w:hAnsi="Courier New"/>
          <w:sz w:val="18"/>
          <w:szCs w:val="18"/>
          <w:color w:val="auto"/>
        </w:rPr>
        <w:t>vote of a majority of the outstanding</w:t>
      </w:r>
    </w:p>
    <w:p>
      <w:pPr>
        <w:spacing w:after="0" w:line="237" w:lineRule="auto"/>
        <w:rPr>
          <w:sz w:val="20"/>
          <w:szCs w:val="20"/>
          <w:color w:val="auto"/>
        </w:rPr>
      </w:pPr>
      <w:r>
        <w:rPr>
          <w:rFonts w:ascii="Courier New" w:cs="Courier New" w:eastAsia="Courier New" w:hAnsi="Courier New"/>
          <w:sz w:val="18"/>
          <w:szCs w:val="18"/>
          <w:color w:val="auto"/>
        </w:rPr>
        <w:t>shares entitled to vote or by a</w:t>
      </w:r>
    </w:p>
    <w:p>
      <w:pPr>
        <w:spacing w:after="0"/>
        <w:rPr>
          <w:sz w:val="20"/>
          <w:szCs w:val="20"/>
          <w:color w:val="auto"/>
        </w:rPr>
      </w:pPr>
      <w:r>
        <w:rPr>
          <w:rFonts w:ascii="Courier New" w:cs="Courier New" w:eastAsia="Courier New" w:hAnsi="Courier New"/>
          <w:sz w:val="18"/>
          <w:szCs w:val="18"/>
          <w:color w:val="auto"/>
        </w:rPr>
        <w:t>resolution of the Board of Directors.</w:t>
      </w:r>
    </w:p>
    <w:p>
      <w:pPr>
        <w:spacing w:after="0" w:line="206" w:lineRule="exact"/>
        <w:rPr>
          <w:sz w:val="20"/>
          <w:szCs w:val="20"/>
          <w:color w:val="auto"/>
        </w:rPr>
      </w:pPr>
    </w:p>
    <w:p>
      <w:pPr>
        <w:ind w:right="3999" w:firstLine="527"/>
        <w:spacing w:after="0" w:line="236" w:lineRule="auto"/>
        <w:rPr>
          <w:sz w:val="20"/>
          <w:szCs w:val="20"/>
          <w:color w:val="auto"/>
        </w:rPr>
      </w:pPr>
      <w:r>
        <w:rPr>
          <w:rFonts w:ascii="Courier New" w:cs="Courier New" w:eastAsia="Courier New" w:hAnsi="Courier New"/>
          <w:sz w:val="18"/>
          <w:szCs w:val="18"/>
          <w:color w:val="auto"/>
        </w:rPr>
        <w:t>IN WITNESS WHEREOF, I hereunto set my hand and affixed the corporate seal of said corporation effective as of the 27th day of July, 1992.</w:t>
      </w: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Cathy L. Smith</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Corporate 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514"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8"/>
          <w:szCs w:val="18"/>
          <w:color w:val="auto"/>
        </w:rPr>
        <w:t>CERTIFICATE OF TWELFTH AMENDMENT</w:t>
      </w:r>
    </w:p>
    <w:p>
      <w:pPr>
        <w:spacing w:after="0" w:line="238" w:lineRule="auto"/>
        <w:rPr>
          <w:sz w:val="20"/>
          <w:szCs w:val="20"/>
          <w:color w:val="auto"/>
        </w:rPr>
      </w:pPr>
      <w:r>
        <w:rPr>
          <w:rFonts w:ascii="Courier New" w:cs="Courier New" w:eastAsia="Courier New" w:hAnsi="Courier New"/>
          <w:sz w:val="18"/>
          <w:szCs w:val="18"/>
          <w:color w:val="auto"/>
        </w:rPr>
        <w:t>TO THE BYLAWS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9" w:lineRule="exact"/>
        <w:rPr>
          <w:sz w:val="20"/>
          <w:szCs w:val="20"/>
          <w:color w:val="auto"/>
        </w:rPr>
      </w:pPr>
    </w:p>
    <w:p>
      <w:pPr>
        <w:ind w:right="2839" w:firstLine="527"/>
        <w:spacing w:after="0" w:line="236" w:lineRule="auto"/>
        <w:rPr>
          <w:sz w:val="20"/>
          <w:szCs w:val="20"/>
          <w:color w:val="auto"/>
        </w:rPr>
      </w:pPr>
      <w:r>
        <w:rPr>
          <w:rFonts w:ascii="Courier New" w:cs="Courier New" w:eastAsia="Courier New" w:hAnsi="Courier New"/>
          <w:sz w:val="18"/>
          <w:szCs w:val="18"/>
          <w:color w:val="auto"/>
        </w:rPr>
        <w:t>I, Cathy L. Smith, Corporate Secretary of Micron Technology, Inc. a Delaware corporation, hereby certify that the following resolution was adopted by the Board of Directors on May 23, 1994:</w:t>
      </w:r>
    </w:p>
    <w:p>
      <w:pPr>
        <w:spacing w:after="0" w:line="209" w:lineRule="exact"/>
        <w:rPr>
          <w:sz w:val="20"/>
          <w:szCs w:val="20"/>
          <w:color w:val="auto"/>
        </w:rPr>
      </w:pPr>
    </w:p>
    <w:p>
      <w:pPr>
        <w:ind w:right="3899" w:firstLine="527"/>
        <w:spacing w:after="0" w:line="235" w:lineRule="auto"/>
        <w:rPr>
          <w:sz w:val="20"/>
          <w:szCs w:val="20"/>
          <w:color w:val="auto"/>
        </w:rPr>
      </w:pPr>
      <w:r>
        <w:rPr>
          <w:rFonts w:ascii="Courier New" w:cs="Courier New" w:eastAsia="Courier New" w:hAnsi="Courier New"/>
          <w:sz w:val="18"/>
          <w:szCs w:val="18"/>
          <w:color w:val="auto"/>
        </w:rPr>
        <w:t>RESOLVED: Article III, Section I of the Bylaws of this corporation are hereby amended to read as follows:</w:t>
      </w:r>
    </w:p>
    <w:p>
      <w:pPr>
        <w:spacing w:after="0" w:line="208" w:lineRule="exact"/>
        <w:rPr>
          <w:sz w:val="20"/>
          <w:szCs w:val="20"/>
          <w:color w:val="auto"/>
        </w:rPr>
      </w:pPr>
    </w:p>
    <w:p>
      <w:pPr>
        <w:ind w:right="3679" w:firstLine="527"/>
        <w:spacing w:after="0" w:line="273" w:lineRule="auto"/>
        <w:rPr>
          <w:sz w:val="20"/>
          <w:szCs w:val="20"/>
          <w:color w:val="auto"/>
        </w:rPr>
      </w:pPr>
      <w:r>
        <w:rPr>
          <w:rFonts w:ascii="Courier New" w:cs="Courier New" w:eastAsia="Courier New" w:hAnsi="Courier New"/>
          <w:sz w:val="16"/>
          <w:szCs w:val="16"/>
          <w:color w:val="auto"/>
        </w:rPr>
        <w:t>SECTION I. The authorized number of directors of the Corporation shall be ten. The number of directors provided in this Section I may be changed by a Bylaw duly adopted by the affirmative vote of a majority of the outstanding shares entitled to vote or by a resolution of the Board of Directors.</w:t>
      </w:r>
    </w:p>
    <w:p>
      <w:pPr>
        <w:spacing w:after="0" w:line="185" w:lineRule="exact"/>
        <w:rPr>
          <w:sz w:val="20"/>
          <w:szCs w:val="20"/>
          <w:color w:val="auto"/>
        </w:rPr>
      </w:pPr>
    </w:p>
    <w:p>
      <w:pPr>
        <w:ind w:right="3259" w:firstLine="527"/>
        <w:spacing w:after="0" w:line="236" w:lineRule="auto"/>
        <w:rPr>
          <w:sz w:val="20"/>
          <w:szCs w:val="20"/>
          <w:color w:val="auto"/>
        </w:rPr>
      </w:pPr>
      <w:r>
        <w:rPr>
          <w:rFonts w:ascii="Courier New" w:cs="Courier New" w:eastAsia="Courier New" w:hAnsi="Courier New"/>
          <w:sz w:val="18"/>
          <w:szCs w:val="18"/>
          <w:color w:val="auto"/>
        </w:rPr>
        <w:t>IN WITNESS WHEREOF, I hereunto set my hand and affixed the corporate seal of said corporation effective as of the 23rd day of May, 1994.</w:t>
      </w: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Cathy L. Smith</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Corporate 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717" w:right="1440" w:bottom="1440" w:gutter="0" w:footer="0" w:header="0"/>
        </w:sectPr>
      </w:pPr>
    </w:p>
    <w:bookmarkStart w:id="87" w:name="page88"/>
    <w:bookmarkEnd w:id="87"/>
    <w:p>
      <w:pPr>
        <w:spacing w:after="0"/>
        <w:rPr>
          <w:sz w:val="20"/>
          <w:szCs w:val="20"/>
          <w:color w:val="auto"/>
        </w:rPr>
      </w:pPr>
      <w:r>
        <w:rPr>
          <w:rFonts w:ascii="Courier New" w:cs="Courier New" w:eastAsia="Courier New" w:hAnsi="Courier New"/>
          <w:sz w:val="18"/>
          <w:szCs w:val="18"/>
          <w:color w:val="auto"/>
        </w:rPr>
        <w:t>CERTIFICATE OF THIRTEENTH AMENDMENT</w:t>
      </w:r>
    </w:p>
    <w:p>
      <w:pPr>
        <w:spacing w:after="0" w:line="238" w:lineRule="auto"/>
        <w:rPr>
          <w:sz w:val="20"/>
          <w:szCs w:val="20"/>
          <w:color w:val="auto"/>
        </w:rPr>
      </w:pPr>
      <w:r>
        <w:rPr>
          <w:rFonts w:ascii="Courier New" w:cs="Courier New" w:eastAsia="Courier New" w:hAnsi="Courier New"/>
          <w:sz w:val="18"/>
          <w:szCs w:val="18"/>
          <w:color w:val="auto"/>
        </w:rPr>
        <w:t>TO THE BYLAWS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9" w:lineRule="exact"/>
        <w:rPr>
          <w:sz w:val="20"/>
          <w:szCs w:val="20"/>
          <w:color w:val="auto"/>
        </w:rPr>
      </w:pPr>
    </w:p>
    <w:p>
      <w:pPr>
        <w:ind w:right="2839" w:firstLine="527"/>
        <w:spacing w:after="0" w:line="279" w:lineRule="auto"/>
        <w:rPr>
          <w:sz w:val="20"/>
          <w:szCs w:val="20"/>
          <w:color w:val="auto"/>
        </w:rPr>
      </w:pPr>
      <w:r>
        <w:rPr>
          <w:rFonts w:ascii="Courier New" w:cs="Courier New" w:eastAsia="Courier New" w:hAnsi="Courier New"/>
          <w:sz w:val="16"/>
          <w:szCs w:val="16"/>
          <w:color w:val="auto"/>
        </w:rPr>
        <w:t>I, Cathy L. Smith, Corporate Secretary of Micron Technology, Inc. a Delaware corporation, hereby certify that the following resolution was adopted by the Board of Directors on September 1, 1994:</w:t>
      </w:r>
    </w:p>
    <w:p>
      <w:pPr>
        <w:spacing w:after="0" w:line="178" w:lineRule="exact"/>
        <w:rPr>
          <w:sz w:val="20"/>
          <w:szCs w:val="20"/>
          <w:color w:val="auto"/>
        </w:rPr>
      </w:pPr>
    </w:p>
    <w:p>
      <w:pPr>
        <w:ind w:right="3899" w:firstLine="527"/>
        <w:spacing w:after="0" w:line="235" w:lineRule="auto"/>
        <w:rPr>
          <w:sz w:val="20"/>
          <w:szCs w:val="20"/>
          <w:color w:val="auto"/>
        </w:rPr>
      </w:pPr>
      <w:r>
        <w:rPr>
          <w:rFonts w:ascii="Courier New" w:cs="Courier New" w:eastAsia="Courier New" w:hAnsi="Courier New"/>
          <w:sz w:val="18"/>
          <w:szCs w:val="18"/>
          <w:color w:val="auto"/>
        </w:rPr>
        <w:t>RESOLVED: Article III, Section I of the Bylaws of this corporation are hereby amended to read as follows:</w:t>
      </w:r>
    </w:p>
    <w:p>
      <w:pPr>
        <w:spacing w:after="0" w:line="208" w:lineRule="exact"/>
        <w:rPr>
          <w:sz w:val="20"/>
          <w:szCs w:val="20"/>
          <w:color w:val="auto"/>
        </w:rPr>
      </w:pPr>
    </w:p>
    <w:p>
      <w:pPr>
        <w:ind w:right="3679" w:firstLine="527"/>
        <w:spacing w:after="0" w:line="273" w:lineRule="auto"/>
        <w:rPr>
          <w:sz w:val="20"/>
          <w:szCs w:val="20"/>
          <w:color w:val="auto"/>
        </w:rPr>
      </w:pPr>
      <w:r>
        <w:rPr>
          <w:rFonts w:ascii="Courier New" w:cs="Courier New" w:eastAsia="Courier New" w:hAnsi="Courier New"/>
          <w:sz w:val="16"/>
          <w:szCs w:val="16"/>
          <w:color w:val="auto"/>
        </w:rPr>
        <w:t>SECTION I. The authorized number of directors of the Corporation shall be eleven. The number of directors provided in this Section I may be changed by a Bylaw duly adopted by the affirmative vote of a majority of the outstanding shares entitled to vote or by a resolution of the Board of Directors.</w:t>
      </w:r>
    </w:p>
    <w:p>
      <w:pPr>
        <w:spacing w:after="0" w:line="185" w:lineRule="exact"/>
        <w:rPr>
          <w:sz w:val="20"/>
          <w:szCs w:val="20"/>
          <w:color w:val="auto"/>
        </w:rPr>
      </w:pPr>
    </w:p>
    <w:p>
      <w:pPr>
        <w:ind w:right="3359" w:firstLine="527"/>
        <w:spacing w:after="0" w:line="236" w:lineRule="auto"/>
        <w:rPr>
          <w:sz w:val="20"/>
          <w:szCs w:val="20"/>
          <w:color w:val="auto"/>
        </w:rPr>
      </w:pPr>
      <w:r>
        <w:rPr>
          <w:rFonts w:ascii="Courier New" w:cs="Courier New" w:eastAsia="Courier New" w:hAnsi="Courier New"/>
          <w:sz w:val="18"/>
          <w:szCs w:val="18"/>
          <w:color w:val="auto"/>
        </w:rPr>
        <w:t>IN WITNESS WHEREOF, I hereunto set my hand and affixed the corporate seal of said corporation effective as of the 1st day of September, 1994.</w:t>
      </w: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Cathy L. Smith</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Corporate 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717" w:right="1440" w:bottom="1440" w:gutter="0" w:footer="0" w:header="0"/>
        </w:sectPr>
      </w:pPr>
    </w:p>
    <w:bookmarkStart w:id="88" w:name="page89"/>
    <w:bookmarkEnd w:id="88"/>
    <w:p>
      <w:pPr>
        <w:ind w:left="1580"/>
        <w:spacing w:after="0"/>
        <w:rPr>
          <w:sz w:val="20"/>
          <w:szCs w:val="20"/>
          <w:color w:val="auto"/>
        </w:rPr>
      </w:pPr>
      <w:r>
        <w:rPr>
          <w:rFonts w:ascii="Courier New" w:cs="Courier New" w:eastAsia="Courier New" w:hAnsi="Courier New"/>
          <w:sz w:val="18"/>
          <w:szCs w:val="18"/>
          <w:color w:val="auto"/>
        </w:rPr>
        <w:t>CERTIFICATE OF FOURTEENTH AMENDMENT</w:t>
      </w:r>
    </w:p>
    <w:p>
      <w:pPr>
        <w:ind w:left="2440"/>
        <w:spacing w:after="0" w:line="238" w:lineRule="auto"/>
        <w:rPr>
          <w:sz w:val="20"/>
          <w:szCs w:val="20"/>
          <w:color w:val="auto"/>
        </w:rPr>
      </w:pPr>
      <w:r>
        <w:rPr>
          <w:rFonts w:ascii="Courier New" w:cs="Courier New" w:eastAsia="Courier New" w:hAnsi="Courier New"/>
          <w:sz w:val="18"/>
          <w:szCs w:val="18"/>
          <w:color w:val="auto"/>
        </w:rPr>
        <w:t>TO THE BYLAWS OF</w:t>
      </w:r>
    </w:p>
    <w:p>
      <w:pPr>
        <w:ind w:left="2220"/>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I, Cathy L. Smith, Corporate Secretary of Micron Technology, Inc. a Delaware corporation, hereby certify that the following resolution was adopted by the Board of Directors on October 27, 1994:</w:t>
      </w:r>
    </w:p>
    <w:p>
      <w:pPr>
        <w:spacing w:after="0" w:line="207" w:lineRule="exact"/>
        <w:rPr>
          <w:sz w:val="20"/>
          <w:szCs w:val="20"/>
          <w:color w:val="auto"/>
        </w:rPr>
      </w:pPr>
    </w:p>
    <w:p>
      <w:pPr>
        <w:ind w:right="3899" w:firstLine="527"/>
        <w:spacing w:after="0" w:line="235" w:lineRule="auto"/>
        <w:rPr>
          <w:sz w:val="20"/>
          <w:szCs w:val="20"/>
          <w:color w:val="auto"/>
        </w:rPr>
      </w:pPr>
      <w:r>
        <w:rPr>
          <w:rFonts w:ascii="Courier New" w:cs="Courier New" w:eastAsia="Courier New" w:hAnsi="Courier New"/>
          <w:sz w:val="18"/>
          <w:szCs w:val="18"/>
          <w:color w:val="auto"/>
        </w:rPr>
        <w:t>RESOLVED: Article III, Section I of the Bylaws of this corporation are hereby amended to read as follows:</w:t>
      </w:r>
    </w:p>
    <w:p>
      <w:pPr>
        <w:spacing w:after="0" w:line="208" w:lineRule="exact"/>
        <w:rPr>
          <w:sz w:val="20"/>
          <w:szCs w:val="20"/>
          <w:color w:val="auto"/>
        </w:rPr>
      </w:pPr>
    </w:p>
    <w:p>
      <w:pPr>
        <w:ind w:right="3679" w:firstLine="527"/>
        <w:spacing w:after="0" w:line="273" w:lineRule="auto"/>
        <w:rPr>
          <w:sz w:val="20"/>
          <w:szCs w:val="20"/>
          <w:color w:val="auto"/>
        </w:rPr>
      </w:pPr>
      <w:r>
        <w:rPr>
          <w:rFonts w:ascii="Courier New" w:cs="Courier New" w:eastAsia="Courier New" w:hAnsi="Courier New"/>
          <w:sz w:val="16"/>
          <w:szCs w:val="16"/>
          <w:color w:val="auto"/>
        </w:rPr>
        <w:t>SECTION I. The authorized number of directors of the Corporation shall be ten. The number of directors provided in this Section I may be changed by a Bylaw duly adopted by the affirmative vote of a majority of the outstanding shares entitled to vote or by a resolution of the Board of Directors.</w:t>
      </w:r>
    </w:p>
    <w:p>
      <w:pPr>
        <w:spacing w:after="0" w:line="185" w:lineRule="exact"/>
        <w:rPr>
          <w:sz w:val="20"/>
          <w:szCs w:val="20"/>
          <w:color w:val="auto"/>
        </w:rPr>
      </w:pPr>
    </w:p>
    <w:p>
      <w:pPr>
        <w:ind w:right="3259" w:firstLine="527"/>
        <w:spacing w:after="0" w:line="236" w:lineRule="auto"/>
        <w:rPr>
          <w:sz w:val="20"/>
          <w:szCs w:val="20"/>
          <w:color w:val="auto"/>
        </w:rPr>
      </w:pPr>
      <w:r>
        <w:rPr>
          <w:rFonts w:ascii="Courier New" w:cs="Courier New" w:eastAsia="Courier New" w:hAnsi="Courier New"/>
          <w:sz w:val="18"/>
          <w:szCs w:val="18"/>
          <w:color w:val="auto"/>
        </w:rPr>
        <w:t>IN WITNESS WHEREOF, I hereunto set my hand and affixed the corporate seal of said corporation effective as of the 27th day of October, 1994.</w:t>
      </w: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Cathy L. Smith</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Corporate 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717" w:right="1440" w:bottom="1440" w:gutter="0" w:footer="0" w:header="0"/>
        </w:sectPr>
      </w:pPr>
    </w:p>
    <w:bookmarkStart w:id="89" w:name="page90"/>
    <w:bookmarkEnd w:id="89"/>
    <w:p>
      <w:pPr>
        <w:ind w:left="2860"/>
        <w:spacing w:after="0"/>
        <w:rPr>
          <w:sz w:val="20"/>
          <w:szCs w:val="20"/>
          <w:color w:val="auto"/>
        </w:rPr>
      </w:pPr>
      <w:r>
        <w:rPr>
          <w:rFonts w:ascii="Courier New" w:cs="Courier New" w:eastAsia="Courier New" w:hAnsi="Courier New"/>
          <w:sz w:val="18"/>
          <w:szCs w:val="18"/>
          <w:color w:val="auto"/>
        </w:rPr>
        <w:t>EXHIBIT 10.110</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MICRON TECHNOLOGY, INC.</w:t>
      </w:r>
    </w:p>
    <w:p>
      <w:pPr>
        <w:ind w:left="2640"/>
        <w:spacing w:after="0" w:line="238" w:lineRule="auto"/>
        <w:rPr>
          <w:sz w:val="20"/>
          <w:szCs w:val="20"/>
          <w:color w:val="auto"/>
        </w:rPr>
      </w:pPr>
      <w:r>
        <w:rPr>
          <w:rFonts w:ascii="Courier New" w:cs="Courier New" w:eastAsia="Courier New" w:hAnsi="Courier New"/>
          <w:sz w:val="18"/>
          <w:szCs w:val="18"/>
          <w:color w:val="auto"/>
        </w:rPr>
        <w:t>1994 STOCK OPTION PLAN</w:t>
      </w:r>
    </w:p>
    <w:p>
      <w:pPr>
        <w:spacing w:after="0" w:line="200" w:lineRule="exact"/>
        <w:rPr>
          <w:sz w:val="20"/>
          <w:szCs w:val="20"/>
          <w:color w:val="auto"/>
        </w:rPr>
      </w:pPr>
    </w:p>
    <w:p>
      <w:pPr>
        <w:spacing w:after="0" w:line="210" w:lineRule="exact"/>
        <w:rPr>
          <w:sz w:val="20"/>
          <w:szCs w:val="20"/>
          <w:color w:val="auto"/>
        </w:rPr>
      </w:pPr>
    </w:p>
    <w:p>
      <w:pPr>
        <w:ind w:right="3999" w:firstLine="535"/>
        <w:spacing w:after="0" w:line="235" w:lineRule="auto"/>
        <w:tabs>
          <w:tab w:leader="none" w:pos="1053"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Purposes of the Plan. The purposes of this Stock Option Plan are:</w:t>
      </w:r>
    </w:p>
    <w:p>
      <w:pPr>
        <w:spacing w:after="0" w:line="208" w:lineRule="exact"/>
        <w:rPr>
          <w:sz w:val="20"/>
          <w:szCs w:val="20"/>
          <w:color w:val="auto"/>
        </w:rPr>
      </w:pPr>
    </w:p>
    <w:p>
      <w:pPr>
        <w:ind w:left="540" w:right="3479" w:hanging="5"/>
        <w:spacing w:after="0" w:line="235" w:lineRule="auto"/>
        <w:tabs>
          <w:tab w:leader="none" w:pos="1067"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attract and retain the best available personnel for positions of substantial responsibility,</w:t>
      </w:r>
    </w:p>
    <w:p>
      <w:pPr>
        <w:spacing w:after="0" w:line="208" w:lineRule="exact"/>
        <w:rPr>
          <w:rFonts w:ascii="Courier New" w:cs="Courier New" w:eastAsia="Courier New" w:hAnsi="Courier New"/>
          <w:sz w:val="18"/>
          <w:szCs w:val="18"/>
          <w:color w:val="auto"/>
        </w:rPr>
      </w:pPr>
    </w:p>
    <w:p>
      <w:pPr>
        <w:ind w:left="540" w:right="4099" w:hanging="5"/>
        <w:spacing w:after="0" w:line="235" w:lineRule="auto"/>
        <w:tabs>
          <w:tab w:leader="none" w:pos="1067"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provide additional incentive to Employees and Consultants, and</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promote the success of the Company's business.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Options granted under the Plan may be Incentive Stock Options or Nonstatutory Stock Options, as determined by the Administrator at the time of grant.</w:t>
      </w:r>
    </w:p>
    <w:p>
      <w:pPr>
        <w:spacing w:after="0" w:line="209" w:lineRule="exact"/>
        <w:rPr>
          <w:sz w:val="20"/>
          <w:szCs w:val="20"/>
          <w:color w:val="auto"/>
        </w:rPr>
      </w:pPr>
    </w:p>
    <w:p>
      <w:pPr>
        <w:ind w:right="3359" w:firstLine="535"/>
        <w:spacing w:after="0" w:line="235" w:lineRule="auto"/>
        <w:tabs>
          <w:tab w:leader="none" w:pos="105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As used herein, the following definitions shall apply:</w:t>
      </w:r>
    </w:p>
    <w:p>
      <w:pPr>
        <w:spacing w:after="0" w:line="208" w:lineRule="exact"/>
        <w:rPr>
          <w:rFonts w:ascii="Courier New" w:cs="Courier New" w:eastAsia="Courier New" w:hAnsi="Courier New"/>
          <w:sz w:val="18"/>
          <w:szCs w:val="18"/>
          <w:color w:val="auto"/>
        </w:rPr>
      </w:pPr>
    </w:p>
    <w:p>
      <w:pPr>
        <w:ind w:right="3359" w:firstLine="1061"/>
        <w:spacing w:after="0" w:line="236" w:lineRule="auto"/>
        <w:tabs>
          <w:tab w:leader="none" w:pos="158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"Administrator" means the Board or any of its Committees as shall be administering the Plan, in accordance with Section 4 of the Plan.</w:t>
      </w:r>
    </w:p>
    <w:p>
      <w:pPr>
        <w:spacing w:after="0" w:line="208" w:lineRule="exact"/>
        <w:rPr>
          <w:rFonts w:ascii="Courier New" w:cs="Courier New" w:eastAsia="Courier New" w:hAnsi="Courier New"/>
          <w:sz w:val="18"/>
          <w:szCs w:val="18"/>
          <w:color w:val="auto"/>
        </w:rPr>
      </w:pPr>
    </w:p>
    <w:p>
      <w:pPr>
        <w:ind w:right="3779" w:firstLine="1061"/>
        <w:spacing w:after="0" w:line="279" w:lineRule="auto"/>
        <w:tabs>
          <w:tab w:leader="none" w:pos="158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"Applicable Laws" means the legal requirements relating to the administration of stock option plans under Delaware corporate and securities laws and the Code.</w:t>
      </w:r>
    </w:p>
    <w:p>
      <w:pPr>
        <w:spacing w:after="0" w:line="172" w:lineRule="exact"/>
        <w:rPr>
          <w:rFonts w:ascii="Courier New" w:cs="Courier New" w:eastAsia="Courier New" w:hAnsi="Courier New"/>
          <w:sz w:val="16"/>
          <w:szCs w:val="16"/>
          <w:color w:val="auto"/>
        </w:rPr>
      </w:pPr>
    </w:p>
    <w:p>
      <w:pPr>
        <w:ind w:left="1580" w:hanging="519"/>
        <w:spacing w:after="0"/>
        <w:tabs>
          <w:tab w:leader="none" w:pos="158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means the Board of Directors of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w:t>
      </w:r>
    </w:p>
    <w:p>
      <w:pPr>
        <w:spacing w:after="0" w:line="207" w:lineRule="exact"/>
        <w:rPr>
          <w:rFonts w:ascii="Courier New" w:cs="Courier New" w:eastAsia="Courier New" w:hAnsi="Courier New"/>
          <w:sz w:val="18"/>
          <w:szCs w:val="18"/>
          <w:color w:val="auto"/>
        </w:rPr>
      </w:pPr>
    </w:p>
    <w:p>
      <w:pPr>
        <w:ind w:right="3579" w:firstLine="1061"/>
        <w:spacing w:after="0" w:line="275" w:lineRule="auto"/>
        <w:tabs>
          <w:tab w:leader="none" w:pos="158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means the acquisition by any person or entity, directly, indirectly or beneficially, acting alone or in concert, of more than thirty-five percent (35%) of the Common Stock of the Company outstanding at any time.</w:t>
      </w:r>
    </w:p>
    <w:p>
      <w:pPr>
        <w:spacing w:after="0" w:line="182" w:lineRule="exact"/>
        <w:rPr>
          <w:rFonts w:ascii="Courier New" w:cs="Courier New" w:eastAsia="Courier New" w:hAnsi="Courier New"/>
          <w:sz w:val="16"/>
          <w:szCs w:val="16"/>
          <w:color w:val="auto"/>
        </w:rPr>
      </w:pPr>
    </w:p>
    <w:p>
      <w:pPr>
        <w:ind w:left="1580" w:hanging="519"/>
        <w:spacing w:after="0"/>
        <w:tabs>
          <w:tab w:leader="none" w:pos="158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means the Internal Revenue Code of 1986, as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amended.</w:t>
      </w:r>
    </w:p>
    <w:p>
      <w:pPr>
        <w:spacing w:after="0" w:line="207" w:lineRule="exact"/>
        <w:rPr>
          <w:rFonts w:ascii="Courier New" w:cs="Courier New" w:eastAsia="Courier New" w:hAnsi="Courier New"/>
          <w:sz w:val="16"/>
          <w:szCs w:val="16"/>
          <w:color w:val="auto"/>
        </w:rPr>
      </w:pPr>
    </w:p>
    <w:p>
      <w:pPr>
        <w:ind w:right="3779" w:firstLine="1061"/>
        <w:spacing w:after="0" w:line="235" w:lineRule="auto"/>
        <w:tabs>
          <w:tab w:leader="none" w:pos="158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means a Committee appointed by the Board in accordance with Section 4 of the Plan.</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means the Common Stock of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w:t>
      </w:r>
    </w:p>
    <w:p>
      <w:pPr>
        <w:spacing w:after="0" w:line="207" w:lineRule="exact"/>
        <w:rPr>
          <w:rFonts w:ascii="Courier New" w:cs="Courier New" w:eastAsia="Courier New" w:hAnsi="Courier New"/>
          <w:sz w:val="18"/>
          <w:szCs w:val="18"/>
          <w:color w:val="auto"/>
        </w:rPr>
      </w:pPr>
    </w:p>
    <w:p>
      <w:pPr>
        <w:ind w:right="4199" w:firstLine="1061"/>
        <w:spacing w:after="0" w:line="235" w:lineRule="auto"/>
        <w:tabs>
          <w:tab w:leader="none" w:pos="158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means Micron Technology, Inc., a Delaware corporation.</w:t>
      </w:r>
    </w:p>
    <w:p>
      <w:pPr>
        <w:spacing w:after="0" w:line="208" w:lineRule="exact"/>
        <w:rPr>
          <w:rFonts w:ascii="Courier New" w:cs="Courier New" w:eastAsia="Courier New" w:hAnsi="Courier New"/>
          <w:sz w:val="18"/>
          <w:szCs w:val="18"/>
          <w:color w:val="auto"/>
        </w:rPr>
      </w:pPr>
    </w:p>
    <w:p>
      <w:pPr>
        <w:ind w:right="3359" w:firstLine="1061"/>
        <w:spacing w:after="0" w:line="237" w:lineRule="auto"/>
        <w:tabs>
          <w:tab w:leader="none" w:pos="158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"Consultant" means any person, including an advisor, engaged by the Company or a Parent or Subsidiary to render services and who is compensated for such services. The term "Consultant" shall not include Directors who are paid only a director's fee by the Company or who are not compensated by the Company for their services as Directors.</w:t>
      </w: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385" w:lineRule="exact"/>
        <w:rPr>
          <w:sz w:val="20"/>
          <w:szCs w:val="20"/>
          <w:color w:val="auto"/>
        </w:rPr>
      </w:pPr>
    </w:p>
    <w:p>
      <w:pPr>
        <w:ind w:right="3359" w:firstLine="1061"/>
        <w:spacing w:after="0" w:line="269" w:lineRule="auto"/>
        <w:tabs>
          <w:tab w:leader="none" w:pos="15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"Continuous Status as and Employee or Consultant" means that the employment or consulting relationship with the Company, any Parent, or Subsidiary, is not interrupted or terminated. Continuous Status as an Employee or Consultant shall not be considered interrupted in the case of (i) any leave of absence approved by the Company or (ii) transfers between locations of the Company or between the Company, its Parent, any Subsidiary, or any successor. A leave of absence approved by the Company shall include sick leave, military leave, or any other personal leave approved by an authorized representative of the Company.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Optionee shall cease to be treated as an Incentive Stock Option and shall be treated for tax purposes as a Nonstatutory Stock Option.</w:t>
      </w:r>
    </w:p>
    <w:p>
      <w:pPr>
        <w:sectPr>
          <w:pgSz w:w="11900" w:h="16838" w:orient="portrait"/>
          <w:cols w:equalWidth="0" w:num="1">
            <w:col w:w="10219"/>
          </w:cols>
          <w:pgMar w:left="240" w:top="136" w:right="1440" w:bottom="146" w:gutter="0" w:footer="0" w:header="0"/>
        </w:sectPr>
      </w:pPr>
    </w:p>
    <w:bookmarkStart w:id="90" w:name="page91"/>
    <w:bookmarkEnd w:id="90"/>
    <w:p>
      <w:pPr>
        <w:ind w:left="519" w:hanging="519"/>
        <w:spacing w:after="0"/>
        <w:tabs>
          <w:tab w:leader="none" w:pos="51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means a member of the Board.</w:t>
      </w:r>
    </w:p>
    <w:p>
      <w:pPr>
        <w:spacing w:after="0" w:line="206" w:lineRule="exact"/>
        <w:rPr>
          <w:rFonts w:ascii="Courier New" w:cs="Courier New" w:eastAsia="Courier New" w:hAnsi="Courier New"/>
          <w:sz w:val="18"/>
          <w:szCs w:val="18"/>
          <w:color w:val="auto"/>
        </w:rPr>
      </w:pPr>
    </w:p>
    <w:p>
      <w:pPr>
        <w:ind w:left="-1061" w:right="3479" w:firstLine="1061"/>
        <w:spacing w:after="0" w:line="235" w:lineRule="auto"/>
        <w:tabs>
          <w:tab w:leader="none" w:pos="51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means total and permanent disability as defined in Section 22(e)(3) of the Code.</w:t>
      </w:r>
    </w:p>
    <w:p>
      <w:pPr>
        <w:spacing w:after="0" w:line="208" w:lineRule="exact"/>
        <w:rPr>
          <w:rFonts w:ascii="Courier New" w:cs="Courier New" w:eastAsia="Courier New" w:hAnsi="Courier New"/>
          <w:sz w:val="18"/>
          <w:szCs w:val="18"/>
          <w:color w:val="auto"/>
        </w:rPr>
      </w:pPr>
    </w:p>
    <w:p>
      <w:pPr>
        <w:ind w:left="-1061" w:right="3359" w:firstLine="1061"/>
        <w:spacing w:after="0" w:line="237" w:lineRule="auto"/>
        <w:tabs>
          <w:tab w:leader="none" w:pos="51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means any person, including Officers and Directors, employed by the Company or any Parent or Subsidiary of the Company. Neither service as a Director nor payment of a director's fee by the Company shall be sufficient to constitute "employment" by the Company.</w:t>
      </w:r>
    </w:p>
    <w:p>
      <w:pPr>
        <w:spacing w:after="0" w:line="208" w:lineRule="exact"/>
        <w:rPr>
          <w:rFonts w:ascii="Courier New" w:cs="Courier New" w:eastAsia="Courier New" w:hAnsi="Courier New"/>
          <w:sz w:val="18"/>
          <w:szCs w:val="18"/>
          <w:color w:val="auto"/>
        </w:rPr>
      </w:pPr>
    </w:p>
    <w:p>
      <w:pPr>
        <w:ind w:left="-1061" w:right="3579" w:firstLine="1061"/>
        <w:spacing w:after="0" w:line="235" w:lineRule="auto"/>
        <w:tabs>
          <w:tab w:leader="none" w:pos="51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Act" means the Securities Exchange Act of 1934, as amended.</w:t>
      </w:r>
    </w:p>
    <w:p>
      <w:pPr>
        <w:spacing w:after="0" w:line="208" w:lineRule="exact"/>
        <w:rPr>
          <w:rFonts w:ascii="Courier New" w:cs="Courier New" w:eastAsia="Courier New" w:hAnsi="Courier New"/>
          <w:sz w:val="18"/>
          <w:szCs w:val="18"/>
          <w:color w:val="auto"/>
        </w:rPr>
      </w:pPr>
    </w:p>
    <w:p>
      <w:pPr>
        <w:ind w:left="-1061" w:right="3779" w:firstLine="1061"/>
        <w:spacing w:after="0" w:line="235" w:lineRule="auto"/>
        <w:tabs>
          <w:tab w:leader="none" w:pos="51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means, as of any date, the value of Common Stock determined as follows:</w:t>
      </w:r>
    </w:p>
    <w:p>
      <w:pPr>
        <w:spacing w:after="0" w:line="208" w:lineRule="exact"/>
        <w:rPr>
          <w:rFonts w:ascii="Courier New" w:cs="Courier New" w:eastAsia="Courier New" w:hAnsi="Courier New"/>
          <w:sz w:val="18"/>
          <w:szCs w:val="18"/>
          <w:color w:val="auto"/>
        </w:rPr>
      </w:pPr>
    </w:p>
    <w:p>
      <w:pPr>
        <w:ind w:left="-1061" w:right="3359" w:firstLine="1588"/>
        <w:spacing w:after="0" w:line="237" w:lineRule="auto"/>
        <w:tabs>
          <w:tab w:leader="none" w:pos="1045"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Common Stock is listed on any established stock exchange, including without limitation the New York Stock Exchange ("NYSE"), or a national market system, the Fair Market Value of a Share of Common Stock shall be the average closing price for such stock (or the closing bid, if no sales were reported) as quoted on such exchange or system (or the exchange with the greatest volume of trading in Common Stock) for the five business days preceding the day of determination, as reported in the The Wall Street Journal or such other source as the Administrator deems reliable;</w:t>
      </w:r>
    </w:p>
    <w:p>
      <w:pPr>
        <w:spacing w:after="0" w:line="214" w:lineRule="exact"/>
        <w:rPr>
          <w:rFonts w:ascii="Courier New" w:cs="Courier New" w:eastAsia="Courier New" w:hAnsi="Courier New"/>
          <w:sz w:val="18"/>
          <w:szCs w:val="18"/>
          <w:color w:val="auto"/>
        </w:rPr>
      </w:pPr>
    </w:p>
    <w:p>
      <w:pPr>
        <w:ind w:left="-1061" w:right="3259" w:firstLine="1588"/>
        <w:spacing w:after="0" w:line="237" w:lineRule="auto"/>
        <w:tabs>
          <w:tab w:leader="none" w:pos="1045"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Common Stock is quoted on the over-the-counter market or is regularly quoted by a recognized securities dealer, but selling prices are not reported, the Fair Market Value of a Share of Common Stock shall be the mean between the high bid and low asked prices for the Common Stock on the last market trading day prior to the day of determination, as reported in The Wall Street Journal or such other source as the Administrator deems reliable;</w:t>
      </w:r>
    </w:p>
    <w:p>
      <w:pPr>
        <w:spacing w:after="0" w:line="212" w:lineRule="exact"/>
        <w:rPr>
          <w:rFonts w:ascii="Courier New" w:cs="Courier New" w:eastAsia="Courier New" w:hAnsi="Courier New"/>
          <w:sz w:val="18"/>
          <w:szCs w:val="18"/>
          <w:color w:val="auto"/>
        </w:rPr>
      </w:pPr>
    </w:p>
    <w:p>
      <w:pPr>
        <w:ind w:left="-1061" w:right="3479" w:firstLine="1588"/>
        <w:spacing w:after="0" w:line="236" w:lineRule="auto"/>
        <w:tabs>
          <w:tab w:leader="none" w:pos="1572"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absence of an established market for the Common Stock, the Fair Market Value shall be determined in good faith by the Administrator.</w:t>
      </w:r>
    </w:p>
    <w:p>
      <w:pPr>
        <w:spacing w:after="0" w:line="203" w:lineRule="exact"/>
        <w:rPr>
          <w:sz w:val="20"/>
          <w:szCs w:val="20"/>
          <w:color w:val="auto"/>
        </w:rPr>
      </w:pPr>
    </w:p>
    <w:p>
      <w:pPr>
        <w:ind w:left="2419"/>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158"/>
          </w:cols>
          <w:pgMar w:left="1301" w:top="339" w:right="1440" w:bottom="1440" w:gutter="0" w:footer="0" w:header="0"/>
        </w:sectPr>
      </w:pPr>
    </w:p>
    <w:bookmarkStart w:id="91" w:name="page92"/>
    <w:bookmarkEnd w:id="91"/>
    <w:p>
      <w:pPr>
        <w:ind w:right="3479" w:firstLine="1061"/>
        <w:spacing w:after="0" w:line="237" w:lineRule="auto"/>
        <w:tabs>
          <w:tab w:leader="none" w:pos="15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"Incentive Stock Option" means an Option intended to qualify as an incentive stock option within the meaning of Section 422 of the Code and the regulations promulgated thereunder.</w:t>
      </w:r>
    </w:p>
    <w:p>
      <w:pPr>
        <w:spacing w:after="0" w:line="207" w:lineRule="exact"/>
        <w:rPr>
          <w:rFonts w:ascii="Courier New" w:cs="Courier New" w:eastAsia="Courier New" w:hAnsi="Courier New"/>
          <w:sz w:val="18"/>
          <w:szCs w:val="18"/>
          <w:color w:val="auto"/>
        </w:rPr>
      </w:pPr>
    </w:p>
    <w:p>
      <w:pPr>
        <w:ind w:right="3679" w:firstLine="1061"/>
        <w:spacing w:after="0" w:line="235" w:lineRule="auto"/>
        <w:tabs>
          <w:tab w:leader="none" w:pos="15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"Nonstatutory Stock Option" means an Option not intended to qualify as an Incentive Stock Option.</w:t>
      </w:r>
    </w:p>
    <w:p>
      <w:pPr>
        <w:spacing w:after="0" w:line="208" w:lineRule="exact"/>
        <w:rPr>
          <w:rFonts w:ascii="Courier New" w:cs="Courier New" w:eastAsia="Courier New" w:hAnsi="Courier New"/>
          <w:sz w:val="18"/>
          <w:szCs w:val="18"/>
          <w:color w:val="auto"/>
        </w:rPr>
      </w:pPr>
    </w:p>
    <w:p>
      <w:pPr>
        <w:ind w:right="3579" w:firstLine="1061"/>
        <w:spacing w:after="0" w:line="237" w:lineRule="auto"/>
        <w:tabs>
          <w:tab w:leader="none" w:pos="15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Grant" means a written notice evidencing certain terms and conditions of an individual Option grant. The Notice of Grant is subject to the terms and conditions of the Option Agreement.</w:t>
      </w:r>
    </w:p>
    <w:p>
      <w:pPr>
        <w:spacing w:after="0" w:line="207" w:lineRule="exact"/>
        <w:rPr>
          <w:rFonts w:ascii="Courier New" w:cs="Courier New" w:eastAsia="Courier New" w:hAnsi="Courier New"/>
          <w:sz w:val="18"/>
          <w:szCs w:val="18"/>
          <w:color w:val="auto"/>
        </w:rPr>
      </w:pPr>
    </w:p>
    <w:p>
      <w:pPr>
        <w:jc w:val="both"/>
        <w:ind w:right="3479" w:firstLine="1061"/>
        <w:spacing w:after="0" w:line="236" w:lineRule="auto"/>
        <w:tabs>
          <w:tab w:leader="none" w:pos="15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"Officer" means a person who is an officer of the Company within the meaning of Section 16 of the Exchange Act and the rules and regulations promulgated thereunder.</w:t>
      </w:r>
    </w:p>
    <w:p>
      <w:pPr>
        <w:spacing w:after="0" w:line="208"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means a stock option granted pursuant to</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Plan.</w:t>
      </w:r>
    </w:p>
    <w:p>
      <w:pPr>
        <w:spacing w:after="0" w:line="207" w:lineRule="exact"/>
        <w:rPr>
          <w:rFonts w:ascii="Courier New" w:cs="Courier New" w:eastAsia="Courier New" w:hAnsi="Courier New"/>
          <w:sz w:val="16"/>
          <w:szCs w:val="16"/>
          <w:color w:val="auto"/>
        </w:rPr>
      </w:pPr>
    </w:p>
    <w:p>
      <w:pPr>
        <w:ind w:right="3579" w:firstLine="1061"/>
        <w:spacing w:after="0" w:line="237" w:lineRule="auto"/>
        <w:tabs>
          <w:tab w:leader="none" w:pos="15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Agreement" means a written agreement between the Company and an Optionee evidencing the terms and conditions of an individual Option grant. The Option Agreement is subject to the terms and conditions of the Plan.</w:t>
      </w:r>
    </w:p>
    <w:p>
      <w:pPr>
        <w:spacing w:after="0" w:line="207" w:lineRule="exact"/>
        <w:rPr>
          <w:rFonts w:ascii="Courier New" w:cs="Courier New" w:eastAsia="Courier New" w:hAnsi="Courier New"/>
          <w:sz w:val="18"/>
          <w:szCs w:val="18"/>
          <w:color w:val="auto"/>
        </w:rPr>
      </w:pPr>
    </w:p>
    <w:p>
      <w:pPr>
        <w:jc w:val="both"/>
        <w:ind w:right="3479" w:firstLine="1061"/>
        <w:spacing w:after="0" w:line="236" w:lineRule="auto"/>
        <w:tabs>
          <w:tab w:leader="none" w:pos="15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Exchange Program" means a program whereby outstanding options are surrendered in exchange for options with a lower exercise price.</w:t>
      </w:r>
    </w:p>
    <w:p>
      <w:pPr>
        <w:spacing w:after="0" w:line="208"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"Optioned Stock" means the Common Stock subject to</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 Option.</w:t>
      </w:r>
    </w:p>
    <w:p>
      <w:pPr>
        <w:spacing w:after="0" w:line="207" w:lineRule="exact"/>
        <w:rPr>
          <w:rFonts w:ascii="Courier New" w:cs="Courier New" w:eastAsia="Courier New" w:hAnsi="Courier New"/>
          <w:sz w:val="16"/>
          <w:szCs w:val="16"/>
          <w:color w:val="auto"/>
        </w:rPr>
      </w:pPr>
    </w:p>
    <w:p>
      <w:pPr>
        <w:ind w:right="3779" w:firstLine="1061"/>
        <w:spacing w:after="0" w:line="235" w:lineRule="auto"/>
        <w:tabs>
          <w:tab w:leader="none" w:pos="15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"Optionee" means an Employee or Consultant who holds an outstanding Option.</w:t>
      </w:r>
    </w:p>
    <w:p>
      <w:pPr>
        <w:spacing w:after="0" w:line="208" w:lineRule="exact"/>
        <w:rPr>
          <w:rFonts w:ascii="Courier New" w:cs="Courier New" w:eastAsia="Courier New" w:hAnsi="Courier New"/>
          <w:sz w:val="18"/>
          <w:szCs w:val="18"/>
          <w:color w:val="auto"/>
        </w:rPr>
      </w:pPr>
    </w:p>
    <w:p>
      <w:pPr>
        <w:ind w:right="3359" w:firstLine="1061"/>
        <w:spacing w:after="0" w:line="290" w:lineRule="auto"/>
        <w:tabs>
          <w:tab w:leader="none" w:pos="158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means a "parent corporation", whether now or hereafter existing, as defined in Section 424(e) of the Code.</w:t>
      </w:r>
    </w:p>
    <w:p>
      <w:pPr>
        <w:spacing w:after="0" w:line="164" w:lineRule="exact"/>
        <w:rPr>
          <w:rFonts w:ascii="Courier New" w:cs="Courier New" w:eastAsia="Courier New" w:hAnsi="Courier New"/>
          <w:sz w:val="16"/>
          <w:szCs w:val="16"/>
          <w:color w:val="auto"/>
        </w:rPr>
      </w:pPr>
    </w:p>
    <w:p>
      <w:pPr>
        <w:ind w:left="1580" w:hanging="519"/>
        <w:spacing w:after="0"/>
        <w:tabs>
          <w:tab w:leader="none" w:pos="15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means this 1994 Option Plan.</w:t>
      </w:r>
    </w:p>
    <w:p>
      <w:pPr>
        <w:spacing w:after="0" w:line="207" w:lineRule="exact"/>
        <w:rPr>
          <w:sz w:val="20"/>
          <w:szCs w:val="20"/>
          <w:color w:val="auto"/>
        </w:rPr>
      </w:pPr>
    </w:p>
    <w:p>
      <w:pPr>
        <w:ind w:right="3479" w:firstLine="1061"/>
        <w:spacing w:after="0" w:line="236" w:lineRule="auto"/>
        <w:tabs>
          <w:tab w:leader="none" w:pos="15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16b-3" means Rule 16b-3 of the Exchange Act or any successor to Rule 16b-3, as in effect when discretion is being exercised with respect to the Plan.</w:t>
      </w:r>
    </w:p>
    <w:p>
      <w:pPr>
        <w:spacing w:after="0" w:line="208" w:lineRule="exact"/>
        <w:rPr>
          <w:rFonts w:ascii="Courier New" w:cs="Courier New" w:eastAsia="Courier New" w:hAnsi="Courier New"/>
          <w:sz w:val="18"/>
          <w:szCs w:val="18"/>
          <w:color w:val="auto"/>
        </w:rPr>
      </w:pPr>
    </w:p>
    <w:p>
      <w:pPr>
        <w:ind w:right="3899" w:firstLine="1061"/>
        <w:spacing w:after="0" w:line="235" w:lineRule="auto"/>
        <w:tabs>
          <w:tab w:leader="none" w:pos="15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means a share of the Common Stock, as adjusted in accordance with Section 12 of the Plan.</w:t>
      </w:r>
    </w:p>
    <w:p>
      <w:pPr>
        <w:spacing w:after="0" w:line="208" w:lineRule="exact"/>
        <w:rPr>
          <w:rFonts w:ascii="Courier New" w:cs="Courier New" w:eastAsia="Courier New" w:hAnsi="Courier New"/>
          <w:sz w:val="18"/>
          <w:szCs w:val="18"/>
          <w:color w:val="auto"/>
        </w:rPr>
      </w:pPr>
    </w:p>
    <w:p>
      <w:pPr>
        <w:ind w:right="3359" w:firstLine="1061"/>
        <w:spacing w:after="0" w:line="237" w:lineRule="auto"/>
        <w:tabs>
          <w:tab w:leader="none" w:pos="15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means a "subsidiary corporation", whether now or hereafter existing, as defined in Section 424(f) of the Code. In the case of an Option that is not intended to qualify as an Incentive Stock Option, the term "Subsidiary" shall also include any other entity in which the Company, or any Parent or Subsidiary of the Company has a significant ownership interest.</w:t>
      </w: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92" w:name="page93"/>
    <w:bookmarkEnd w:id="92"/>
    <w:p>
      <w:pPr>
        <w:ind w:right="3359" w:firstLine="535"/>
        <w:spacing w:after="0" w:line="237" w:lineRule="auto"/>
        <w:tabs>
          <w:tab w:leader="none" w:pos="105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Subject to the Plan. Subject to the provisions of Section 12 of the Plan, the maximum aggregate number of Shares which may be optioned and sold under the Plan is 2,000,000 Original Shares. The Shares may be authorized, but unissued, or reacquired Common Stock.</w:t>
      </w:r>
    </w:p>
    <w:p>
      <w:pPr>
        <w:spacing w:after="0" w:line="20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If an Option expires or becomes unexercisable without having been exercised in full, or is surrendered pursuant to an Option Exchange Program, the unpurchased Shares which were subject thereto shall become available for future grant or sale under the Plan (unless the Plan has terminated); provided, however, that Shares that have actually been issued under the Plan shall not be returned to the Plan and shall not become available for future distribution under the Plan.</w:t>
      </w:r>
    </w:p>
    <w:p>
      <w:pPr>
        <w:spacing w:after="0" w:line="207" w:lineRule="exact"/>
        <w:rPr>
          <w:sz w:val="20"/>
          <w:szCs w:val="20"/>
          <w:color w:val="auto"/>
        </w:rPr>
      </w:pPr>
    </w:p>
    <w:p>
      <w:pPr>
        <w:ind w:left="1060" w:hanging="525"/>
        <w:spacing w:after="0"/>
        <w:tabs>
          <w:tab w:leader="none" w:pos="10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of the Plan.</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Procedure.</w:t>
      </w:r>
    </w:p>
    <w:p>
      <w:pPr>
        <w:spacing w:after="0" w:line="206" w:lineRule="exact"/>
        <w:rPr>
          <w:rFonts w:ascii="Courier New" w:cs="Courier New" w:eastAsia="Courier New" w:hAnsi="Courier New"/>
          <w:sz w:val="18"/>
          <w:szCs w:val="18"/>
          <w:color w:val="auto"/>
        </w:rPr>
      </w:pPr>
    </w:p>
    <w:p>
      <w:pPr>
        <w:ind w:right="3359" w:firstLine="1588"/>
        <w:spacing w:after="0" w:line="237" w:lineRule="auto"/>
        <w:tabs>
          <w:tab w:leader="none" w:pos="2107" w:val="left"/>
        </w:tabs>
        <w:numPr>
          <w:ilvl w:val="2"/>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Multiple Administrative Bodies. If permitted by Rule 16b-3, the Plan may be administered by different bodies with respect to Directors, Officers who are not Directors, and Employees who are neither Directors nor Officers.</w:t>
      </w:r>
    </w:p>
    <w:p>
      <w:pPr>
        <w:spacing w:after="0" w:line="207" w:lineRule="exact"/>
        <w:rPr>
          <w:rFonts w:ascii="Courier New" w:cs="Courier New" w:eastAsia="Courier New" w:hAnsi="Courier New"/>
          <w:sz w:val="18"/>
          <w:szCs w:val="18"/>
          <w:color w:val="auto"/>
        </w:rPr>
      </w:pPr>
    </w:p>
    <w:p>
      <w:pPr>
        <w:ind w:right="3359" w:firstLine="1588"/>
        <w:spacing w:after="0" w:line="238" w:lineRule="auto"/>
        <w:tabs>
          <w:tab w:leader="none" w:pos="2107" w:val="left"/>
        </w:tabs>
        <w:numPr>
          <w:ilvl w:val="2"/>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With Respect to Directors and Officers Subject to Section 16(b). With respect to Option grants made to Employees who are also Officers or Directors subject to Section 16(b) of the Exchange Act, the Plan shall be administered by (A) the Board, if the Board may administer the Plan in compliance with the rules governing a plan intended to qualify as a discretionary plan under Rule 16b-3, or (B) a committee designated by the Board to administer the Plan, which committee shall be constituted to comply with the rules governing a plan intended to qualify as a discretionary plan under Rule 16b-3. Once appointed, such committee shall continue to serve in its designated capacity until otherwise directed by the Board. From time to time the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the rules governing a plan intended to qualify as a discretionary plan under Rule 16b-3.</w:t>
      </w:r>
    </w:p>
    <w:p>
      <w:pPr>
        <w:spacing w:after="0" w:line="203" w:lineRule="exact"/>
        <w:rPr>
          <w:rFonts w:ascii="Courier New" w:cs="Courier New" w:eastAsia="Courier New" w:hAnsi="Courier New"/>
          <w:sz w:val="18"/>
          <w:szCs w:val="18"/>
          <w:color w:val="auto"/>
        </w:rPr>
      </w:pPr>
    </w:p>
    <w:p>
      <w:pPr>
        <w:ind w:left="2640" w:hanging="1052"/>
        <w:spacing w:after="0"/>
        <w:tabs>
          <w:tab w:leader="none" w:pos="2640" w:val="left"/>
        </w:tabs>
        <w:numPr>
          <w:ilvl w:val="2"/>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With Respect to Other</w:t>
      </w:r>
    </w:p>
    <w:p>
      <w:pPr>
        <w:spacing w:after="0" w:line="4" w:lineRule="exact"/>
        <w:rPr>
          <w:rFonts w:ascii="Courier New" w:cs="Courier New" w:eastAsia="Courier New" w:hAnsi="Courier New"/>
          <w:sz w:val="18"/>
          <w:szCs w:val="18"/>
          <w:color w:val="auto"/>
        </w:rPr>
      </w:pPr>
    </w:p>
    <w:p>
      <w:pPr>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Persons. With respect to Option grants made to Employees or Consultants who are neither Directors nor Officers of the Company, the Plan shall be administered by (A) the Board or (B) a committee designated by the Board, which committee shall be constituted to satisfy Applicable Laws. Once appointed, such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Applicable Laws.</w:t>
      </w:r>
    </w:p>
    <w:p>
      <w:pPr>
        <w:spacing w:after="0" w:line="215" w:lineRule="exact"/>
        <w:rPr>
          <w:rFonts w:ascii="Courier New" w:cs="Courier New" w:eastAsia="Courier New" w:hAnsi="Courier New"/>
          <w:sz w:val="18"/>
          <w:szCs w:val="18"/>
          <w:color w:val="auto"/>
        </w:rPr>
      </w:pPr>
    </w:p>
    <w:p>
      <w:pPr>
        <w:ind w:right="3479" w:firstLine="1061"/>
        <w:spacing w:after="0" w:line="275" w:lineRule="auto"/>
        <w:tabs>
          <w:tab w:leader="none" w:pos="1580"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Powers of the Administrator. Subject to the provisions of the Plan, and in the case of a Committee, subject to the specific duties delegated by the Board to such Committee, the Administrator shall have the authority, in its discretion:</w:t>
      </w: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93" w:name="page94"/>
    <w:bookmarkEnd w:id="93"/>
    <w:p>
      <w:pPr>
        <w:ind w:right="3779" w:firstLine="1588"/>
        <w:spacing w:after="0" w:line="290" w:lineRule="auto"/>
        <w:tabs>
          <w:tab w:leader="none" w:pos="2107"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the Fair Market Value of the Common Stock, in accordance with Section 2(o) of the Plan;</w:t>
      </w:r>
    </w:p>
    <w:p>
      <w:pPr>
        <w:spacing w:after="0" w:line="366" w:lineRule="exact"/>
        <w:rPr>
          <w:rFonts w:ascii="Courier New" w:cs="Courier New" w:eastAsia="Courier New" w:hAnsi="Courier New"/>
          <w:sz w:val="16"/>
          <w:szCs w:val="16"/>
          <w:color w:val="auto"/>
        </w:rPr>
      </w:pPr>
    </w:p>
    <w:p>
      <w:pPr>
        <w:ind w:left="2120" w:hanging="532"/>
        <w:spacing w:after="0"/>
        <w:tabs>
          <w:tab w:leader="none" w:pos="21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select the Consultants and Employees to</w:t>
      </w:r>
    </w:p>
    <w:p>
      <w:pPr>
        <w:spacing w:after="0" w:line="4" w:lineRule="exact"/>
        <w:rPr>
          <w:rFonts w:ascii="Courier New" w:cs="Courier New" w:eastAsia="Courier New" w:hAnsi="Courier New"/>
          <w:sz w:val="18"/>
          <w:szCs w:val="18"/>
          <w:color w:val="auto"/>
        </w:rPr>
      </w:pPr>
    </w:p>
    <w:p>
      <w:pPr>
        <w:ind w:right="82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whom Options may be granted hereunder;</w:t>
      </w:r>
    </w:p>
    <w:p>
      <w:pPr>
        <w:spacing w:after="0" w:line="169" w:lineRule="exact"/>
        <w:rPr>
          <w:rFonts w:ascii="Courier New" w:cs="Courier New" w:eastAsia="Courier New" w:hAnsi="Courier New"/>
          <w:sz w:val="18"/>
          <w:szCs w:val="18"/>
          <w:color w:val="auto"/>
        </w:rPr>
      </w:pPr>
    </w:p>
    <w:p>
      <w:pPr>
        <w:ind w:right="3479" w:firstLine="1588"/>
        <w:spacing w:after="0" w:line="235" w:lineRule="auto"/>
        <w:tabs>
          <w:tab w:leader="none" w:pos="2634"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whether and to what extent Options are granted hereunder;</w:t>
      </w:r>
    </w:p>
    <w:p>
      <w:pPr>
        <w:spacing w:after="0" w:line="202"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number of shares of Common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Stock to be covered by each Option granted hereunder;</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forms of agreement for use under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Plan;</w:t>
      </w:r>
    </w:p>
    <w:p>
      <w:pPr>
        <w:spacing w:after="0" w:line="207" w:lineRule="exact"/>
        <w:rPr>
          <w:rFonts w:ascii="Courier New" w:cs="Courier New" w:eastAsia="Courier New" w:hAnsi="Courier New"/>
          <w:sz w:val="18"/>
          <w:szCs w:val="18"/>
          <w:color w:val="auto"/>
        </w:rPr>
      </w:pPr>
    </w:p>
    <w:p>
      <w:pPr>
        <w:ind w:right="3479" w:firstLine="1588"/>
        <w:spacing w:after="0" w:line="237" w:lineRule="auto"/>
        <w:tabs>
          <w:tab w:leader="none" w:pos="2107"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209" w:lineRule="exact"/>
        <w:rPr>
          <w:rFonts w:ascii="Courier New" w:cs="Courier New" w:eastAsia="Courier New" w:hAnsi="Courier New"/>
          <w:sz w:val="18"/>
          <w:szCs w:val="18"/>
          <w:color w:val="auto"/>
        </w:rPr>
      </w:pPr>
    </w:p>
    <w:p>
      <w:pPr>
        <w:ind w:left="2640" w:hanging="1052"/>
        <w:spacing w:after="0"/>
        <w:tabs>
          <w:tab w:leader="none" w:pos="26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reduce the exercise price of any</w:t>
      </w:r>
    </w:p>
    <w:p>
      <w:pPr>
        <w:spacing w:after="0" w:line="4" w:lineRule="exact"/>
        <w:rPr>
          <w:rFonts w:ascii="Courier New" w:cs="Courier New" w:eastAsia="Courier New" w:hAnsi="Courier New"/>
          <w:sz w:val="18"/>
          <w:szCs w:val="18"/>
          <w:color w:val="auto"/>
        </w:rPr>
      </w:pPr>
    </w:p>
    <w:p>
      <w:pPr>
        <w:ind w:right="35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Option to the then current Fair Market Value if the Fair Market Value of the Common Stock covered by such Option shall have declined since the date the Option was granted;</w:t>
      </w:r>
    </w:p>
    <w:p>
      <w:pPr>
        <w:spacing w:after="0" w:line="203" w:lineRule="exact"/>
        <w:rPr>
          <w:rFonts w:ascii="Courier New" w:cs="Courier New" w:eastAsia="Courier New" w:hAnsi="Courier New"/>
          <w:sz w:val="18"/>
          <w:szCs w:val="18"/>
          <w:color w:val="auto"/>
        </w:rPr>
      </w:pPr>
    </w:p>
    <w:p>
      <w:pPr>
        <w:ind w:left="2640" w:hanging="1052"/>
        <w:spacing w:after="0"/>
        <w:tabs>
          <w:tab w:leader="none" w:pos="26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construe and interpret the terms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and awards granted pursuant to the Plan;</w:t>
      </w:r>
    </w:p>
    <w:p>
      <w:pPr>
        <w:spacing w:after="0" w:line="207" w:lineRule="exact"/>
        <w:rPr>
          <w:rFonts w:ascii="Courier New" w:cs="Courier New" w:eastAsia="Courier New" w:hAnsi="Courier New"/>
          <w:sz w:val="18"/>
          <w:szCs w:val="18"/>
          <w:color w:val="auto"/>
        </w:rPr>
      </w:pPr>
    </w:p>
    <w:p>
      <w:pPr>
        <w:ind w:right="3359" w:firstLine="1588"/>
        <w:spacing w:after="0" w:line="275" w:lineRule="auto"/>
        <w:tabs>
          <w:tab w:leader="none" w:pos="2107"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182" w:lineRule="exact"/>
        <w:rPr>
          <w:rFonts w:ascii="Courier New" w:cs="Courier New" w:eastAsia="Courier New" w:hAnsi="Courier New"/>
          <w:sz w:val="16"/>
          <w:szCs w:val="16"/>
          <w:color w:val="auto"/>
        </w:rPr>
      </w:pPr>
    </w:p>
    <w:p>
      <w:pPr>
        <w:ind w:right="3359" w:firstLine="1588"/>
        <w:spacing w:after="0" w:line="237" w:lineRule="auto"/>
        <w:tabs>
          <w:tab w:leader="none" w:pos="2107"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modify or amend each Option (subject to Section 14(c) of the Plan), including the discretionary authority to extend the post-termination exercisability period of Options longer than is otherwise provided for in the Plan;</w:t>
      </w:r>
    </w:p>
    <w:p>
      <w:pPr>
        <w:spacing w:after="0" w:line="207" w:lineRule="exact"/>
        <w:rPr>
          <w:rFonts w:ascii="Courier New" w:cs="Courier New" w:eastAsia="Courier New" w:hAnsi="Courier New"/>
          <w:sz w:val="18"/>
          <w:szCs w:val="18"/>
          <w:color w:val="auto"/>
        </w:rPr>
      </w:pPr>
    </w:p>
    <w:p>
      <w:pPr>
        <w:jc w:val="both"/>
        <w:ind w:right="3479" w:firstLine="1588"/>
        <w:spacing w:after="0" w:line="236" w:lineRule="auto"/>
        <w:tabs>
          <w:tab w:leader="none" w:pos="2107"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authorize any person to execute on behalf of the Company any instrument required to effect the grant of an Option previously granted by the Administrator;</w:t>
      </w:r>
    </w:p>
    <w:p>
      <w:pPr>
        <w:spacing w:after="0" w:line="203" w:lineRule="exact"/>
        <w:rPr>
          <w:rFonts w:ascii="Courier New" w:cs="Courier New" w:eastAsia="Courier New" w:hAnsi="Courier New"/>
          <w:sz w:val="18"/>
          <w:szCs w:val="18"/>
          <w:color w:val="auto"/>
        </w:rPr>
      </w:pPr>
    </w:p>
    <w:p>
      <w:pPr>
        <w:ind w:left="2640" w:hanging="1052"/>
        <w:spacing w:after="0"/>
        <w:tabs>
          <w:tab w:leader="none" w:pos="26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institute and Option Exchange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Program; and</w:t>
      </w:r>
    </w:p>
    <w:p>
      <w:pPr>
        <w:spacing w:after="0" w:line="201" w:lineRule="exact"/>
        <w:rPr>
          <w:rFonts w:ascii="Courier New" w:cs="Courier New" w:eastAsia="Courier New" w:hAnsi="Courier New"/>
          <w:sz w:val="18"/>
          <w:szCs w:val="18"/>
          <w:color w:val="auto"/>
        </w:rPr>
      </w:pPr>
    </w:p>
    <w:p>
      <w:pPr>
        <w:ind w:left="2640" w:hanging="1052"/>
        <w:spacing w:after="0"/>
        <w:tabs>
          <w:tab w:leader="none" w:pos="26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all other determinations deemed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necessary or advisable for administering the Plan.</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2" w:right="1440" w:bottom="1440" w:gutter="0" w:footer="0" w:header="0"/>
        </w:sectPr>
      </w:pPr>
    </w:p>
    <w:bookmarkStart w:id="94" w:name="page95"/>
    <w:bookmarkEnd w:id="94"/>
    <w:p>
      <w:pPr>
        <w:ind w:right="3359" w:firstLine="1061"/>
        <w:spacing w:after="0" w:line="237" w:lineRule="auto"/>
        <w:tabs>
          <w:tab w:leader="none" w:pos="158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Administrator's Decision. The Administrator's decisions, determinations, and interpretations shall be final and binding on all Optionees and any other holders of Options.</w:t>
      </w:r>
    </w:p>
    <w:p>
      <w:pPr>
        <w:spacing w:after="0" w:line="207" w:lineRule="exact"/>
        <w:rPr>
          <w:rFonts w:ascii="Courier New" w:cs="Courier New" w:eastAsia="Courier New" w:hAnsi="Courier New"/>
          <w:sz w:val="18"/>
          <w:szCs w:val="18"/>
          <w:color w:val="auto"/>
        </w:rPr>
      </w:pPr>
    </w:p>
    <w:p>
      <w:pPr>
        <w:ind w:right="3359" w:firstLine="535"/>
        <w:spacing w:after="0" w:line="237" w:lineRule="auto"/>
        <w:tabs>
          <w:tab w:leader="none" w:pos="105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 Nonstatutory Stock Options may be granted to Employees and Consultants. Incentive Stock Options may be granted only to Employees. If otherwise eligible, an Employee or Consultant who has been granted an Option may be granted additional Options.</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w:t>
      </w:r>
    </w:p>
    <w:p>
      <w:pPr>
        <w:spacing w:after="0" w:line="206" w:lineRule="exact"/>
        <w:rPr>
          <w:rFonts w:ascii="Courier New" w:cs="Courier New" w:eastAsia="Courier New" w:hAnsi="Courier New"/>
          <w:sz w:val="18"/>
          <w:szCs w:val="18"/>
          <w:color w:val="auto"/>
        </w:rPr>
      </w:pPr>
    </w:p>
    <w:p>
      <w:pPr>
        <w:ind w:right="3359" w:firstLine="1061"/>
        <w:spacing w:after="0" w:line="237" w:lineRule="auto"/>
        <w:tabs>
          <w:tab w:leader="none" w:pos="158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Option shall be designated in the Notice of Grant as either an Incentive Stock Option or a Nonstatutory Stock Option. However, notwithstanding such designations, to the extent that the aggregate Fair Market Value:</w:t>
      </w:r>
    </w:p>
    <w:p>
      <w:pPr>
        <w:spacing w:after="0" w:line="207" w:lineRule="exact"/>
        <w:rPr>
          <w:rFonts w:ascii="Courier New" w:cs="Courier New" w:eastAsia="Courier New" w:hAnsi="Courier New"/>
          <w:sz w:val="18"/>
          <w:szCs w:val="18"/>
          <w:color w:val="auto"/>
        </w:rPr>
      </w:pPr>
    </w:p>
    <w:p>
      <w:pPr>
        <w:ind w:right="3359" w:firstLine="1588"/>
        <w:spacing w:after="0" w:line="236" w:lineRule="auto"/>
        <w:tabs>
          <w:tab w:leader="none" w:pos="2107" w:val="left"/>
        </w:tabs>
        <w:numPr>
          <w:ilvl w:val="2"/>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Shares subject to an Optionee's Incentive Stock Options granted by the Company or any Parent or Subsidiary, which</w:t>
      </w:r>
    </w:p>
    <w:p>
      <w:pPr>
        <w:spacing w:after="0" w:line="208" w:lineRule="exact"/>
        <w:rPr>
          <w:rFonts w:ascii="Courier New" w:cs="Courier New" w:eastAsia="Courier New" w:hAnsi="Courier New"/>
          <w:sz w:val="18"/>
          <w:szCs w:val="18"/>
          <w:color w:val="auto"/>
        </w:rPr>
      </w:pPr>
    </w:p>
    <w:p>
      <w:pPr>
        <w:ind w:right="3359" w:firstLine="1588"/>
        <w:spacing w:after="0" w:line="271" w:lineRule="auto"/>
        <w:tabs>
          <w:tab w:leader="none" w:pos="2107" w:val="left"/>
        </w:tabs>
        <w:numPr>
          <w:ilvl w:val="2"/>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become exercisable for the first time during any calendar year (under all plans of the Company or any Parent or Subsidiary) exceeds $100,000, such excess Options shall be treated as Nonstatutory Stock Options. For purposes of this Section 6(a), Incentive Stock Options shall be taken into account in the order in which they were granted, and the Fair Market Value of the Shares shall be determined as of the time of grant.</w:t>
      </w:r>
    </w:p>
    <w:p>
      <w:pPr>
        <w:spacing w:after="0" w:line="187" w:lineRule="exact"/>
        <w:rPr>
          <w:rFonts w:ascii="Courier New" w:cs="Courier New" w:eastAsia="Courier New" w:hAnsi="Courier New"/>
          <w:sz w:val="16"/>
          <w:szCs w:val="16"/>
          <w:color w:val="auto"/>
        </w:rPr>
      </w:pPr>
    </w:p>
    <w:p>
      <w:pPr>
        <w:ind w:right="3359" w:firstLine="1061"/>
        <w:spacing w:after="0" w:line="272" w:lineRule="auto"/>
        <w:tabs>
          <w:tab w:leader="none" w:pos="1580"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Plan nor any Option shall confer upon an Optionee any right with respect to continuing the Optionee's employment or consulting relationship with the Company, nor shall they interfere in any way with the Optionee's right or the Company's right to terminate such employment or consulting relationship at any time, with or without cause.</w:t>
      </w:r>
    </w:p>
    <w:p>
      <w:pPr>
        <w:spacing w:after="0" w:line="185" w:lineRule="exact"/>
        <w:rPr>
          <w:rFonts w:ascii="Courier New" w:cs="Courier New" w:eastAsia="Courier New" w:hAnsi="Courier New"/>
          <w:sz w:val="16"/>
          <w:szCs w:val="16"/>
          <w:color w:val="auto"/>
        </w:rPr>
      </w:pPr>
    </w:p>
    <w:p>
      <w:pPr>
        <w:ind w:right="3359" w:firstLine="1061"/>
        <w:spacing w:after="0" w:line="235" w:lineRule="auto"/>
        <w:tabs>
          <w:tab w:leader="none" w:pos="158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limitations shall apply to grants of Options to Employees:</w:t>
      </w:r>
    </w:p>
    <w:p>
      <w:pPr>
        <w:spacing w:after="0" w:line="208" w:lineRule="exact"/>
        <w:rPr>
          <w:rFonts w:ascii="Courier New" w:cs="Courier New" w:eastAsia="Courier New" w:hAnsi="Courier New"/>
          <w:sz w:val="18"/>
          <w:szCs w:val="18"/>
          <w:color w:val="auto"/>
        </w:rPr>
      </w:pPr>
    </w:p>
    <w:p>
      <w:pPr>
        <w:ind w:right="3579" w:firstLine="1588"/>
        <w:spacing w:after="0" w:line="236" w:lineRule="auto"/>
        <w:tabs>
          <w:tab w:leader="none" w:pos="2107" w:val="left"/>
        </w:tabs>
        <w:numPr>
          <w:ilvl w:val="2"/>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employee shall be granted, in any fiscal year of the Company, Options to purchase more than 250,000 Shares.</w:t>
      </w:r>
    </w:p>
    <w:p>
      <w:pPr>
        <w:spacing w:after="0" w:line="208" w:lineRule="exact"/>
        <w:rPr>
          <w:rFonts w:ascii="Courier New" w:cs="Courier New" w:eastAsia="Courier New" w:hAnsi="Courier New"/>
          <w:sz w:val="18"/>
          <w:szCs w:val="18"/>
          <w:color w:val="auto"/>
        </w:rPr>
      </w:pPr>
    </w:p>
    <w:p>
      <w:pPr>
        <w:ind w:right="3579" w:firstLine="1588"/>
        <w:spacing w:after="0" w:line="236" w:lineRule="auto"/>
        <w:tabs>
          <w:tab w:leader="none" w:pos="2107" w:val="left"/>
        </w:tabs>
        <w:numPr>
          <w:ilvl w:val="2"/>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foregoing limitations shall be adjusted proportionately in connection with any change in the Company's capitalization as described in Section 12.</w:t>
      </w:r>
    </w:p>
    <w:p>
      <w:pPr>
        <w:spacing w:after="0" w:line="203" w:lineRule="exact"/>
        <w:rPr>
          <w:rFonts w:ascii="Courier New" w:cs="Courier New" w:eastAsia="Courier New" w:hAnsi="Courier New"/>
          <w:sz w:val="18"/>
          <w:szCs w:val="18"/>
          <w:color w:val="auto"/>
        </w:rPr>
      </w:pPr>
    </w:p>
    <w:p>
      <w:pPr>
        <w:ind w:left="2640" w:hanging="1052"/>
        <w:spacing w:after="0"/>
        <w:tabs>
          <w:tab w:leader="none" w:pos="2640" w:val="left"/>
        </w:tabs>
        <w:numPr>
          <w:ilvl w:val="2"/>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Option is canceled in the same</w:t>
      </w:r>
    </w:p>
    <w:p>
      <w:pPr>
        <w:spacing w:after="0" w:line="4" w:lineRule="exact"/>
        <w:rPr>
          <w:rFonts w:ascii="Courier New" w:cs="Courier New" w:eastAsia="Courier New" w:hAnsi="Courier New"/>
          <w:sz w:val="18"/>
          <w:szCs w:val="18"/>
          <w:color w:val="auto"/>
        </w:rPr>
      </w:pPr>
    </w:p>
    <w:p>
      <w:pPr>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fiscal year of the Company in which it was granted (other than in connection with a transaction described in Section 12), the canceled Option will be counted against the limit set forth in Section 6(c)(i). For this purpose, if the exercise price of an Option is reduced, the transaction will be treated as a cancellation of the Option and the grant of a new Option.</w:t>
      </w:r>
    </w:p>
    <w:p>
      <w:pPr>
        <w:spacing w:after="0" w:line="209" w:lineRule="exact"/>
        <w:rPr>
          <w:rFonts w:ascii="Courier New" w:cs="Courier New" w:eastAsia="Courier New" w:hAnsi="Courier New"/>
          <w:sz w:val="18"/>
          <w:szCs w:val="18"/>
          <w:color w:val="auto"/>
        </w:rPr>
      </w:pPr>
    </w:p>
    <w:p>
      <w:pPr>
        <w:ind w:right="3359" w:firstLine="535"/>
        <w:spacing w:after="0" w:line="237" w:lineRule="auto"/>
        <w:tabs>
          <w:tab w:leader="none" w:pos="105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Plan. Subject to Section 18 of the Plan, the Plan shall become effective upon the earlier to occur of its adoption by the Board or its approval by the shareholders of the Company as described in Section 18 of the Plan. It shall continue in effect for a term of ten (10) years unless terminated earlier under Section 14 of the Plan.</w:t>
      </w: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95" w:name="page96"/>
    <w:bookmarkEnd w:id="95"/>
    <w:p>
      <w:pPr>
        <w:ind w:right="3359" w:firstLine="535"/>
        <w:spacing w:after="0" w:line="238" w:lineRule="auto"/>
        <w:tabs>
          <w:tab w:leader="none" w:pos="1053"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Option. The term of each Option shall be stated in the Notice of Grant; provided, however, that in the case of an Incentive Stock Option, the term shall be ten (10) years from the date of grant or such shorter term as may be provided in the Notice of Grant. Moreover, in the case of an Incentive Stock Option granted to an Optionee who, at the time Incentive Stock Option is granted, owns stock representing more than ten percent (10%) of the voting power of all classes of stock of the Company or any Parent or Subsidiary, the term of the Incentive Stock Option shall be five (5) years from the date of grant or such shorter term as may be provided in the Notice of Grant.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Exercise Price and Consideration.</w:t>
      </w:r>
    </w:p>
    <w:p>
      <w:pPr>
        <w:spacing w:after="0" w:line="206" w:lineRule="exact"/>
        <w:rPr>
          <w:rFonts w:ascii="Courier New" w:cs="Courier New" w:eastAsia="Courier New" w:hAnsi="Courier New"/>
          <w:sz w:val="18"/>
          <w:szCs w:val="18"/>
          <w:color w:val="auto"/>
        </w:rPr>
      </w:pPr>
    </w:p>
    <w:p>
      <w:pPr>
        <w:ind w:right="3479" w:firstLine="1061"/>
        <w:spacing w:after="0" w:line="279" w:lineRule="auto"/>
        <w:tabs>
          <w:tab w:leader="none" w:pos="1580"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Price. The per share exercise price for the Shares to be issued pursuant to exercise of an Option shall be determined by the Administrator, subject to the following:</w:t>
      </w:r>
    </w:p>
    <w:p>
      <w:pPr>
        <w:spacing w:after="0" w:line="172" w:lineRule="exact"/>
        <w:rPr>
          <w:rFonts w:ascii="Courier New" w:cs="Courier New" w:eastAsia="Courier New" w:hAnsi="Courier New"/>
          <w:sz w:val="16"/>
          <w:szCs w:val="16"/>
          <w:color w:val="auto"/>
        </w:rPr>
      </w:pPr>
    </w:p>
    <w:p>
      <w:pPr>
        <w:ind w:left="2120" w:hanging="532"/>
        <w:spacing w:after="0"/>
        <w:tabs>
          <w:tab w:leader="none" w:pos="2120" w:val="left"/>
        </w:tabs>
        <w:numPr>
          <w:ilvl w:val="2"/>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 Incentive Stock Option</w:t>
      </w:r>
    </w:p>
    <w:p>
      <w:pPr>
        <w:spacing w:after="0" w:line="201" w:lineRule="exact"/>
        <w:rPr>
          <w:rFonts w:ascii="Courier New" w:cs="Courier New" w:eastAsia="Courier New" w:hAnsi="Courier New"/>
          <w:sz w:val="18"/>
          <w:szCs w:val="18"/>
          <w:color w:val="auto"/>
        </w:rPr>
      </w:pPr>
    </w:p>
    <w:p>
      <w:pPr>
        <w:ind w:left="2640" w:hanging="525"/>
        <w:spacing w:after="0"/>
        <w:tabs>
          <w:tab w:leader="none" w:pos="2640" w:val="left"/>
        </w:tabs>
        <w:numPr>
          <w:ilvl w:val="3"/>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granted to an Employee who, at the time</w:t>
      </w:r>
    </w:p>
    <w:p>
      <w:pPr>
        <w:spacing w:after="0" w:line="4" w:lineRule="exact"/>
        <w:rPr>
          <w:rFonts w:ascii="Courier New" w:cs="Courier New" w:eastAsia="Courier New" w:hAnsi="Courier New"/>
          <w:sz w:val="18"/>
          <w:szCs w:val="18"/>
          <w:color w:val="auto"/>
        </w:rPr>
      </w:pPr>
    </w:p>
    <w:p>
      <w:pPr>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Incentive Stock Option is granted, owns stock representing more than ten percent (10%) of the voting power of all classes of stock of the Company or Parent or Subsidiary, the per Share exercise price shall be no less than 110% of the Fair Market Value per Share on the date of grant.</w:t>
      </w:r>
    </w:p>
    <w:p>
      <w:pPr>
        <w:spacing w:after="0" w:line="208" w:lineRule="exact"/>
        <w:rPr>
          <w:rFonts w:ascii="Courier New" w:cs="Courier New" w:eastAsia="Courier New" w:hAnsi="Courier New"/>
          <w:sz w:val="18"/>
          <w:szCs w:val="18"/>
          <w:color w:val="auto"/>
        </w:rPr>
      </w:pPr>
    </w:p>
    <w:p>
      <w:pPr>
        <w:jc w:val="both"/>
        <w:ind w:right="3679" w:firstLine="2115"/>
        <w:spacing w:after="0" w:line="237" w:lineRule="auto"/>
        <w:tabs>
          <w:tab w:leader="none" w:pos="2634" w:val="left"/>
        </w:tabs>
        <w:numPr>
          <w:ilvl w:val="3"/>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granted to any Employee other than an Employee described in paragraph (A) immediately above, the per Share exercise price shall be no less than 100% of the Fair Market Value per Share on the date of grant.</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2"/>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Nonstatutory Stock Option,</w:t>
      </w:r>
    </w:p>
    <w:p>
      <w:pPr>
        <w:spacing w:after="0" w:line="4" w:lineRule="exact"/>
        <w:rPr>
          <w:rFonts w:ascii="Courier New" w:cs="Courier New" w:eastAsia="Courier New" w:hAnsi="Courier New"/>
          <w:sz w:val="18"/>
          <w:szCs w:val="18"/>
          <w:color w:val="auto"/>
        </w:rPr>
      </w:pPr>
    </w:p>
    <w:p>
      <w:pPr>
        <w:ind w:right="4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per Share exercise price shall be determined by the Administrator.</w:t>
      </w:r>
    </w:p>
    <w:p>
      <w:pPr>
        <w:spacing w:after="0" w:line="208" w:lineRule="exact"/>
        <w:rPr>
          <w:rFonts w:ascii="Courier New" w:cs="Courier New" w:eastAsia="Courier New" w:hAnsi="Courier New"/>
          <w:sz w:val="18"/>
          <w:szCs w:val="18"/>
          <w:color w:val="auto"/>
        </w:rPr>
      </w:pPr>
    </w:p>
    <w:p>
      <w:pPr>
        <w:ind w:right="3359" w:firstLine="1061"/>
        <w:spacing w:after="0" w:line="237" w:lineRule="auto"/>
        <w:tabs>
          <w:tab w:leader="none" w:pos="158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Waiting Period and Exercise Dates. At the time an Option is granted, the Administrator shall fix the period within which the Option may be exercised and shall determine any conditions which must be satisfied before the Option may be exercised. In doing so, the Administrator may specify that an Option may not be exercised until the completion of a service period.</w:t>
      </w:r>
    </w:p>
    <w:p>
      <w:pPr>
        <w:spacing w:after="0" w:line="211" w:lineRule="exact"/>
        <w:rPr>
          <w:rFonts w:ascii="Courier New" w:cs="Courier New" w:eastAsia="Courier New" w:hAnsi="Courier New"/>
          <w:sz w:val="18"/>
          <w:szCs w:val="18"/>
          <w:color w:val="auto"/>
        </w:rPr>
      </w:pPr>
    </w:p>
    <w:p>
      <w:pPr>
        <w:ind w:right="3479" w:firstLine="1061"/>
        <w:spacing w:after="0" w:line="237" w:lineRule="auto"/>
        <w:tabs>
          <w:tab w:leader="none" w:pos="158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Consideration. The Administrator shall determine the acceptable form of consideration for exercising an Option, including the method of payment. In the case of an Incentive Stock Option, the Administrator shall determine the acceptable form of consideration at the time of grant. Such consideration may consist entirely of:</w:t>
      </w:r>
    </w:p>
    <w:p>
      <w:pPr>
        <w:spacing w:after="0" w:line="204" w:lineRule="exact"/>
        <w:rPr>
          <w:rFonts w:ascii="Courier New" w:cs="Courier New" w:eastAsia="Courier New" w:hAnsi="Courier New"/>
          <w:sz w:val="18"/>
          <w:szCs w:val="18"/>
          <w:color w:val="auto"/>
        </w:rPr>
      </w:pPr>
    </w:p>
    <w:p>
      <w:pPr>
        <w:ind w:left="2640" w:hanging="1052"/>
        <w:spacing w:after="0"/>
        <w:tabs>
          <w:tab w:leader="none" w:pos="2640" w:val="left"/>
        </w:tabs>
        <w:numPr>
          <w:ilvl w:val="2"/>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w:t>
      </w:r>
    </w:p>
    <w:p>
      <w:pPr>
        <w:spacing w:after="0" w:line="201" w:lineRule="exact"/>
        <w:rPr>
          <w:rFonts w:ascii="Courier New" w:cs="Courier New" w:eastAsia="Courier New" w:hAnsi="Courier New"/>
          <w:sz w:val="18"/>
          <w:szCs w:val="18"/>
          <w:color w:val="auto"/>
        </w:rPr>
      </w:pPr>
    </w:p>
    <w:p>
      <w:pPr>
        <w:ind w:left="2640" w:hanging="1052"/>
        <w:spacing w:after="0"/>
        <w:tabs>
          <w:tab w:leader="none" w:pos="2640" w:val="left"/>
        </w:tabs>
        <w:numPr>
          <w:ilvl w:val="2"/>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w:t>
      </w:r>
    </w:p>
    <w:p>
      <w:pPr>
        <w:spacing w:after="0" w:line="201" w:lineRule="exact"/>
        <w:rPr>
          <w:rFonts w:ascii="Courier New" w:cs="Courier New" w:eastAsia="Courier New" w:hAnsi="Courier New"/>
          <w:sz w:val="18"/>
          <w:szCs w:val="18"/>
          <w:color w:val="auto"/>
        </w:rPr>
      </w:pPr>
    </w:p>
    <w:p>
      <w:pPr>
        <w:ind w:left="2640" w:hanging="1052"/>
        <w:spacing w:after="0"/>
        <w:tabs>
          <w:tab w:leader="none" w:pos="2640" w:val="left"/>
        </w:tabs>
        <w:numPr>
          <w:ilvl w:val="2"/>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promissory note;</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2" w:right="1440" w:bottom="1440" w:gutter="0" w:footer="0" w:header="0"/>
        </w:sectPr>
      </w:pPr>
    </w:p>
    <w:bookmarkStart w:id="96" w:name="page97"/>
    <w:bookmarkEnd w:id="96"/>
    <w:p>
      <w:pPr>
        <w:ind w:right="3479" w:firstLine="1588"/>
        <w:spacing w:after="0" w:line="268" w:lineRule="auto"/>
        <w:tabs>
          <w:tab w:leader="none" w:pos="2107" w:val="left"/>
        </w:tabs>
        <w:numPr>
          <w:ilvl w:val="3"/>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Shares which (A) in the case of Shares acquired upon exercise of an option, have been owned by the Optionee for more than six months on the date of surrender, and</w:t>
      </w:r>
    </w:p>
    <w:p>
      <w:pPr>
        <w:ind w:right="3679" w:firstLine="8"/>
        <w:spacing w:after="0" w:line="236" w:lineRule="auto"/>
        <w:tabs>
          <w:tab w:leader="none" w:pos="421"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a Fair Market Value on the date of surrender equal to the aggregate exercise price of the Shares as to which said Option shall be exercised;</w:t>
      </w:r>
    </w:p>
    <w:p>
      <w:pPr>
        <w:spacing w:after="0" w:line="203" w:lineRule="exact"/>
        <w:rPr>
          <w:rFonts w:ascii="Courier New" w:cs="Courier New" w:eastAsia="Courier New" w:hAnsi="Courier New"/>
          <w:sz w:val="18"/>
          <w:szCs w:val="18"/>
          <w:color w:val="auto"/>
        </w:rPr>
      </w:pPr>
    </w:p>
    <w:p>
      <w:pPr>
        <w:ind w:left="2120" w:hanging="532"/>
        <w:spacing w:after="0"/>
        <w:tabs>
          <w:tab w:leader="none" w:pos="2120" w:val="left"/>
        </w:tabs>
        <w:numPr>
          <w:ilvl w:val="3"/>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a properly executed exercise</w:t>
      </w:r>
    </w:p>
    <w:p>
      <w:pPr>
        <w:spacing w:after="0" w:line="4" w:lineRule="exact"/>
        <w:rPr>
          <w:rFonts w:ascii="Courier New" w:cs="Courier New" w:eastAsia="Courier New" w:hAnsi="Courier New"/>
          <w:sz w:val="18"/>
          <w:szCs w:val="18"/>
          <w:color w:val="auto"/>
        </w:rPr>
      </w:pPr>
    </w:p>
    <w:p>
      <w:pPr>
        <w:ind w:right="357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notice together with such other documentation as the Administrator and the broker, if applicable, shall require to effect an exercise of the Option and delivery to the Company of the sale or loan proceeds required to pay the exercise price;</w:t>
      </w:r>
    </w:p>
    <w:p>
      <w:pPr>
        <w:spacing w:after="0" w:line="182" w:lineRule="exact"/>
        <w:rPr>
          <w:rFonts w:ascii="Courier New" w:cs="Courier New" w:eastAsia="Courier New" w:hAnsi="Courier New"/>
          <w:sz w:val="18"/>
          <w:szCs w:val="18"/>
          <w:color w:val="auto"/>
        </w:rPr>
      </w:pPr>
    </w:p>
    <w:p>
      <w:pPr>
        <w:ind w:right="3359" w:firstLine="1588"/>
        <w:spacing w:after="0" w:line="237" w:lineRule="auto"/>
        <w:tabs>
          <w:tab w:leader="none" w:pos="2107" w:val="left"/>
        </w:tabs>
        <w:numPr>
          <w:ilvl w:val="3"/>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reduction in the amount of any Company liability to the Optionee, including any liability attributable to the Optionee's participation in any Company-sponsored deferred compensation program or arrangement;</w:t>
      </w:r>
    </w:p>
    <w:p>
      <w:pPr>
        <w:spacing w:after="0" w:line="207" w:lineRule="exact"/>
        <w:rPr>
          <w:rFonts w:ascii="Courier New" w:cs="Courier New" w:eastAsia="Courier New" w:hAnsi="Courier New"/>
          <w:sz w:val="18"/>
          <w:szCs w:val="18"/>
          <w:color w:val="auto"/>
        </w:rPr>
      </w:pPr>
    </w:p>
    <w:p>
      <w:pPr>
        <w:ind w:left="2640" w:hanging="1052"/>
        <w:spacing w:after="0"/>
        <w:tabs>
          <w:tab w:leader="none" w:pos="2640" w:val="left"/>
        </w:tabs>
        <w:numPr>
          <w:ilvl w:val="3"/>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combination of the foregoing methods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payment; or</w:t>
      </w:r>
    </w:p>
    <w:p>
      <w:pPr>
        <w:spacing w:after="0" w:line="201" w:lineRule="exact"/>
        <w:rPr>
          <w:rFonts w:ascii="Courier New" w:cs="Courier New" w:eastAsia="Courier New" w:hAnsi="Courier New"/>
          <w:sz w:val="16"/>
          <w:szCs w:val="16"/>
          <w:color w:val="auto"/>
        </w:rPr>
      </w:pPr>
    </w:p>
    <w:p>
      <w:pPr>
        <w:ind w:left="2640" w:hanging="1052"/>
        <w:spacing w:after="0"/>
        <w:tabs>
          <w:tab w:leader="none" w:pos="2640" w:val="left"/>
        </w:tabs>
        <w:numPr>
          <w:ilvl w:val="3"/>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consideration and method of</w:t>
      </w:r>
    </w:p>
    <w:p>
      <w:pPr>
        <w:spacing w:after="0" w:line="4" w:lineRule="exact"/>
        <w:rPr>
          <w:rFonts w:ascii="Courier New" w:cs="Courier New" w:eastAsia="Courier New" w:hAnsi="Courier New"/>
          <w:sz w:val="18"/>
          <w:szCs w:val="18"/>
          <w:color w:val="auto"/>
        </w:rPr>
      </w:pPr>
    </w:p>
    <w:p>
      <w:pPr>
        <w:ind w:right="3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payment for the issuance of Shares to the extent permitted by Applicable Laws.</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w:t>
      </w:r>
    </w:p>
    <w:p>
      <w:pPr>
        <w:spacing w:after="0" w:line="206" w:lineRule="exact"/>
        <w:rPr>
          <w:rFonts w:ascii="Courier New" w:cs="Courier New" w:eastAsia="Courier New" w:hAnsi="Courier New"/>
          <w:sz w:val="18"/>
          <w:szCs w:val="18"/>
          <w:color w:val="auto"/>
        </w:rPr>
      </w:pPr>
    </w:p>
    <w:p>
      <w:pPr>
        <w:ind w:right="3359" w:firstLine="1061"/>
        <w:spacing w:after="0" w:line="237" w:lineRule="auto"/>
        <w:tabs>
          <w:tab w:leader="none" w:pos="1580" w:val="left"/>
        </w:tabs>
        <w:numPr>
          <w:ilvl w:val="2"/>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Procedure for Exercise; Rights as a Shareholder. Any Option granted thereunder shall be exercisable according to the terms of the Plan and at such times and under such conditions as determined by the Administrator and set forth in the Option Agreement.</w:t>
      </w:r>
    </w:p>
    <w:p>
      <w:pPr>
        <w:spacing w:after="0" w:line="203"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8"/>
          <w:szCs w:val="18"/>
          <w:color w:val="auto"/>
        </w:rPr>
        <w:t>An Option may not be exercised for a fraction of a</w:t>
      </w:r>
    </w:p>
    <w:p>
      <w:pPr>
        <w:spacing w:after="0" w:line="238" w:lineRule="auto"/>
        <w:rPr>
          <w:sz w:val="20"/>
          <w:szCs w:val="20"/>
          <w:color w:val="auto"/>
        </w:rPr>
      </w:pPr>
      <w:r>
        <w:rPr>
          <w:rFonts w:ascii="Courier New" w:cs="Courier New" w:eastAsia="Courier New" w:hAnsi="Courier New"/>
          <w:sz w:val="18"/>
          <w:szCs w:val="18"/>
          <w:color w:val="auto"/>
        </w:rPr>
        <w:t>Share.</w:t>
      </w:r>
    </w:p>
    <w:p>
      <w:pPr>
        <w:spacing w:after="0" w:line="207" w:lineRule="exact"/>
        <w:rPr>
          <w:sz w:val="20"/>
          <w:szCs w:val="20"/>
          <w:color w:val="auto"/>
        </w:rPr>
      </w:pPr>
    </w:p>
    <w:p>
      <w:pPr>
        <w:ind w:right="3359" w:firstLine="1580"/>
        <w:spacing w:after="0" w:line="269" w:lineRule="auto"/>
        <w:rPr>
          <w:sz w:val="20"/>
          <w:szCs w:val="20"/>
          <w:color w:val="auto"/>
        </w:rPr>
      </w:pPr>
      <w:r>
        <w:rPr>
          <w:rFonts w:ascii="Courier New" w:cs="Courier New" w:eastAsia="Courier New" w:hAnsi="Courier New"/>
          <w:sz w:val="16"/>
          <w:szCs w:val="16"/>
          <w:color w:val="auto"/>
        </w:rPr>
        <w:t>An Option shall be deemed exercised when the Company receives: (i) written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Shares issued upon exercise of an Option shall be issued in the name of the Optionee or, if requested by the Optionee, in the name of the Optionee and his or her spouse. Until the stock certificate evidencing such Shares is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stock certificate, either in book entry form or in certificate form, promptly after the Option is exercised. No adjustment will be made for a dividend or other right for which the record date is prior to the date the Shares are issued, except as provided in Section 12 of the Plan.</w:t>
      </w:r>
    </w:p>
    <w:p>
      <w:pPr>
        <w:spacing w:after="0" w:line="200" w:lineRule="exact"/>
        <w:rPr>
          <w:sz w:val="20"/>
          <w:szCs w:val="20"/>
          <w:color w:val="auto"/>
        </w:rPr>
      </w:pPr>
    </w:p>
    <w:p>
      <w:pPr>
        <w:spacing w:after="0" w:line="397" w:lineRule="exact"/>
        <w:rPr>
          <w:sz w:val="20"/>
          <w:szCs w:val="20"/>
          <w:color w:val="auto"/>
        </w:rPr>
      </w:pPr>
    </w:p>
    <w:p>
      <w:pPr>
        <w:jc w:val="both"/>
        <w:ind w:right="3479" w:firstLine="1580"/>
        <w:spacing w:after="0" w:line="237" w:lineRule="auto"/>
        <w:rPr>
          <w:sz w:val="20"/>
          <w:szCs w:val="20"/>
          <w:color w:val="auto"/>
        </w:rPr>
      </w:pPr>
      <w:r>
        <w:rPr>
          <w:rFonts w:ascii="Courier New" w:cs="Courier New" w:eastAsia="Courier New" w:hAnsi="Courier New"/>
          <w:sz w:val="18"/>
          <w:szCs w:val="18"/>
          <w:color w:val="auto"/>
        </w:rPr>
        <w:t>Exercising an Option in any manner shall decrease the number of Shares thereafter available, both for purposes of the Plan and for sale under the Option, by the number of Shares as to which the Option is exercised.</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97" w:name="page98"/>
    <w:bookmarkEnd w:id="97"/>
    <w:p>
      <w:pPr>
        <w:ind w:right="3359" w:firstLine="1061"/>
        <w:spacing w:after="0" w:line="269" w:lineRule="auto"/>
        <w:tabs>
          <w:tab w:leader="none" w:pos="158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or Consulting Relationship. Upon termination of an Optionee's Continuous Status as an Employee or Consultant, other than upon the Optionee's death or Disability, the Optionee may exercise his or her Option, but only within such period of time as is specified in the Notice of Grant, and only to the extent that the Optionee was entitled to exercise it as the date of termination (but in no event later than the expiration of the term of such Option as set forth in the Notice of Grant). In the absence of a specified time in the Notice of Grant, the Option shall remain exercisable for 30 days following the Optionee's termination of Continuous Status as an Employee or Consultant. In the case of an Incentive Stock Option, such period of time shall not exceed thirty (30) days from the date of termination. If, at the date of termination, the Optionee is not entitled to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394" w:lineRule="exact"/>
        <w:rPr>
          <w:rFonts w:ascii="Courier New" w:cs="Courier New" w:eastAsia="Courier New" w:hAnsi="Courier New"/>
          <w:sz w:val="16"/>
          <w:szCs w:val="16"/>
          <w:color w:val="auto"/>
        </w:rPr>
      </w:pPr>
    </w:p>
    <w:p>
      <w:pPr>
        <w:ind w:right="3359" w:firstLine="1061"/>
        <w:spacing w:after="0" w:line="270" w:lineRule="auto"/>
        <w:tabs>
          <w:tab w:leader="none" w:pos="158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of Optionee. In the event that an Optionee's Continuous Status as an Employee or Consultant terminates as a result of the Optionee's Disability, the Optionee may exercise his or her Option at any time within twelve (12) months from the date of such termination, but only to the extent that the Optionee was entitled to exercise it at the date of such termination (but in no event later than the expiration of the term of such Option as set forth in the Notice of Grant). If, at the date of termination, the Optionee does not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387" w:lineRule="exact"/>
        <w:rPr>
          <w:rFonts w:ascii="Courier New" w:cs="Courier New" w:eastAsia="Courier New" w:hAnsi="Courier New"/>
          <w:sz w:val="16"/>
          <w:szCs w:val="16"/>
          <w:color w:val="auto"/>
        </w:rPr>
      </w:pPr>
    </w:p>
    <w:p>
      <w:pPr>
        <w:ind w:right="3159" w:firstLine="1061"/>
        <w:spacing w:after="0" w:line="238" w:lineRule="auto"/>
        <w:tabs>
          <w:tab w:leader="none" w:pos="15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Death of Optionee. In the event of the death of an Optionee, the Option may be exercised at any time within twelve (12) months following the date of death (but in no event later than the expiration of the term of such Option as set forth in the Notice of Grant), by the Optionee's estate or by a person who acquired the right to exercise the Option by bequest or inheritance, but only to the extent that the Optionee was entitled to exercise the Option at the date of death. If, at any time of death, the Optionee was not entitled to exercise his or her entire Option, the Shares covered by the 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16b-3.  Options granted to individuals</w:t>
      </w:r>
    </w:p>
    <w:p>
      <w:pPr>
        <w:spacing w:after="0" w:line="4" w:lineRule="exact"/>
        <w:rPr>
          <w:sz w:val="20"/>
          <w:szCs w:val="20"/>
          <w:color w:val="auto"/>
        </w:rPr>
      </w:pPr>
    </w:p>
    <w:p>
      <w:pPr>
        <w:ind w:right="3359"/>
        <w:spacing w:after="0" w:line="273" w:lineRule="auto"/>
        <w:rPr>
          <w:sz w:val="20"/>
          <w:szCs w:val="20"/>
          <w:color w:val="auto"/>
        </w:rPr>
      </w:pPr>
      <w:r>
        <w:rPr>
          <w:rFonts w:ascii="Courier New" w:cs="Courier New" w:eastAsia="Courier New" w:hAnsi="Courier New"/>
          <w:sz w:val="16"/>
          <w:szCs w:val="16"/>
          <w:color w:val="auto"/>
        </w:rPr>
        <w:t>subject to Section 16 of the Exchange Act ("Insiders") must comply with the applicable provisions of Rule 16b-3 and shall contain such additional conditions or restrictions as may be required thereunder to qualify for the maximum exemption from Section 16 of the Exchange Act with respect to Plan transactions.</w:t>
      </w:r>
    </w:p>
    <w:p>
      <w:pPr>
        <w:spacing w:after="0" w:line="185" w:lineRule="exact"/>
        <w:rPr>
          <w:sz w:val="20"/>
          <w:szCs w:val="20"/>
          <w:color w:val="auto"/>
        </w:rPr>
      </w:pPr>
    </w:p>
    <w:p>
      <w:pPr>
        <w:ind w:right="3359" w:firstLine="1061"/>
        <w:spacing w:after="0" w:line="272" w:lineRule="auto"/>
        <w:tabs>
          <w:tab w:leader="none" w:pos="15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Suspension. Any Optionee who is also a participant in the Retirement at Micron ("RAM") Section 401(k) Plan and who requests and receives a hardship distribution from the RAM Plan, is prohibited from making, and must suspend, his or her employee elective contributions and employee contributions including, without limitation on the foregoing, the</w:t>
      </w: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98" w:name="page99"/>
    <w:bookmarkEnd w:id="98"/>
    <w:p>
      <w:pPr>
        <w:ind w:right="3579"/>
        <w:spacing w:after="0" w:line="235" w:lineRule="auto"/>
        <w:rPr>
          <w:sz w:val="20"/>
          <w:szCs w:val="20"/>
          <w:color w:val="auto"/>
        </w:rPr>
      </w:pPr>
      <w:r>
        <w:rPr>
          <w:rFonts w:ascii="Courier New" w:cs="Courier New" w:eastAsia="Courier New" w:hAnsi="Courier New"/>
          <w:sz w:val="18"/>
          <w:szCs w:val="18"/>
          <w:color w:val="auto"/>
        </w:rPr>
        <w:t>exercise of any Option granted from the date of receipt by that employee of the RAM hardship distribution.</w:t>
      </w:r>
    </w:p>
    <w:p>
      <w:pPr>
        <w:spacing w:after="0" w:line="208" w:lineRule="exact"/>
        <w:rPr>
          <w:sz w:val="20"/>
          <w:szCs w:val="20"/>
          <w:color w:val="auto"/>
        </w:rPr>
      </w:pPr>
    </w:p>
    <w:p>
      <w:pPr>
        <w:ind w:right="3579" w:firstLine="535"/>
        <w:spacing w:after="0" w:line="237" w:lineRule="auto"/>
        <w:tabs>
          <w:tab w:leader="none" w:pos="1053"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Non-Transferability of Options. An Option may not be sold, pledged, assigned, hypothecated, transferred, or disposed of in any manner other than by will or by laws of descent or distribution and may be exercised, during the lifetime of the Optionee, only by the Optionee.</w:t>
      </w:r>
    </w:p>
    <w:p>
      <w:pPr>
        <w:spacing w:after="0" w:line="208" w:lineRule="exact"/>
        <w:rPr>
          <w:rFonts w:ascii="Courier New" w:cs="Courier New" w:eastAsia="Courier New" w:hAnsi="Courier New"/>
          <w:sz w:val="18"/>
          <w:szCs w:val="18"/>
          <w:color w:val="auto"/>
        </w:rPr>
      </w:pPr>
    </w:p>
    <w:p>
      <w:pPr>
        <w:ind w:right="4619" w:firstLine="535"/>
        <w:spacing w:after="0" w:line="235" w:lineRule="auto"/>
        <w:tabs>
          <w:tab w:leader="none" w:pos="1053"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Upon Changes in Capitalization, Dissolution, Merger, or Asset Sale.</w:t>
      </w:r>
    </w:p>
    <w:p>
      <w:pPr>
        <w:spacing w:after="0" w:line="208" w:lineRule="exact"/>
        <w:rPr>
          <w:rFonts w:ascii="Courier New" w:cs="Courier New" w:eastAsia="Courier New" w:hAnsi="Courier New"/>
          <w:sz w:val="18"/>
          <w:szCs w:val="18"/>
          <w:color w:val="auto"/>
        </w:rPr>
      </w:pPr>
    </w:p>
    <w:p>
      <w:pPr>
        <w:ind w:right="3359" w:firstLine="1061"/>
        <w:spacing w:after="0" w:line="238" w:lineRule="auto"/>
        <w:tabs>
          <w:tab w:leader="none" w:pos="158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Capitalization. Subject to any required action by the shareholders of the Company, the number of shares of Common Stock covered by each outstanding Option, and the number of issued shares of Common Stock which have been authorized for issuance under the Plan but as to which no Options have yet been granted or which have been returned to the Plan upon cancellation or expiration of an Option, as well as the price per share of Common Stock covered by each such outstanding Option,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211" w:lineRule="exact"/>
        <w:rPr>
          <w:rFonts w:ascii="Courier New" w:cs="Courier New" w:eastAsia="Courier New" w:hAnsi="Courier New"/>
          <w:sz w:val="18"/>
          <w:szCs w:val="18"/>
          <w:color w:val="auto"/>
        </w:rPr>
      </w:pPr>
    </w:p>
    <w:p>
      <w:pPr>
        <w:ind w:right="3359" w:firstLine="1061"/>
        <w:spacing w:after="0" w:line="237" w:lineRule="auto"/>
        <w:tabs>
          <w:tab w:leader="none" w:pos="158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Dissolution or Liquidation. In the event of the proposed dissolution or liquidation of the Company, to the extent that an Option has not been previously exercised, it will terminate immediately prior to the consummation of such proposed action.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w:t>
      </w:r>
    </w:p>
    <w:p>
      <w:pPr>
        <w:spacing w:after="0" w:line="214" w:lineRule="exact"/>
        <w:rPr>
          <w:rFonts w:ascii="Courier New" w:cs="Courier New" w:eastAsia="Courier New" w:hAnsi="Courier New"/>
          <w:sz w:val="18"/>
          <w:szCs w:val="18"/>
          <w:color w:val="auto"/>
        </w:rPr>
      </w:pPr>
    </w:p>
    <w:p>
      <w:pPr>
        <w:ind w:right="3359" w:firstLine="1061"/>
        <w:spacing w:after="0" w:line="269" w:lineRule="auto"/>
        <w:tabs>
          <w:tab w:leader="none" w:pos="1580"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Merger or Asset Sale. In the event of a merger of the Company with or into another corporation, or the sale of substantially all of the assets of the Company, each outstanding Option may be assumed or an equivalent option or right may be substituted by the successor corporation or a Parent or Subsidiary of the successor corporation. The Administrator may, in lieu of such assumption or substitution, provide for the Optionee to have the right to exercise the Option as to all or a portion of the Optioned Stock, including Shares as to which it would not otherwise be exercisable. If the Administrator makes an Option exercisable in lieu of assumption or substitution in the event of a merger or sale of assets, the Administrator shall notify the Optionee that the Option shall be fully exercisable for a period of thirty (30) days from the date of such notice, and the Option will terminate upon the expiration of such period. For the purposes of this paragraph, the Option shall be considered assumed if, following the merger or</w:t>
      </w:r>
    </w:p>
    <w:p>
      <w:pPr>
        <w:spacing w:after="0" w:line="39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2" w:right="1440" w:bottom="1440" w:gutter="0" w:footer="0" w:header="0"/>
        </w:sectPr>
      </w:pPr>
    </w:p>
    <w:bookmarkStart w:id="99" w:name="page100"/>
    <w:bookmarkEnd w:id="99"/>
    <w:p>
      <w:pPr>
        <w:ind w:right="3039"/>
        <w:spacing w:after="0" w:line="268" w:lineRule="auto"/>
        <w:rPr>
          <w:sz w:val="20"/>
          <w:szCs w:val="20"/>
          <w:color w:val="auto"/>
        </w:rPr>
      </w:pPr>
      <w:r>
        <w:rPr>
          <w:rFonts w:ascii="Courier New" w:cs="Courier New" w:eastAsia="Courier New" w:hAnsi="Courier New"/>
          <w:sz w:val="16"/>
          <w:szCs w:val="16"/>
          <w:color w:val="auto"/>
        </w:rPr>
        <w:t>sale of assets, the option or right confers the right to purchase, for each Share of Optioned Stock subject to the Option immediately prior to the merger or sale of assets, the consideration (whether stock, cash, or other securities or property) received in the merger or sale of assets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w:t>
      </w:r>
    </w:p>
    <w:p>
      <w:pPr>
        <w:spacing w:after="0" w:line="2" w:lineRule="exact"/>
        <w:rPr>
          <w:sz w:val="20"/>
          <w:szCs w:val="20"/>
          <w:color w:val="auto"/>
        </w:rPr>
      </w:pPr>
    </w:p>
    <w:p>
      <w:pPr>
        <w:ind w:right="3359"/>
        <w:spacing w:after="0" w:line="272" w:lineRule="auto"/>
        <w:rPr>
          <w:sz w:val="20"/>
          <w:szCs w:val="20"/>
          <w:color w:val="auto"/>
        </w:rPr>
      </w:pPr>
      <w:r>
        <w:rPr>
          <w:rFonts w:ascii="Courier New" w:cs="Courier New" w:eastAsia="Courier New" w:hAnsi="Courier New"/>
          <w:sz w:val="16"/>
          <w:szCs w:val="16"/>
          <w:color w:val="auto"/>
        </w:rPr>
        <w:t>sale of assets was not solely common stock of the successor corporation or its Parent, the Administrator may, with the consent of the successor corporation, provide for the consideration to be received upon the exercise of the Option, for each Share of Optioned Stock subject to the Option, to be solely common stock of the successor corporation or its Parent equal in fair market value to the per share consideration received by holders of Common Stock in the merger or sale of assets.</w:t>
      </w:r>
    </w:p>
    <w:p>
      <w:pPr>
        <w:spacing w:after="0" w:line="385" w:lineRule="exact"/>
        <w:rPr>
          <w:sz w:val="20"/>
          <w:szCs w:val="20"/>
          <w:color w:val="auto"/>
        </w:rPr>
      </w:pPr>
    </w:p>
    <w:p>
      <w:pPr>
        <w:ind w:right="3359" w:firstLine="1061"/>
        <w:spacing w:after="0" w:line="237" w:lineRule="auto"/>
        <w:tabs>
          <w:tab w:leader="none" w:pos="1580"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In the event of a Change in Control, the unexercised portion of the Option shall become immediately exercisable, to the extent such acceleration does not disqualify the Plan, or cause an Incentive Stock Option to be treated as a Nonstatutory Stock Option without the consent of the Optionee.</w:t>
      </w:r>
    </w:p>
    <w:p>
      <w:pPr>
        <w:spacing w:after="0" w:line="209" w:lineRule="exact"/>
        <w:rPr>
          <w:rFonts w:ascii="Courier New" w:cs="Courier New" w:eastAsia="Courier New" w:hAnsi="Courier New"/>
          <w:sz w:val="18"/>
          <w:szCs w:val="18"/>
          <w:color w:val="auto"/>
        </w:rPr>
      </w:pPr>
    </w:p>
    <w:p>
      <w:pPr>
        <w:ind w:right="3479" w:firstLine="535"/>
        <w:spacing w:after="0" w:line="237" w:lineRule="auto"/>
        <w:tabs>
          <w:tab w:leader="none" w:pos="105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of Grant. The date of grant of an Option shall be, for all purposes, the date on which the Administrator makes the determination granting such Option, or such other later date as is determined by the Administrator. Notice of the determination shall be provided to each Optionee within a reasonable time after the date of such grant.</w:t>
      </w:r>
    </w:p>
    <w:p>
      <w:pPr>
        <w:spacing w:after="0" w:line="204"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of the Plan.</w:t>
      </w:r>
    </w:p>
    <w:p>
      <w:pPr>
        <w:spacing w:after="0" w:line="206" w:lineRule="exact"/>
        <w:rPr>
          <w:rFonts w:ascii="Courier New" w:cs="Courier New" w:eastAsia="Courier New" w:hAnsi="Courier New"/>
          <w:sz w:val="18"/>
          <w:szCs w:val="18"/>
          <w:color w:val="auto"/>
        </w:rPr>
      </w:pPr>
    </w:p>
    <w:p>
      <w:pPr>
        <w:ind w:right="3579" w:firstLine="1061"/>
        <w:spacing w:after="0" w:line="235" w:lineRule="auto"/>
        <w:tabs>
          <w:tab w:leader="none" w:pos="1580"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The Board may at any time amend, alter, suspend, or terminate the Plan.</w:t>
      </w:r>
    </w:p>
    <w:p>
      <w:pPr>
        <w:spacing w:after="0" w:line="208" w:lineRule="exact"/>
        <w:rPr>
          <w:rFonts w:ascii="Courier New" w:cs="Courier New" w:eastAsia="Courier New" w:hAnsi="Courier New"/>
          <w:sz w:val="18"/>
          <w:szCs w:val="18"/>
          <w:color w:val="auto"/>
        </w:rPr>
      </w:pPr>
    </w:p>
    <w:p>
      <w:pPr>
        <w:ind w:right="3359" w:firstLine="1061"/>
        <w:spacing w:after="0" w:line="271" w:lineRule="auto"/>
        <w:tabs>
          <w:tab w:leader="none" w:pos="1580"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 Approval. The Company shall obtain shareholder approval of any Plan amendment to the extent necessary and desirable to comply with Rule 16b-3 or with Section 422 of the Code (or any successor rule or statute or other applicable law, rule, or regulation, including the requirements of any exchange or quotation system on which the Common Stock is listed or quoted). Such shareholder approval, if required, shall be obtained in such a manner and to such a degree as is required by the applicable law, rule, or regulation.</w:t>
      </w:r>
    </w:p>
    <w:p>
      <w:pPr>
        <w:spacing w:after="0" w:line="388" w:lineRule="exact"/>
        <w:rPr>
          <w:rFonts w:ascii="Courier New" w:cs="Courier New" w:eastAsia="Courier New" w:hAnsi="Courier New"/>
          <w:sz w:val="16"/>
          <w:szCs w:val="16"/>
          <w:color w:val="auto"/>
        </w:rPr>
      </w:pPr>
    </w:p>
    <w:p>
      <w:pPr>
        <w:ind w:right="3359" w:firstLine="1061"/>
        <w:spacing w:after="0" w:line="273" w:lineRule="auto"/>
        <w:tabs>
          <w:tab w:leader="none" w:pos="1580"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Amendment or Termination. No amendment, alteration, suspension, or termination of the Plan shall impair the rights of any Optionee, unless mutually agreed otherwise between the Optionee and the Administrator, which agreement must be in writing and signed by the Optionee and the Company.</w:t>
      </w:r>
    </w:p>
    <w:p>
      <w:pPr>
        <w:spacing w:after="0" w:line="178"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Upon Issuance of Shares.</w:t>
      </w:r>
    </w:p>
    <w:p>
      <w:pPr>
        <w:spacing w:after="0" w:line="206" w:lineRule="exact"/>
        <w:rPr>
          <w:rFonts w:ascii="Courier New" w:cs="Courier New" w:eastAsia="Courier New" w:hAnsi="Courier New"/>
          <w:sz w:val="18"/>
          <w:szCs w:val="18"/>
          <w:color w:val="auto"/>
        </w:rPr>
      </w:pPr>
    </w:p>
    <w:p>
      <w:pPr>
        <w:ind w:right="3359" w:firstLine="1061"/>
        <w:spacing w:after="0" w:line="237" w:lineRule="auto"/>
        <w:tabs>
          <w:tab w:leader="none" w:pos="1580"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Compliance. Shares shall not be issued pursuant to the exercise of an Option unless the exercise of such Option and the issuance and delivery of such Shares shall comply with all relevant provisions of law, including, without limitation, the Securities Act of 1933, as amended, the Exchange Act, the rules and regulations promulgated thereunder,</w:t>
      </w: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00" w:name="page101"/>
    <w:bookmarkEnd w:id="100"/>
    <w:p>
      <w:pPr>
        <w:ind w:right="2619"/>
        <w:spacing w:after="0" w:line="268" w:lineRule="auto"/>
        <w:rPr>
          <w:sz w:val="20"/>
          <w:szCs w:val="20"/>
          <w:color w:val="auto"/>
        </w:rPr>
      </w:pPr>
      <w:r>
        <w:rPr>
          <w:rFonts w:ascii="Courier New" w:cs="Courier New" w:eastAsia="Courier New" w:hAnsi="Courier New"/>
          <w:sz w:val="16"/>
          <w:szCs w:val="16"/>
          <w:color w:val="auto"/>
        </w:rPr>
        <w:t>Applicable Laws, and the requirements of any stock exchange or quotation system upon which the Shares may then be listed or quoted, and</w:t>
      </w:r>
    </w:p>
    <w:p>
      <w:pPr>
        <w:ind w:right="3999"/>
        <w:spacing w:after="0" w:line="235" w:lineRule="auto"/>
        <w:rPr>
          <w:sz w:val="20"/>
          <w:szCs w:val="20"/>
          <w:color w:val="auto"/>
        </w:rPr>
      </w:pPr>
      <w:r>
        <w:rPr>
          <w:rFonts w:ascii="Courier New" w:cs="Courier New" w:eastAsia="Courier New" w:hAnsi="Courier New"/>
          <w:sz w:val="18"/>
          <w:szCs w:val="18"/>
          <w:color w:val="auto"/>
        </w:rPr>
        <w:t>shall be further subject to the approval of counsel for the Company with respect to such compliance.</w:t>
      </w:r>
    </w:p>
    <w:p>
      <w:pPr>
        <w:spacing w:after="0" w:line="208" w:lineRule="exact"/>
        <w:rPr>
          <w:sz w:val="20"/>
          <w:szCs w:val="20"/>
          <w:color w:val="auto"/>
        </w:rPr>
      </w:pPr>
    </w:p>
    <w:p>
      <w:pPr>
        <w:ind w:right="3359" w:firstLine="1061"/>
        <w:spacing w:after="0" w:line="237" w:lineRule="auto"/>
        <w:tabs>
          <w:tab w:leader="none" w:pos="158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Representations.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205"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Liability of Company.</w:t>
      </w:r>
    </w:p>
    <w:p>
      <w:pPr>
        <w:spacing w:after="0" w:line="206" w:lineRule="exact"/>
        <w:rPr>
          <w:rFonts w:ascii="Courier New" w:cs="Courier New" w:eastAsia="Courier New" w:hAnsi="Courier New"/>
          <w:sz w:val="18"/>
          <w:szCs w:val="18"/>
          <w:color w:val="auto"/>
        </w:rPr>
      </w:pPr>
    </w:p>
    <w:p>
      <w:pPr>
        <w:ind w:right="3479" w:firstLine="1061"/>
        <w:spacing w:after="0" w:line="271" w:lineRule="auto"/>
        <w:tabs>
          <w:tab w:leader="none" w:pos="1580"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Inability to Obtain Authority.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87" w:lineRule="exact"/>
        <w:rPr>
          <w:rFonts w:ascii="Courier New" w:cs="Courier New" w:eastAsia="Courier New" w:hAnsi="Courier New"/>
          <w:sz w:val="16"/>
          <w:szCs w:val="16"/>
          <w:color w:val="auto"/>
        </w:rPr>
      </w:pPr>
    </w:p>
    <w:p>
      <w:pPr>
        <w:ind w:right="3359" w:firstLine="1061"/>
        <w:spacing w:after="0" w:line="237" w:lineRule="auto"/>
        <w:tabs>
          <w:tab w:leader="none" w:pos="158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Grants Exceeding Allotted Shares. If the Optioned Stock covered by an Option exceeds, as of the date of grant, the number of Shares which may be issued under the Plan without additional shareholder approval, such Option shall be void with respect to such excess Optioned Stock, unless shareholder approval of an amendment sufficiently increasing the number of shares subject to the Plan is timely obtained in accordance with Section 14(b) of the Plan.</w:t>
      </w:r>
    </w:p>
    <w:p>
      <w:pPr>
        <w:spacing w:after="0" w:line="212" w:lineRule="exact"/>
        <w:rPr>
          <w:rFonts w:ascii="Courier New" w:cs="Courier New" w:eastAsia="Courier New" w:hAnsi="Courier New"/>
          <w:sz w:val="18"/>
          <w:szCs w:val="18"/>
          <w:color w:val="auto"/>
        </w:rPr>
      </w:pPr>
    </w:p>
    <w:p>
      <w:pPr>
        <w:ind w:right="3359" w:firstLine="535"/>
        <w:spacing w:after="0" w:line="237" w:lineRule="auto"/>
        <w:tabs>
          <w:tab w:leader="none" w:pos="1053"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Reservation of Shares. The Company, during the term of this Plan, will at all times reserve and keep available such number of Shares as shall be sufficient to satisfy the requirements of the Plan.</w:t>
      </w:r>
    </w:p>
    <w:p>
      <w:pPr>
        <w:spacing w:after="0" w:line="207" w:lineRule="exact"/>
        <w:rPr>
          <w:rFonts w:ascii="Courier New" w:cs="Courier New" w:eastAsia="Courier New" w:hAnsi="Courier New"/>
          <w:sz w:val="18"/>
          <w:szCs w:val="18"/>
          <w:color w:val="auto"/>
        </w:rPr>
      </w:pPr>
    </w:p>
    <w:p>
      <w:pPr>
        <w:ind w:right="3359" w:firstLine="535"/>
        <w:spacing w:after="0" w:line="273" w:lineRule="auto"/>
        <w:tabs>
          <w:tab w:leader="none" w:pos="1053"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 Approval. Continuance of the Plan shall be subject to approval by the shareholders of the Company within twelve (12) months before or after the date the Plan is adopted. Such shareholder approval shall be obtained in the manner and to the degree required under applicable federal and Delaware law.</w:t>
      </w:r>
    </w:p>
    <w:p>
      <w:pPr>
        <w:spacing w:after="0" w:line="1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Revised</w:t>
        <w:tab/>
        <w:t>06/14/95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01" w:name="page102"/>
    <w:bookmarkEnd w:id="101"/>
    <w:p>
      <w:pPr>
        <w:ind w:left="2640"/>
        <w:spacing w:after="0"/>
        <w:rPr>
          <w:sz w:val="20"/>
          <w:szCs w:val="20"/>
          <w:color w:val="auto"/>
        </w:rPr>
      </w:pPr>
      <w:r>
        <w:rPr>
          <w:rFonts w:ascii="Courier New" w:cs="Courier New" w:eastAsia="Courier New" w:hAnsi="Courier New"/>
          <w:sz w:val="18"/>
          <w:szCs w:val="18"/>
          <w:color w:val="auto"/>
        </w:rPr>
        <w:t>EXHIBIT 10-111</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MICRON TECHNOLOGY, INC.</w:t>
      </w:r>
    </w:p>
    <w:p>
      <w:pPr>
        <w:jc w:val="center"/>
        <w:ind w:right="3459"/>
        <w:spacing w:after="0" w:line="238" w:lineRule="auto"/>
        <w:rPr>
          <w:sz w:val="20"/>
          <w:szCs w:val="20"/>
          <w:color w:val="auto"/>
        </w:rPr>
      </w:pPr>
      <w:r>
        <w:rPr>
          <w:rFonts w:ascii="Courier New" w:cs="Courier New" w:eastAsia="Courier New" w:hAnsi="Courier New"/>
          <w:sz w:val="18"/>
          <w:szCs w:val="18"/>
          <w:color w:val="auto"/>
        </w:rPr>
        <w:t>EXECUTIVE BONUS PLAN</w:t>
      </w:r>
    </w:p>
    <w:p>
      <w:pPr>
        <w:jc w:val="center"/>
        <w:ind w:right="3479"/>
        <w:spacing w:after="0"/>
        <w:rPr>
          <w:sz w:val="20"/>
          <w:szCs w:val="20"/>
          <w:color w:val="auto"/>
        </w:rPr>
      </w:pPr>
      <w:r>
        <w:rPr>
          <w:rFonts w:ascii="Courier New" w:cs="Courier New" w:eastAsia="Courier New" w:hAnsi="Courier New"/>
          <w:sz w:val="18"/>
          <w:szCs w:val="18"/>
          <w:color w:val="auto"/>
        </w:rPr>
        <w:t>(As adopted and effective November 28, 1994)</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PURPOSE</w:t>
      </w:r>
    </w:p>
    <w:p>
      <w:pPr>
        <w:spacing w:after="0" w:line="207"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The Micron Technology, Inc. Executive Bonus Plan (the "Plan") is designed to attract, retain, and reward highly qualified executives who are important to the Company's success and to provide incentives relating directly to the financial performance and long-term growth of the Company.</w:t>
      </w:r>
    </w:p>
    <w:p>
      <w:pPr>
        <w:spacing w:after="0" w:line="203" w:lineRule="exact"/>
        <w:rPr>
          <w:sz w:val="20"/>
          <w:szCs w:val="20"/>
          <w:color w:val="auto"/>
        </w:rPr>
      </w:pPr>
    </w:p>
    <w:p>
      <w:pPr>
        <w:ind w:left="320" w:hanging="312"/>
        <w:spacing w:after="0"/>
        <w:tabs>
          <w:tab w:leader="none" w:pos="3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6" w:lineRule="exact"/>
        <w:rPr>
          <w:rFonts w:ascii="Courier New" w:cs="Courier New" w:eastAsia="Courier New" w:hAnsi="Courier New"/>
          <w:sz w:val="18"/>
          <w:szCs w:val="18"/>
          <w:color w:val="auto"/>
        </w:rPr>
      </w:pPr>
    </w:p>
    <w:p>
      <w:pPr>
        <w:ind w:right="3159" w:firstLine="535"/>
        <w:spacing w:after="0" w:line="290" w:lineRule="auto"/>
        <w:tabs>
          <w:tab w:leader="none" w:pos="948"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Bonus - The cash incentive awarded to an Executive Officer or Key Employee pursuant to terms and conditions of the Plan.</w:t>
      </w:r>
    </w:p>
    <w:p>
      <w:pPr>
        <w:spacing w:after="0" w:line="169" w:lineRule="exact"/>
        <w:rPr>
          <w:rFonts w:ascii="Courier New" w:cs="Courier New" w:eastAsia="Courier New" w:hAnsi="Courier New"/>
          <w:sz w:val="16"/>
          <w:szCs w:val="16"/>
          <w:color w:val="auto"/>
        </w:rPr>
      </w:pPr>
    </w:p>
    <w:p>
      <w:pPr>
        <w:ind w:left="960" w:hanging="425"/>
        <w:spacing w:after="0"/>
        <w:tabs>
          <w:tab w:leader="none" w:pos="960"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 The Board of Directors of Micron Technology, Inc.</w:t>
      </w:r>
    </w:p>
    <w:p>
      <w:pPr>
        <w:spacing w:after="0" w:line="223" w:lineRule="exact"/>
        <w:rPr>
          <w:rFonts w:ascii="Courier New" w:cs="Courier New" w:eastAsia="Courier New" w:hAnsi="Courier New"/>
          <w:sz w:val="16"/>
          <w:szCs w:val="16"/>
          <w:color w:val="auto"/>
        </w:rPr>
      </w:pPr>
    </w:p>
    <w:p>
      <w:pPr>
        <w:ind w:right="3359" w:firstLine="535"/>
        <w:spacing w:after="0" w:line="275" w:lineRule="auto"/>
        <w:tabs>
          <w:tab w:leader="none" w:pos="948"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 The acquisition by any person or entity, directly, indirectly, or beneficially, acting alone or in concert, of more than thirty-five percent (35%) of the Common Stock of Micron Technology, Inc., at any time outstanding.</w:t>
      </w:r>
    </w:p>
    <w:p>
      <w:pPr>
        <w:spacing w:after="0" w:line="176" w:lineRule="exact"/>
        <w:rPr>
          <w:rFonts w:ascii="Courier New" w:cs="Courier New" w:eastAsia="Courier New" w:hAnsi="Courier New"/>
          <w:sz w:val="16"/>
          <w:szCs w:val="16"/>
          <w:color w:val="auto"/>
        </w:rPr>
      </w:pPr>
    </w:p>
    <w:p>
      <w:pPr>
        <w:ind w:left="960" w:hanging="425"/>
        <w:spacing w:after="0"/>
        <w:tabs>
          <w:tab w:leader="none" w:pos="960"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 The Internal Revenue Code of 1986, as amended.</w:t>
      </w:r>
    </w:p>
    <w:p>
      <w:pPr>
        <w:spacing w:after="0" w:line="206" w:lineRule="exact"/>
        <w:rPr>
          <w:rFonts w:ascii="Courier New" w:cs="Courier New" w:eastAsia="Courier New" w:hAnsi="Courier New"/>
          <w:sz w:val="18"/>
          <w:szCs w:val="18"/>
          <w:color w:val="auto"/>
        </w:rPr>
      </w:pPr>
    </w:p>
    <w:p>
      <w:pPr>
        <w:ind w:right="3359" w:firstLine="535"/>
        <w:spacing w:after="0" w:line="237" w:lineRule="auto"/>
        <w:tabs>
          <w:tab w:leader="none" w:pos="948"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 The Compensation Committee of the Board, or such other committee of the Board that is designated by the Board to administer the Plan, in compliance with requirements of Section 162(m) of the Code.</w:t>
      </w:r>
    </w:p>
    <w:p>
      <w:pPr>
        <w:spacing w:after="0" w:line="207" w:lineRule="exact"/>
        <w:rPr>
          <w:rFonts w:ascii="Courier New" w:cs="Courier New" w:eastAsia="Courier New" w:hAnsi="Courier New"/>
          <w:sz w:val="18"/>
          <w:szCs w:val="18"/>
          <w:color w:val="auto"/>
        </w:rPr>
      </w:pPr>
    </w:p>
    <w:p>
      <w:pPr>
        <w:ind w:right="3359" w:firstLine="535"/>
        <w:spacing w:after="0" w:line="237" w:lineRule="auto"/>
        <w:tabs>
          <w:tab w:leader="none" w:pos="948"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 Micron Technology, Inc., and any other corporation in which Micron Technology, Inc., controls, directly or indirectly, fifty percent (50%) or more of the combined voting power of all classes of voting securities.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 An Executive Officer or Key Employee of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w:t>
      </w:r>
    </w:p>
    <w:p>
      <w:pPr>
        <w:spacing w:after="0" w:line="207" w:lineRule="exact"/>
        <w:rPr>
          <w:rFonts w:ascii="Courier New" w:cs="Courier New" w:eastAsia="Courier New" w:hAnsi="Courier New"/>
          <w:sz w:val="18"/>
          <w:szCs w:val="18"/>
          <w:color w:val="auto"/>
        </w:rPr>
      </w:pPr>
    </w:p>
    <w:p>
      <w:pPr>
        <w:ind w:right="3259" w:firstLine="535"/>
        <w:spacing w:after="0" w:line="236" w:lineRule="auto"/>
        <w:tabs>
          <w:tab w:leader="none" w:pos="948"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Officer - Any officer of the Company subject to the reporting requirements of Section 16 of the Securities and Exchange Act of 1934 ("Exchange Act").</w:t>
      </w:r>
    </w:p>
    <w:p>
      <w:pPr>
        <w:spacing w:after="0" w:line="208" w:lineRule="exact"/>
        <w:rPr>
          <w:rFonts w:ascii="Courier New" w:cs="Courier New" w:eastAsia="Courier New" w:hAnsi="Courier New"/>
          <w:sz w:val="18"/>
          <w:szCs w:val="18"/>
          <w:color w:val="auto"/>
        </w:rPr>
      </w:pPr>
    </w:p>
    <w:p>
      <w:pPr>
        <w:ind w:right="3779" w:firstLine="535"/>
        <w:spacing w:after="0" w:line="235" w:lineRule="auto"/>
        <w:tabs>
          <w:tab w:leader="none" w:pos="948"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Key Employee - Any employee of the Company as may be designated by the Committee.</w:t>
      </w:r>
    </w:p>
    <w:p>
      <w:pPr>
        <w:spacing w:after="0" w:line="208"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 The Micron Technology, Inc., Executive Bonus Plan.</w:t>
      </w:r>
    </w:p>
    <w:p>
      <w:pPr>
        <w:spacing w:after="0" w:line="218"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ELIGIBILITY</w:t>
      </w:r>
    </w:p>
    <w:p>
      <w:pPr>
        <w:spacing w:after="0" w:line="20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Only Executives are eligible for participation in the Plan.</w:t>
      </w:r>
    </w:p>
    <w:p>
      <w:pPr>
        <w:spacing w:after="0" w:line="20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 ADMINISTRATION</w:t>
      </w:r>
    </w:p>
    <w:p>
      <w:pPr>
        <w:spacing w:after="0" w:line="207" w:lineRule="exact"/>
        <w:rPr>
          <w:sz w:val="20"/>
          <w:szCs w:val="20"/>
          <w:color w:val="auto"/>
        </w:rPr>
      </w:pPr>
    </w:p>
    <w:p>
      <w:pPr>
        <w:ind w:right="3359" w:firstLine="527"/>
        <w:spacing w:after="0" w:line="268" w:lineRule="auto"/>
        <w:rPr>
          <w:sz w:val="20"/>
          <w:szCs w:val="20"/>
          <w:color w:val="auto"/>
        </w:rPr>
      </w:pPr>
      <w:r>
        <w:rPr>
          <w:rFonts w:ascii="Courier New" w:cs="Courier New" w:eastAsia="Courier New" w:hAnsi="Courier New"/>
          <w:sz w:val="16"/>
          <w:szCs w:val="16"/>
          <w:color w:val="auto"/>
        </w:rPr>
        <w:t>The awards under the Plan shall be based on the profits of the Company as determined by the Company's consolidated after-tax net profits. The Committee shall administer the Plan and shall have full power and authority to construe, interpret, and administer the Plan necessary to comply with the requirements of Section 162(m) of the Code. The Committee's decisions shall be final, conclusive, and binding upon all persons. The Committee shall certify in writing prior to commencement of payment of the bonus that the performance goal or goals under which the bonus is to be paid has or have been achieved. The Committee in its sole</w:t>
      </w:r>
    </w:p>
    <w:p>
      <w:pPr>
        <w:ind w:left="3280"/>
        <w:spacing w:after="0" w:line="235" w:lineRule="auto"/>
        <w:rPr>
          <w:sz w:val="20"/>
          <w:szCs w:val="20"/>
          <w:color w:val="auto"/>
        </w:rPr>
      </w:pPr>
      <w:r>
        <w:rPr>
          <w:rFonts w:ascii="Courier New" w:cs="Courier New" w:eastAsia="Courier New" w:hAnsi="Courier New"/>
          <w:sz w:val="18"/>
          <w:szCs w:val="18"/>
          <w:color w:val="auto"/>
        </w:rPr>
        <w:t>1</w:t>
      </w:r>
    </w:p>
    <w:p>
      <w:pPr>
        <w:spacing w:after="0" w:line="383"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6"/>
          <w:szCs w:val="16"/>
          <w:color w:val="auto"/>
        </w:rPr>
        <w:t>discretion has the authority to reduce the amount of a bonus otherwise payable to Executives upon attainment of the performance goal established for a fiscal year. At the beginning of each fiscal year consistent with the requirements of Section 162(m), the Committee shall: (i) determine the percentage or other amount related to the Company's profits available for award under the Plan; (ii) determine the Executive Officers and Key Employees eligible to participate in the Plan for the fiscal year; and (iii) determine each Executive's bonus based on the Company's profits for the fiscal year; and (iv) determine the frequency at which each bonus will be paid when attained.</w:t>
      </w:r>
    </w:p>
    <w:p>
      <w:pPr>
        <w:sectPr>
          <w:pgSz w:w="11900" w:h="16838" w:orient="portrait"/>
          <w:cols w:equalWidth="0" w:num="1">
            <w:col w:w="10219"/>
          </w:cols>
          <w:pgMar w:left="240" w:top="136" w:right="1440" w:bottom="142" w:gutter="0" w:footer="0" w:header="0"/>
        </w:sectPr>
      </w:pPr>
    </w:p>
    <w:bookmarkStart w:id="102" w:name="page103"/>
    <w:bookmarkEnd w:id="102"/>
    <w:p>
      <w:pPr>
        <w:ind w:right="3579" w:firstLine="527"/>
        <w:spacing w:after="0" w:line="237" w:lineRule="auto"/>
        <w:rPr>
          <w:sz w:val="20"/>
          <w:szCs w:val="20"/>
          <w:color w:val="auto"/>
        </w:rPr>
      </w:pPr>
      <w:r>
        <w:rPr>
          <w:rFonts w:ascii="Courier New" w:cs="Courier New" w:eastAsia="Courier New" w:hAnsi="Courier New"/>
          <w:sz w:val="18"/>
          <w:szCs w:val="18"/>
          <w:color w:val="auto"/>
        </w:rPr>
        <w:t>The maximum bonus amount that can be paid to any executive with respect to any one fiscal year results cannot exceed the greater of $2,000,000 or two percent (2%) of the Company's consolidated after-tax net profits.</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In the event of a Change in Control, any bonuses earned but not yet paid under the Plan shall be immediately payable. If the Executive ceases to be employed by the Company or by any of its subsidiaries, any unpaid bonuses shall be paid in accordance with the Executive's termination agreement, and as otherwise determined by the Committee. Unpaid bonuses may also be canceled at the discretion of the Committee.</w:t>
      </w:r>
    </w:p>
    <w:p>
      <w:pPr>
        <w:spacing w:after="0" w:line="211"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The Committee may amend, modify, suspend, or terminate the Plan for the purpose of meeting or addressing any changes in legal requirements or for any other purpose permitted by law. The Committee will seek shareholder approval of any amendment determined to require shareholder approval or advisable under the regulations of the Internal Revenue Service or other applicable law or regulation.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NONASSIGNABILITY</w:t>
      </w:r>
    </w:p>
    <w:p>
      <w:pPr>
        <w:spacing w:after="0" w:line="207" w:lineRule="exact"/>
        <w:rPr>
          <w:sz w:val="20"/>
          <w:szCs w:val="20"/>
          <w:color w:val="auto"/>
        </w:rPr>
      </w:pPr>
    </w:p>
    <w:p>
      <w:pPr>
        <w:ind w:right="4099" w:firstLine="527"/>
        <w:spacing w:after="0" w:line="236" w:lineRule="auto"/>
        <w:rPr>
          <w:sz w:val="20"/>
          <w:szCs w:val="20"/>
          <w:color w:val="auto"/>
        </w:rPr>
      </w:pPr>
      <w:r>
        <w:rPr>
          <w:rFonts w:ascii="Courier New" w:cs="Courier New" w:eastAsia="Courier New" w:hAnsi="Courier New"/>
          <w:sz w:val="18"/>
          <w:szCs w:val="18"/>
          <w:color w:val="auto"/>
        </w:rPr>
        <w:t>No Bonus or any other benefit under the Plan shall be assignable or transferable by the participant during the participant's lifetime.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 NO RIGHT TO CONTINUED EMPLOYMENT</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Nothing in the Plan shall confer upon any employee any right to continue in the employ of the Company or shall interfere with or restrict in any way the right of the Company to discharge an employee at any time for any reason whatsoever, with or without good cause.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EFFECTIVE DATE</w:t>
      </w:r>
    </w:p>
    <w:p>
      <w:pPr>
        <w:spacing w:after="0" w:line="207" w:lineRule="exact"/>
        <w:rPr>
          <w:sz w:val="20"/>
          <w:szCs w:val="20"/>
          <w:color w:val="auto"/>
        </w:rPr>
      </w:pPr>
    </w:p>
    <w:p>
      <w:pPr>
        <w:ind w:right="3679" w:firstLine="527"/>
        <w:spacing w:after="0" w:line="235" w:lineRule="auto"/>
        <w:rPr>
          <w:sz w:val="20"/>
          <w:szCs w:val="20"/>
          <w:color w:val="auto"/>
        </w:rPr>
      </w:pPr>
      <w:r>
        <w:rPr>
          <w:rFonts w:ascii="Courier New" w:cs="Courier New" w:eastAsia="Courier New" w:hAnsi="Courier New"/>
          <w:sz w:val="18"/>
          <w:szCs w:val="18"/>
          <w:color w:val="auto"/>
        </w:rPr>
        <w:t>The Plan shall become effective on November 28, 1994. The Committee may terminate or suspend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103" w:name="page104"/>
    <w:bookmarkEnd w:id="103"/>
    <w:p>
      <w:pPr>
        <w:ind w:left="3060"/>
        <w:spacing w:after="0"/>
        <w:rPr>
          <w:sz w:val="20"/>
          <w:szCs w:val="20"/>
          <w:color w:val="auto"/>
        </w:rPr>
      </w:pPr>
      <w:r>
        <w:rPr>
          <w:rFonts w:ascii="Courier New" w:cs="Courier New" w:eastAsia="Courier New" w:hAnsi="Courier New"/>
          <w:sz w:val="18"/>
          <w:szCs w:val="18"/>
          <w:color w:val="auto"/>
        </w:rPr>
        <w:t>Exhibit 11.1</w:t>
      </w:r>
    </w:p>
    <w:p>
      <w:pPr>
        <w:spacing w:after="0" w:line="20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8"/>
          <w:szCs w:val="18"/>
          <w:color w:val="auto"/>
        </w:rPr>
        <w:t>MICRON TECHNOLOGY, INC.</w:t>
      </w:r>
    </w:p>
    <w:p>
      <w:pPr>
        <w:spacing w:after="0" w:line="207" w:lineRule="exact"/>
        <w:rPr>
          <w:sz w:val="20"/>
          <w:szCs w:val="20"/>
          <w:color w:val="auto"/>
        </w:rPr>
      </w:pPr>
    </w:p>
    <w:p>
      <w:pPr>
        <w:ind w:left="1060" w:right="3899" w:firstLine="948"/>
        <w:spacing w:after="0" w:line="290" w:lineRule="auto"/>
        <w:rPr>
          <w:sz w:val="20"/>
          <w:szCs w:val="20"/>
          <w:color w:val="auto"/>
        </w:rPr>
      </w:pPr>
      <w:r>
        <w:rPr>
          <w:rFonts w:ascii="Courier New" w:cs="Courier New" w:eastAsia="Courier New" w:hAnsi="Courier New"/>
          <w:sz w:val="16"/>
          <w:szCs w:val="16"/>
          <w:color w:val="auto"/>
        </w:rPr>
        <w:t>Computation of Per Share Earnings (Amounts in millions except for per share amounts)</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August</w:t>
            </w:r>
          </w:p>
        </w:tc>
        <w:tc>
          <w:tcPr>
            <w:tcW w:w="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31,</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September</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September</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Fiscal year ended</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4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c>
          <w:tcPr>
            <w:tcW w:w="3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1993</w:t>
            </w:r>
          </w:p>
        </w:tc>
        <w:tc>
          <w:tcPr>
            <w:tcW w:w="26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20"/>
                <w:szCs w:val="20"/>
                <w:color w:val="auto"/>
              </w:rPr>
            </w:pPr>
            <w:r>
              <w:rPr>
                <w:rFonts w:ascii="Courier New" w:cs="Courier New" w:eastAsia="Courier New" w:hAnsi="Courier New"/>
                <w:sz w:val="18"/>
                <w:szCs w:val="18"/>
                <w:color w:val="auto"/>
              </w:rPr>
              <w:t>PRIMARY</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05"/>
        </w:trPr>
        <w:tc>
          <w:tcPr>
            <w:tcW w:w="4060" w:type="dxa"/>
            <w:vAlign w:val="bottom"/>
          </w:tcPr>
          <w:p>
            <w:pPr>
              <w:ind w:left="120"/>
              <w:spacing w:after="0"/>
              <w:rPr>
                <w:sz w:val="20"/>
                <w:szCs w:val="20"/>
                <w:color w:val="auto"/>
              </w:rPr>
            </w:pPr>
            <w:r>
              <w:rPr>
                <w:rFonts w:ascii="Courier New" w:cs="Courier New" w:eastAsia="Courier New" w:hAnsi="Courier New"/>
                <w:sz w:val="18"/>
                <w:szCs w:val="18"/>
                <w:color w:val="auto"/>
              </w:rPr>
              <w:t>Weighted average shares outstanding</w:t>
            </w:r>
          </w:p>
        </w:tc>
        <w:tc>
          <w:tcPr>
            <w:tcW w:w="380" w:type="dxa"/>
            <w:vAlign w:val="bottom"/>
          </w:tcPr>
          <w:p>
            <w:pPr>
              <w:spacing w:after="0"/>
              <w:rPr>
                <w:sz w:val="24"/>
                <w:szCs w:val="24"/>
                <w:color w:val="auto"/>
              </w:rPr>
            </w:pPr>
          </w:p>
        </w:tc>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205.1</w:t>
            </w:r>
          </w:p>
        </w:tc>
        <w:tc>
          <w:tcPr>
            <w:tcW w:w="58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202.4</w:t>
            </w:r>
          </w:p>
        </w:tc>
        <w:tc>
          <w:tcPr>
            <w:tcW w:w="5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196.4</w:t>
            </w:r>
          </w:p>
        </w:tc>
      </w:tr>
      <w:tr>
        <w:trPr>
          <w:trHeight w:val="203"/>
        </w:trPr>
        <w:tc>
          <w:tcPr>
            <w:tcW w:w="4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effect of dilutive stock options</w:t>
            </w:r>
          </w:p>
        </w:tc>
        <w:tc>
          <w:tcPr>
            <w:tcW w:w="38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8.8</w:t>
            </w:r>
          </w:p>
        </w:tc>
        <w:tc>
          <w:tcPr>
            <w:tcW w:w="58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6.5</w:t>
            </w:r>
          </w:p>
        </w:tc>
        <w:tc>
          <w:tcPr>
            <w:tcW w:w="5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4060" w:type="dxa"/>
            <w:vAlign w:val="bottom"/>
          </w:tcPr>
          <w:p>
            <w:pPr>
              <w:spacing w:after="0"/>
              <w:rPr>
                <w:sz w:val="17"/>
                <w:szCs w:val="17"/>
                <w:color w:val="auto"/>
              </w:rPr>
            </w:pPr>
          </w:p>
        </w:tc>
        <w:tc>
          <w:tcPr>
            <w:tcW w:w="13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shares</w:t>
            </w:r>
          </w:p>
        </w:tc>
        <w:tc>
          <w:tcPr>
            <w:tcW w:w="38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213.9</w:t>
            </w:r>
          </w:p>
        </w:tc>
        <w:tc>
          <w:tcPr>
            <w:tcW w:w="58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208.9</w:t>
            </w:r>
          </w:p>
        </w:tc>
        <w:tc>
          <w:tcPr>
            <w:tcW w:w="5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4060" w:type="dxa"/>
            <w:vAlign w:val="bottom"/>
          </w:tcPr>
          <w:p>
            <w:pPr>
              <w:spacing w:after="0"/>
              <w:rPr>
                <w:sz w:val="17"/>
                <w:szCs w:val="17"/>
                <w:color w:val="auto"/>
              </w:rPr>
            </w:pPr>
          </w:p>
        </w:tc>
        <w:tc>
          <w:tcPr>
            <w:tcW w:w="13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60" w:type="dxa"/>
            <w:vAlign w:val="bottom"/>
          </w:tcPr>
          <w:p>
            <w:pPr>
              <w:ind w:left="120"/>
              <w:spacing w:after="0"/>
              <w:rPr>
                <w:sz w:val="20"/>
                <w:szCs w:val="20"/>
                <w:color w:val="auto"/>
              </w:rPr>
            </w:pPr>
            <w:r>
              <w:rPr>
                <w:rFonts w:ascii="Courier New" w:cs="Courier New" w:eastAsia="Courier New" w:hAnsi="Courier New"/>
                <w:sz w:val="18"/>
                <w:szCs w:val="18"/>
                <w:color w:val="auto"/>
              </w:rPr>
              <w:t>Net income</w:t>
            </w:r>
          </w:p>
        </w:tc>
        <w:tc>
          <w:tcPr>
            <w:tcW w:w="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844.1</w:t>
            </w:r>
          </w:p>
        </w:tc>
        <w:tc>
          <w:tcPr>
            <w:tcW w:w="5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400.5</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104.1</w:t>
            </w:r>
          </w:p>
        </w:tc>
      </w:tr>
      <w:tr>
        <w:trPr>
          <w:trHeight w:val="203"/>
        </w:trPr>
        <w:tc>
          <w:tcPr>
            <w:tcW w:w="4060" w:type="dxa"/>
            <w:vAlign w:val="bottom"/>
          </w:tcPr>
          <w:p>
            <w:pPr>
              <w:spacing w:after="0"/>
              <w:rPr>
                <w:sz w:val="17"/>
                <w:szCs w:val="17"/>
                <w:color w:val="auto"/>
              </w:rPr>
            </w:pPr>
          </w:p>
        </w:tc>
        <w:tc>
          <w:tcPr>
            <w:tcW w:w="13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60" w:type="dxa"/>
            <w:vAlign w:val="bottom"/>
          </w:tcPr>
          <w:p>
            <w:pPr>
              <w:ind w:left="120"/>
              <w:spacing w:after="0"/>
              <w:rPr>
                <w:sz w:val="20"/>
                <w:szCs w:val="20"/>
                <w:color w:val="auto"/>
              </w:rPr>
            </w:pPr>
            <w:r>
              <w:rPr>
                <w:rFonts w:ascii="Courier New" w:cs="Courier New" w:eastAsia="Courier New" w:hAnsi="Courier New"/>
                <w:sz w:val="18"/>
                <w:szCs w:val="18"/>
                <w:color w:val="auto"/>
              </w:rPr>
              <w:t>Primary earnings per share</w:t>
            </w:r>
          </w:p>
        </w:tc>
        <w:tc>
          <w:tcPr>
            <w:tcW w:w="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3.95</w:t>
            </w:r>
          </w:p>
        </w:tc>
        <w:tc>
          <w:tcPr>
            <w:tcW w:w="5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1.92</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0.52</w:t>
            </w:r>
          </w:p>
        </w:tc>
      </w:tr>
      <w:tr>
        <w:trPr>
          <w:trHeight w:val="203"/>
        </w:trPr>
        <w:tc>
          <w:tcPr>
            <w:tcW w:w="4060" w:type="dxa"/>
            <w:vAlign w:val="bottom"/>
          </w:tcPr>
          <w:p>
            <w:pPr>
              <w:spacing w:after="0"/>
              <w:rPr>
                <w:sz w:val="17"/>
                <w:szCs w:val="17"/>
                <w:color w:val="auto"/>
              </w:rPr>
            </w:pPr>
          </w:p>
        </w:tc>
        <w:tc>
          <w:tcPr>
            <w:tcW w:w="13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4060" w:type="dxa"/>
            <w:vAlign w:val="bottom"/>
          </w:tcPr>
          <w:p>
            <w:pPr>
              <w:spacing w:after="0"/>
              <w:rPr>
                <w:sz w:val="20"/>
                <w:szCs w:val="20"/>
                <w:color w:val="auto"/>
              </w:rPr>
            </w:pPr>
            <w:r>
              <w:rPr>
                <w:rFonts w:ascii="Courier New" w:cs="Courier New" w:eastAsia="Courier New" w:hAnsi="Courier New"/>
                <w:sz w:val="18"/>
                <w:szCs w:val="18"/>
                <w:color w:val="auto"/>
              </w:rPr>
              <w:t>FULLY DILUTED</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5"/>
        </w:trPr>
        <w:tc>
          <w:tcPr>
            <w:tcW w:w="4060" w:type="dxa"/>
            <w:vAlign w:val="bottom"/>
          </w:tcPr>
          <w:p>
            <w:pPr>
              <w:ind w:left="120"/>
              <w:spacing w:after="0"/>
              <w:rPr>
                <w:sz w:val="20"/>
                <w:szCs w:val="20"/>
                <w:color w:val="auto"/>
              </w:rPr>
            </w:pPr>
            <w:r>
              <w:rPr>
                <w:rFonts w:ascii="Courier New" w:cs="Courier New" w:eastAsia="Courier New" w:hAnsi="Courier New"/>
                <w:sz w:val="18"/>
                <w:szCs w:val="18"/>
                <w:color w:val="auto"/>
              </w:rPr>
              <w:t>Weighted average shares outstanding</w:t>
            </w:r>
          </w:p>
        </w:tc>
        <w:tc>
          <w:tcPr>
            <w:tcW w:w="380" w:type="dxa"/>
            <w:vAlign w:val="bottom"/>
          </w:tcPr>
          <w:p>
            <w:pPr>
              <w:spacing w:after="0"/>
              <w:rPr>
                <w:sz w:val="24"/>
                <w:szCs w:val="24"/>
                <w:color w:val="auto"/>
              </w:rPr>
            </w:pPr>
          </w:p>
        </w:tc>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205.1</w:t>
            </w:r>
          </w:p>
        </w:tc>
        <w:tc>
          <w:tcPr>
            <w:tcW w:w="58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202.4</w:t>
            </w:r>
          </w:p>
        </w:tc>
        <w:tc>
          <w:tcPr>
            <w:tcW w:w="5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196.4</w:t>
            </w:r>
          </w:p>
        </w:tc>
      </w:tr>
      <w:tr>
        <w:trPr>
          <w:trHeight w:val="203"/>
        </w:trPr>
        <w:tc>
          <w:tcPr>
            <w:tcW w:w="4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effect of dilutive stock options</w:t>
            </w:r>
          </w:p>
        </w:tc>
        <w:tc>
          <w:tcPr>
            <w:tcW w:w="38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11.1</w:t>
            </w:r>
          </w:p>
        </w:tc>
        <w:tc>
          <w:tcPr>
            <w:tcW w:w="58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8.0</w:t>
            </w:r>
          </w:p>
        </w:tc>
        <w:tc>
          <w:tcPr>
            <w:tcW w:w="5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w:t>
            </w:r>
          </w:p>
        </w:tc>
      </w:tr>
      <w:tr>
        <w:trPr>
          <w:trHeight w:val="203"/>
        </w:trPr>
        <w:tc>
          <w:tcPr>
            <w:tcW w:w="4060" w:type="dxa"/>
            <w:vAlign w:val="bottom"/>
          </w:tcPr>
          <w:p>
            <w:pPr>
              <w:spacing w:after="0"/>
              <w:rPr>
                <w:sz w:val="17"/>
                <w:szCs w:val="17"/>
                <w:color w:val="auto"/>
              </w:rPr>
            </w:pPr>
          </w:p>
        </w:tc>
        <w:tc>
          <w:tcPr>
            <w:tcW w:w="13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shares</w:t>
            </w:r>
          </w:p>
        </w:tc>
        <w:tc>
          <w:tcPr>
            <w:tcW w:w="38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216.2</w:t>
            </w:r>
          </w:p>
        </w:tc>
        <w:tc>
          <w:tcPr>
            <w:tcW w:w="58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210.4</w:t>
            </w:r>
          </w:p>
        </w:tc>
        <w:tc>
          <w:tcPr>
            <w:tcW w:w="5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202.6</w:t>
            </w:r>
          </w:p>
        </w:tc>
      </w:tr>
      <w:tr>
        <w:trPr>
          <w:trHeight w:val="203"/>
        </w:trPr>
        <w:tc>
          <w:tcPr>
            <w:tcW w:w="4060" w:type="dxa"/>
            <w:vAlign w:val="bottom"/>
          </w:tcPr>
          <w:p>
            <w:pPr>
              <w:spacing w:after="0"/>
              <w:rPr>
                <w:sz w:val="17"/>
                <w:szCs w:val="17"/>
                <w:color w:val="auto"/>
              </w:rPr>
            </w:pPr>
          </w:p>
        </w:tc>
        <w:tc>
          <w:tcPr>
            <w:tcW w:w="13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60" w:type="dxa"/>
            <w:vAlign w:val="bottom"/>
          </w:tcPr>
          <w:p>
            <w:pPr>
              <w:ind w:left="120"/>
              <w:spacing w:after="0"/>
              <w:rPr>
                <w:sz w:val="20"/>
                <w:szCs w:val="20"/>
                <w:color w:val="auto"/>
              </w:rPr>
            </w:pPr>
            <w:r>
              <w:rPr>
                <w:rFonts w:ascii="Courier New" w:cs="Courier New" w:eastAsia="Courier New" w:hAnsi="Courier New"/>
                <w:sz w:val="18"/>
                <w:szCs w:val="18"/>
                <w:color w:val="auto"/>
              </w:rPr>
              <w:t>Net income</w:t>
            </w:r>
          </w:p>
        </w:tc>
        <w:tc>
          <w:tcPr>
            <w:tcW w:w="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844.1</w:t>
            </w:r>
          </w:p>
        </w:tc>
        <w:tc>
          <w:tcPr>
            <w:tcW w:w="5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400.5</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104.1</w:t>
            </w:r>
          </w:p>
        </w:tc>
      </w:tr>
      <w:tr>
        <w:trPr>
          <w:trHeight w:val="203"/>
        </w:trPr>
        <w:tc>
          <w:tcPr>
            <w:tcW w:w="4060" w:type="dxa"/>
            <w:vAlign w:val="bottom"/>
          </w:tcPr>
          <w:p>
            <w:pPr>
              <w:spacing w:after="0"/>
              <w:rPr>
                <w:sz w:val="17"/>
                <w:szCs w:val="17"/>
                <w:color w:val="auto"/>
              </w:rPr>
            </w:pPr>
          </w:p>
        </w:tc>
        <w:tc>
          <w:tcPr>
            <w:tcW w:w="13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60" w:type="dxa"/>
            <w:vAlign w:val="bottom"/>
          </w:tcPr>
          <w:p>
            <w:pPr>
              <w:ind w:left="120"/>
              <w:spacing w:after="0"/>
              <w:rPr>
                <w:sz w:val="20"/>
                <w:szCs w:val="20"/>
                <w:color w:val="auto"/>
              </w:rPr>
            </w:pPr>
            <w:r>
              <w:rPr>
                <w:rFonts w:ascii="Courier New" w:cs="Courier New" w:eastAsia="Courier New" w:hAnsi="Courier New"/>
                <w:sz w:val="18"/>
                <w:szCs w:val="18"/>
                <w:color w:val="auto"/>
              </w:rPr>
              <w:t>Fully diluted earnings per share</w:t>
            </w:r>
          </w:p>
        </w:tc>
        <w:tc>
          <w:tcPr>
            <w:tcW w:w="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3.90</w:t>
            </w:r>
          </w:p>
        </w:tc>
        <w:tc>
          <w:tcPr>
            <w:tcW w:w="5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1.90</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0.51</w:t>
            </w:r>
          </w:p>
        </w:tc>
      </w:tr>
      <w:tr>
        <w:trPr>
          <w:trHeight w:val="203"/>
        </w:trPr>
        <w:tc>
          <w:tcPr>
            <w:tcW w:w="4060" w:type="dxa"/>
            <w:vAlign w:val="bottom"/>
          </w:tcPr>
          <w:p>
            <w:pPr>
              <w:spacing w:after="0"/>
              <w:rPr>
                <w:sz w:val="17"/>
                <w:szCs w:val="17"/>
                <w:color w:val="auto"/>
              </w:rPr>
            </w:pPr>
          </w:p>
        </w:tc>
        <w:tc>
          <w:tcPr>
            <w:tcW w:w="13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36" w:right="1440" w:bottom="1440" w:gutter="0" w:footer="0" w:header="0"/>
        </w:sectPr>
      </w:pPr>
    </w:p>
    <w:bookmarkStart w:id="104" w:name="page105"/>
    <w:bookmarkEnd w:id="104"/>
    <w:p>
      <w:pPr>
        <w:ind w:left="2420"/>
        <w:spacing w:after="0"/>
        <w:rPr>
          <w:sz w:val="20"/>
          <w:szCs w:val="20"/>
          <w:color w:val="auto"/>
        </w:rPr>
      </w:pPr>
      <w:r>
        <w:rPr>
          <w:rFonts w:ascii="Courier New" w:cs="Courier New" w:eastAsia="Courier New" w:hAnsi="Courier New"/>
          <w:sz w:val="18"/>
          <w:szCs w:val="18"/>
          <w:color w:val="auto"/>
        </w:rPr>
        <w:t>Exhibit 21.1</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MICRON TECHNOLOGY, INC.</w:t>
      </w:r>
    </w:p>
    <w:p>
      <w:pPr>
        <w:spacing w:after="0" w:line="207"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Subsidiaries of the Registrant</w:t>
      </w:r>
    </w:p>
    <w:p>
      <w:pPr>
        <w:sectPr>
          <w:pgSz w:w="11900" w:h="16838" w:orient="portrait"/>
          <w:cols w:equalWidth="0" w:num="1">
            <w:col w:w="9579"/>
          </w:cols>
          <w:pgMar w:left="88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(or jurisdiction)</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in which</w:t>
      </w:r>
    </w:p>
    <w:p>
      <w:pPr>
        <w:ind w:left="640"/>
        <w:spacing w:after="0" w:line="238" w:lineRule="auto"/>
        <w:rPr>
          <w:sz w:val="20"/>
          <w:szCs w:val="20"/>
          <w:color w:val="auto"/>
        </w:rPr>
      </w:pPr>
      <w:r>
        <w:rPr>
          <w:rFonts w:ascii="Courier New" w:cs="Courier New" w:eastAsia="Courier New" w:hAnsi="Courier New"/>
          <w:sz w:val="18"/>
          <w:szCs w:val="18"/>
          <w:color w:val="auto"/>
        </w:rPr>
        <w:t>Incorporated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320" w:space="520"/>
            <w:col w:w="4739"/>
          </w:cols>
          <w:pgMar w:left="880" w:top="136"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Micron Communications, Inc.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Idaho</w:t>
      </w:r>
    </w:p>
    <w:p>
      <w:pPr>
        <w:spacing w:after="0" w:line="200" w:lineRule="exact"/>
        <w:rPr>
          <w:sz w:val="20"/>
          <w:szCs w:val="20"/>
          <w:color w:val="auto"/>
        </w:rPr>
      </w:pPr>
    </w:p>
    <w:p>
      <w:pPr>
        <w:sectPr>
          <w:pgSz w:w="11900" w:h="16838" w:orient="portrait"/>
          <w:cols w:equalWidth="0" w:num="2">
            <w:col w:w="4660" w:space="720"/>
            <w:col w:w="4199"/>
          </w:cols>
          <w:pgMar w:left="880" w:top="136"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Micron Construction, Inc.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Idaho</w:t>
      </w:r>
    </w:p>
    <w:p>
      <w:pPr>
        <w:spacing w:after="0" w:line="200" w:lineRule="exact"/>
        <w:rPr>
          <w:sz w:val="20"/>
          <w:szCs w:val="20"/>
          <w:color w:val="auto"/>
        </w:rPr>
      </w:pPr>
    </w:p>
    <w:p>
      <w:pPr>
        <w:sectPr>
          <w:pgSz w:w="11900" w:h="16838" w:orient="portrait"/>
          <w:cols w:equalWidth="0" w:num="2">
            <w:col w:w="4660" w:space="720"/>
            <w:col w:w="4199"/>
          </w:cols>
          <w:pgMar w:left="880" w:top="136"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Micron Display Technology, Inc.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Idaho</w:t>
      </w:r>
    </w:p>
    <w:p>
      <w:pPr>
        <w:spacing w:after="0" w:line="200" w:lineRule="exact"/>
        <w:rPr>
          <w:sz w:val="20"/>
          <w:szCs w:val="20"/>
          <w:color w:val="auto"/>
        </w:rPr>
      </w:pPr>
    </w:p>
    <w:p>
      <w:pPr>
        <w:sectPr>
          <w:pgSz w:w="11900" w:h="16838" w:orient="portrait"/>
          <w:cols w:equalWidth="0" w:num="2">
            <w:col w:w="4660" w:space="720"/>
            <w:col w:w="4199"/>
          </w:cols>
          <w:pgMar w:left="880" w:top="136"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Micron Electronics, Inc.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Minnesota</w:t>
      </w:r>
    </w:p>
    <w:p>
      <w:pPr>
        <w:spacing w:after="0" w:line="200" w:lineRule="exact"/>
        <w:rPr>
          <w:sz w:val="20"/>
          <w:szCs w:val="20"/>
          <w:color w:val="auto"/>
        </w:rPr>
      </w:pPr>
    </w:p>
    <w:p>
      <w:pPr>
        <w:sectPr>
          <w:pgSz w:w="11900" w:h="16838" w:orient="portrait"/>
          <w:cols w:equalWidth="0" w:num="2">
            <w:col w:w="4660" w:space="720"/>
            <w:col w:w="4199"/>
          </w:cols>
          <w:pgMar w:left="880" w:top="136"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Micron Europe Limited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Kingdom</w:t>
      </w:r>
    </w:p>
    <w:p>
      <w:pPr>
        <w:spacing w:after="0" w:line="200" w:lineRule="exact"/>
        <w:rPr>
          <w:sz w:val="20"/>
          <w:szCs w:val="20"/>
          <w:color w:val="auto"/>
        </w:rPr>
      </w:pPr>
    </w:p>
    <w:p>
      <w:pPr>
        <w:sectPr>
          <w:pgSz w:w="11900" w:h="16838" w:orient="portrait"/>
          <w:cols w:equalWidth="0" w:num="2">
            <w:col w:w="4660" w:space="720"/>
            <w:col w:w="4199"/>
          </w:cols>
          <w:pgMar w:left="880" w:top="136"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Micron Overseas Trading, Inc.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Virgin Islands</w:t>
      </w:r>
    </w:p>
    <w:p>
      <w:pPr>
        <w:spacing w:after="0" w:line="200" w:lineRule="exact"/>
        <w:rPr>
          <w:sz w:val="20"/>
          <w:szCs w:val="20"/>
          <w:color w:val="auto"/>
        </w:rPr>
      </w:pPr>
    </w:p>
    <w:p>
      <w:pPr>
        <w:sectPr>
          <w:pgSz w:w="11900" w:h="16838" w:orient="portrait"/>
          <w:cols w:equalWidth="0" w:num="2">
            <w:col w:w="4660" w:space="720"/>
            <w:col w:w="4199"/>
          </w:cols>
          <w:pgMar w:left="880" w:top="136"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Micron Quantum Devices, Inc.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California</w:t>
      </w:r>
    </w:p>
    <w:p>
      <w:pPr>
        <w:spacing w:after="0" w:line="200" w:lineRule="exact"/>
        <w:rPr>
          <w:sz w:val="20"/>
          <w:szCs w:val="20"/>
          <w:color w:val="auto"/>
        </w:rPr>
      </w:pPr>
    </w:p>
    <w:p>
      <w:pPr>
        <w:sectPr>
          <w:pgSz w:w="11900" w:h="16838" w:orient="portrait"/>
          <w:cols w:equalWidth="0" w:num="2">
            <w:col w:w="4660" w:space="720"/>
            <w:col w:w="4199"/>
          </w:cols>
          <w:pgMar w:left="880" w:top="136"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Micron Semiconductor Asia Pacific Pte. Ltd.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Singapore</w:t>
      </w:r>
    </w:p>
    <w:p>
      <w:pPr>
        <w:spacing w:after="0" w:line="200" w:lineRule="exact"/>
        <w:rPr>
          <w:sz w:val="20"/>
          <w:szCs w:val="20"/>
          <w:color w:val="auto"/>
        </w:rPr>
      </w:pPr>
    </w:p>
    <w:p>
      <w:pPr>
        <w:sectPr>
          <w:pgSz w:w="11900" w:h="16838" w:orient="portrait"/>
          <w:cols w:equalWidth="0" w:num="2">
            <w:col w:w="4660" w:space="720"/>
            <w:col w:w="4199"/>
          </w:cols>
          <w:pgMar w:left="880" w:top="136"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Micron Semiconductor Asia Pacific Inc.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Idaho</w:t>
      </w:r>
    </w:p>
    <w:p>
      <w:pPr>
        <w:spacing w:after="0" w:line="200" w:lineRule="exact"/>
        <w:rPr>
          <w:sz w:val="20"/>
          <w:szCs w:val="20"/>
          <w:color w:val="auto"/>
        </w:rPr>
      </w:pPr>
    </w:p>
    <w:p>
      <w:pPr>
        <w:sectPr>
          <w:pgSz w:w="11900" w:h="16838" w:orient="portrait"/>
          <w:cols w:equalWidth="0" w:num="2">
            <w:col w:w="4660" w:space="720"/>
            <w:col w:w="4199"/>
          </w:cols>
          <w:pgMar w:left="880" w:top="136"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Micron Semiconductor (Deutschland) GMbH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Germany</w:t>
      </w:r>
    </w:p>
    <w:p>
      <w:pPr>
        <w:sectPr>
          <w:pgSz w:w="11900" w:h="16838" w:orient="portrait"/>
          <w:cols w:equalWidth="0" w:num="2">
            <w:col w:w="4660" w:space="720"/>
            <w:col w:w="4199"/>
          </w:cols>
          <w:pgMar w:left="880" w:top="136" w:right="1440" w:bottom="1440" w:gutter="0" w:footer="0" w:header="0"/>
          <w:type w:val="continuous"/>
        </w:sectPr>
      </w:pPr>
    </w:p>
    <w:bookmarkStart w:id="105" w:name="page106"/>
    <w:bookmarkEnd w:id="105"/>
    <w:p>
      <w:pPr>
        <w:jc w:val="center"/>
        <w:ind w:right="283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0" w:lineRule="exact"/>
        <w:rPr>
          <w:sz w:val="20"/>
          <w:szCs w:val="20"/>
          <w:color w:val="auto"/>
        </w:rPr>
      </w:pPr>
    </w:p>
    <w:p>
      <w:pPr>
        <w:spacing w:after="0" w:line="209" w:lineRule="exact"/>
        <w:rPr>
          <w:sz w:val="20"/>
          <w:szCs w:val="20"/>
          <w:color w:val="auto"/>
        </w:rPr>
      </w:pPr>
    </w:p>
    <w:p>
      <w:pPr>
        <w:ind w:right="2939" w:firstLine="527"/>
        <w:spacing w:after="0" w:line="268" w:lineRule="auto"/>
        <w:rPr>
          <w:sz w:val="20"/>
          <w:szCs w:val="20"/>
          <w:color w:val="auto"/>
        </w:rPr>
      </w:pPr>
      <w:r>
        <w:rPr>
          <w:rFonts w:ascii="Courier New" w:cs="Courier New" w:eastAsia="Courier New" w:hAnsi="Courier New"/>
          <w:sz w:val="16"/>
          <w:szCs w:val="16"/>
          <w:color w:val="auto"/>
        </w:rPr>
        <w:t>We consent to the incorporation by reference in the registration statements of Micron Technology, Inc., on Forms S-8 (File Nos.</w:t>
      </w:r>
    </w:p>
    <w:p>
      <w:pPr>
        <w:ind w:right="2619"/>
        <w:spacing w:after="0" w:line="237" w:lineRule="auto"/>
        <w:rPr>
          <w:sz w:val="20"/>
          <w:szCs w:val="20"/>
          <w:color w:val="auto"/>
        </w:rPr>
      </w:pPr>
      <w:r>
        <w:rPr>
          <w:rFonts w:ascii="Courier New" w:cs="Courier New" w:eastAsia="Courier New" w:hAnsi="Courier New"/>
          <w:sz w:val="18"/>
          <w:szCs w:val="18"/>
          <w:color w:val="auto"/>
        </w:rPr>
        <w:t>33-3686, 33-16832, 33-27078, 33-38665, 33-38926, 33-65050, 33-52653, and 33-57887) of our report, which includes an explanatory paragraph regarding contingencies related to product and process technology, dated September 21, 1995, on our audits of the consolidated financial statements of Micron Technology, Inc., as of August 31, 1995, and September 1, 1994, and for each of the three years in the period ended August 31, 1995, which report is included in this Annual Report on Form 10-K.</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Coopers &amp; Lybrand L.L.P.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Boise, Idaho</w:t>
      </w:r>
    </w:p>
    <w:p>
      <w:pPr>
        <w:spacing w:after="0" w:line="238" w:lineRule="auto"/>
        <w:rPr>
          <w:sz w:val="20"/>
          <w:szCs w:val="20"/>
          <w:color w:val="auto"/>
        </w:rPr>
      </w:pPr>
      <w:r>
        <w:rPr>
          <w:rFonts w:ascii="Courier New" w:cs="Courier New" w:eastAsia="Courier New" w:hAnsi="Courier New"/>
          <w:sz w:val="18"/>
          <w:szCs w:val="18"/>
          <w:color w:val="auto"/>
        </w:rPr>
        <w:t>September 21, 1995</w:t>
      </w:r>
    </w:p>
    <w:p>
      <w:pPr>
        <w:sectPr>
          <w:pgSz w:w="11900" w:h="16838" w:orient="portrait"/>
          <w:cols w:equalWidth="0" w:num="1">
            <w:col w:w="10219"/>
          </w:cols>
          <w:pgMar w:left="240" w:top="136" w:right="1440" w:bottom="1440" w:gutter="0" w:footer="0" w:header="0"/>
        </w:sectPr>
      </w:pPr>
    </w:p>
    <w:bookmarkStart w:id="106" w:name="page107"/>
    <w:bookmarkEnd w:id="106"/>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599" w:firstLine="527"/>
        <w:spacing w:after="0" w:line="236" w:lineRule="auto"/>
        <w:rPr>
          <w:sz w:val="20"/>
          <w:szCs w:val="20"/>
          <w:color w:val="auto"/>
        </w:rPr>
      </w:pPr>
      <w:r>
        <w:rPr>
          <w:rFonts w:ascii="Courier New" w:cs="Courier New" w:eastAsia="Courier New" w:hAnsi="Courier New"/>
          <w:sz w:val="18"/>
          <w:szCs w:val="18"/>
          <w:color w:val="auto"/>
        </w:rPr>
        <w:t>This schedule contains summary financial information extracted from the accompanying financial statements and is qualified in its entirety by reference to such financial statements.</w:t>
      </w:r>
    </w:p>
    <w:p>
      <w:pPr>
        <w:spacing w:after="0" w:line="203"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YEAR</w:t>
      </w:r>
    </w:p>
    <w:p>
      <w:pPr>
        <w:ind w:left="2700"/>
        <w:spacing w:after="0" w:line="238" w:lineRule="auto"/>
        <w:rPr>
          <w:sz w:val="20"/>
          <w:szCs w:val="20"/>
          <w:color w:val="auto"/>
        </w:rPr>
      </w:pPr>
      <w:r>
        <w:rPr>
          <w:rFonts w:ascii="Courier New" w:cs="Courier New" w:eastAsia="Courier New" w:hAnsi="Courier New"/>
          <w:sz w:val="18"/>
          <w:szCs w:val="18"/>
          <w:color w:val="auto"/>
        </w:rPr>
        <w:t>AUG-31-1995</w:t>
      </w:r>
    </w:p>
    <w:p>
      <w:pPr>
        <w:ind w:left="3240"/>
        <w:spacing w:after="0"/>
        <w:rPr>
          <w:sz w:val="20"/>
          <w:szCs w:val="20"/>
          <w:color w:val="auto"/>
        </w:rPr>
      </w:pPr>
      <w:r>
        <w:rPr>
          <w:rFonts w:ascii="Courier New" w:cs="Courier New" w:eastAsia="Courier New" w:hAnsi="Courier New"/>
          <w:sz w:val="18"/>
          <w:szCs w:val="18"/>
          <w:color w:val="auto"/>
        </w:rPr>
        <w:t>AUG-31-1995</w:t>
      </w:r>
    </w:p>
    <w:p>
      <w:pPr>
        <w:jc w:val="center"/>
        <w:ind w:right="439"/>
        <w:spacing w:after="0" w:line="237" w:lineRule="auto"/>
        <w:rPr>
          <w:sz w:val="20"/>
          <w:szCs w:val="20"/>
          <w:color w:val="auto"/>
        </w:rPr>
      </w:pPr>
      <w:r>
        <w:rPr>
          <w:rFonts w:ascii="Courier New" w:cs="Courier New" w:eastAsia="Courier New" w:hAnsi="Courier New"/>
          <w:sz w:val="18"/>
          <w:szCs w:val="18"/>
          <w:color w:val="auto"/>
        </w:rPr>
        <w:t>128</w:t>
      </w:r>
    </w:p>
    <w:p>
      <w:pPr>
        <w:ind w:left="4080"/>
        <w:spacing w:after="0" w:line="238" w:lineRule="auto"/>
        <w:rPr>
          <w:sz w:val="20"/>
          <w:szCs w:val="20"/>
          <w:color w:val="auto"/>
        </w:rPr>
      </w:pPr>
      <w:r>
        <w:rPr>
          <w:rFonts w:ascii="Courier New" w:cs="Courier New" w:eastAsia="Courier New" w:hAnsi="Courier New"/>
          <w:sz w:val="18"/>
          <w:szCs w:val="18"/>
          <w:color w:val="auto"/>
        </w:rPr>
        <w:t>428</w:t>
      </w:r>
    </w:p>
    <w:p>
      <w:pPr>
        <w:ind w:left="3980"/>
        <w:spacing w:after="0"/>
        <w:rPr>
          <w:sz w:val="20"/>
          <w:szCs w:val="20"/>
          <w:color w:val="auto"/>
        </w:rPr>
      </w:pPr>
      <w:r>
        <w:rPr>
          <w:rFonts w:ascii="Courier New" w:cs="Courier New" w:eastAsia="Courier New" w:hAnsi="Courier New"/>
          <w:sz w:val="18"/>
          <w:szCs w:val="18"/>
          <w:color w:val="auto"/>
        </w:rPr>
        <w:t>472</w:t>
      </w:r>
    </w:p>
    <w:p>
      <w:pPr>
        <w:ind w:left="4180"/>
        <w:spacing w:after="0" w:line="237" w:lineRule="auto"/>
        <w:rPr>
          <w:sz w:val="20"/>
          <w:szCs w:val="20"/>
          <w:color w:val="auto"/>
        </w:rPr>
      </w:pPr>
      <w:r>
        <w:rPr>
          <w:rFonts w:ascii="Courier New" w:cs="Courier New" w:eastAsia="Courier New" w:hAnsi="Courier New"/>
          <w:sz w:val="18"/>
          <w:szCs w:val="18"/>
          <w:color w:val="auto"/>
        </w:rPr>
        <w:t>17</w:t>
      </w:r>
    </w:p>
    <w:p>
      <w:pPr>
        <w:ind w:left="4180"/>
        <w:spacing w:after="0"/>
        <w:rPr>
          <w:sz w:val="20"/>
          <w:szCs w:val="20"/>
          <w:color w:val="auto"/>
        </w:rPr>
      </w:pPr>
      <w:r>
        <w:rPr>
          <w:rFonts w:ascii="Courier New" w:cs="Courier New" w:eastAsia="Courier New" w:hAnsi="Courier New"/>
          <w:sz w:val="18"/>
          <w:szCs w:val="18"/>
          <w:color w:val="auto"/>
        </w:rPr>
        <w:t>205</w:t>
      </w:r>
    </w:p>
    <w:p>
      <w:pPr>
        <w:ind w:left="3440"/>
        <w:spacing w:after="0" w:line="237" w:lineRule="auto"/>
        <w:rPr>
          <w:sz w:val="20"/>
          <w:szCs w:val="20"/>
          <w:color w:val="auto"/>
        </w:rPr>
      </w:pPr>
      <w:r>
        <w:rPr>
          <w:rFonts w:ascii="Courier New" w:cs="Courier New" w:eastAsia="Courier New" w:hAnsi="Courier New"/>
          <w:sz w:val="18"/>
          <w:szCs w:val="18"/>
          <w:color w:val="auto"/>
        </w:rPr>
        <w:t>1,274</w:t>
      </w:r>
    </w:p>
    <w:p>
      <w:pPr>
        <w:ind w:left="4500"/>
        <w:spacing w:after="0"/>
        <w:rPr>
          <w:sz w:val="20"/>
          <w:szCs w:val="20"/>
          <w:color w:val="auto"/>
        </w:rPr>
      </w:pPr>
      <w:r>
        <w:rPr>
          <w:rFonts w:ascii="Courier New" w:cs="Courier New" w:eastAsia="Courier New" w:hAnsi="Courier New"/>
          <w:sz w:val="18"/>
          <w:szCs w:val="18"/>
          <w:color w:val="auto"/>
        </w:rPr>
        <w:t>2,024</w:t>
      </w:r>
    </w:p>
    <w:p>
      <w:pPr>
        <w:ind w:left="3860"/>
        <w:spacing w:after="0" w:line="237" w:lineRule="auto"/>
        <w:rPr>
          <w:sz w:val="20"/>
          <w:szCs w:val="20"/>
          <w:color w:val="auto"/>
        </w:rPr>
      </w:pPr>
      <w:r>
        <w:rPr>
          <w:rFonts w:ascii="Courier New" w:cs="Courier New" w:eastAsia="Courier New" w:hAnsi="Courier New"/>
          <w:sz w:val="18"/>
          <w:szCs w:val="18"/>
          <w:color w:val="auto"/>
        </w:rPr>
        <w:t>638</w:t>
      </w:r>
    </w:p>
    <w:p>
      <w:pPr>
        <w:ind w:left="3660"/>
        <w:spacing w:after="0" w:line="238" w:lineRule="auto"/>
        <w:rPr>
          <w:sz w:val="20"/>
          <w:szCs w:val="20"/>
          <w:color w:val="auto"/>
        </w:rPr>
      </w:pPr>
      <w:r>
        <w:rPr>
          <w:rFonts w:ascii="Courier New" w:cs="Courier New" w:eastAsia="Courier New" w:hAnsi="Courier New"/>
          <w:sz w:val="18"/>
          <w:szCs w:val="18"/>
          <w:color w:val="auto"/>
        </w:rPr>
        <w:t>2,775</w:t>
      </w:r>
    </w:p>
    <w:p>
      <w:pPr>
        <w:ind w:left="3120"/>
        <w:spacing w:after="0"/>
        <w:rPr>
          <w:sz w:val="20"/>
          <w:szCs w:val="20"/>
          <w:color w:val="auto"/>
        </w:rPr>
      </w:pPr>
      <w:r>
        <w:rPr>
          <w:rFonts w:ascii="Courier New" w:cs="Courier New" w:eastAsia="Courier New" w:hAnsi="Courier New"/>
          <w:sz w:val="18"/>
          <w:szCs w:val="18"/>
          <w:color w:val="auto"/>
        </w:rPr>
        <w:t>605</w:t>
      </w:r>
    </w:p>
    <w:p>
      <w:pPr>
        <w:jc w:val="center"/>
        <w:ind w:right="439"/>
        <w:spacing w:after="0" w:line="237"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21</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4080"/>
        <w:spacing w:after="0" w:line="237" w:lineRule="auto"/>
        <w:rPr>
          <w:sz w:val="20"/>
          <w:szCs w:val="20"/>
          <w:color w:val="auto"/>
        </w:rPr>
      </w:pPr>
      <w:r>
        <w:rPr>
          <w:rFonts w:ascii="Courier New" w:cs="Courier New" w:eastAsia="Courier New" w:hAnsi="Courier New"/>
          <w:sz w:val="18"/>
          <w:szCs w:val="18"/>
          <w:color w:val="auto"/>
        </w:rPr>
        <w:t>1,877</w:t>
      </w:r>
    </w:p>
    <w:p>
      <w:pPr>
        <w:ind w:left="2180"/>
        <w:spacing w:after="0" w:line="238" w:lineRule="auto"/>
        <w:rPr>
          <w:sz w:val="20"/>
          <w:szCs w:val="20"/>
          <w:color w:val="auto"/>
        </w:rPr>
      </w:pPr>
      <w:r>
        <w:rPr>
          <w:rFonts w:ascii="Courier New" w:cs="Courier New" w:eastAsia="Courier New" w:hAnsi="Courier New"/>
          <w:sz w:val="18"/>
          <w:szCs w:val="18"/>
          <w:color w:val="auto"/>
        </w:rPr>
        <w:t>2,775</w:t>
      </w:r>
    </w:p>
    <w:p>
      <w:pPr>
        <w:ind w:left="4400"/>
        <w:spacing w:after="0"/>
        <w:rPr>
          <w:sz w:val="20"/>
          <w:szCs w:val="20"/>
          <w:color w:val="auto"/>
        </w:rPr>
      </w:pPr>
      <w:r>
        <w:rPr>
          <w:rFonts w:ascii="Courier New" w:cs="Courier New" w:eastAsia="Courier New" w:hAnsi="Courier New"/>
          <w:sz w:val="18"/>
          <w:szCs w:val="18"/>
          <w:color w:val="auto"/>
        </w:rPr>
        <w:t>2,953</w:t>
      </w:r>
    </w:p>
    <w:p>
      <w:pPr>
        <w:ind w:left="3440"/>
        <w:spacing w:after="0" w:line="237" w:lineRule="auto"/>
        <w:rPr>
          <w:sz w:val="20"/>
          <w:szCs w:val="20"/>
          <w:color w:val="auto"/>
        </w:rPr>
      </w:pPr>
      <w:r>
        <w:rPr>
          <w:rFonts w:ascii="Courier New" w:cs="Courier New" w:eastAsia="Courier New" w:hAnsi="Courier New"/>
          <w:sz w:val="18"/>
          <w:szCs w:val="18"/>
          <w:color w:val="auto"/>
        </w:rPr>
        <w:t>2,953</w:t>
      </w:r>
    </w:p>
    <w:p>
      <w:pPr>
        <w:jc w:val="center"/>
        <w:ind w:right="439"/>
        <w:spacing w:after="0"/>
        <w:rPr>
          <w:sz w:val="20"/>
          <w:szCs w:val="20"/>
          <w:color w:val="auto"/>
        </w:rPr>
      </w:pPr>
      <w:r>
        <w:rPr>
          <w:rFonts w:ascii="Courier New" w:cs="Courier New" w:eastAsia="Courier New" w:hAnsi="Courier New"/>
          <w:sz w:val="18"/>
          <w:szCs w:val="18"/>
          <w:color w:val="auto"/>
        </w:rPr>
        <w:t>1,329</w:t>
      </w:r>
    </w:p>
    <w:p>
      <w:pPr>
        <w:ind w:left="3760"/>
        <w:spacing w:after="0" w:line="237" w:lineRule="auto"/>
        <w:rPr>
          <w:sz w:val="20"/>
          <w:szCs w:val="20"/>
          <w:color w:val="auto"/>
        </w:rPr>
      </w:pPr>
      <w:r>
        <w:rPr>
          <w:rFonts w:ascii="Courier New" w:cs="Courier New" w:eastAsia="Courier New" w:hAnsi="Courier New"/>
          <w:sz w:val="18"/>
          <w:szCs w:val="18"/>
          <w:color w:val="auto"/>
        </w:rPr>
        <w:t>1,656</w:t>
      </w:r>
    </w:p>
    <w:p>
      <w:pPr>
        <w:ind w:left="3540"/>
        <w:spacing w:after="0"/>
        <w:rPr>
          <w:sz w:val="20"/>
          <w:szCs w:val="20"/>
          <w:color w:val="auto"/>
        </w:rPr>
      </w:pPr>
      <w:r>
        <w:rPr>
          <w:rFonts w:ascii="Courier New" w:cs="Courier New" w:eastAsia="Courier New" w:hAnsi="Courier New"/>
          <w:sz w:val="18"/>
          <w:szCs w:val="18"/>
          <w:color w:val="auto"/>
        </w:rPr>
        <w:t>(29)</w:t>
      </w:r>
    </w:p>
    <w:p>
      <w:pPr>
        <w:ind w:left="3860"/>
        <w:spacing w:after="0" w:line="237" w:lineRule="auto"/>
        <w:rPr>
          <w:sz w:val="20"/>
          <w:szCs w:val="20"/>
          <w:color w:val="auto"/>
        </w:rPr>
      </w:pPr>
      <w:r>
        <w:rPr>
          <w:rFonts w:ascii="Courier New" w:cs="Courier New" w:eastAsia="Courier New" w:hAnsi="Courier New"/>
          <w:sz w:val="18"/>
          <w:szCs w:val="18"/>
          <w:color w:val="auto"/>
        </w:rPr>
        <w:t>0</w:t>
      </w:r>
    </w:p>
    <w:p>
      <w:pPr>
        <w:ind w:left="3340"/>
        <w:spacing w:after="0"/>
        <w:rPr>
          <w:sz w:val="20"/>
          <w:szCs w:val="20"/>
          <w:color w:val="auto"/>
        </w:rPr>
      </w:pPr>
      <w:r>
        <w:rPr>
          <w:rFonts w:ascii="Courier New" w:cs="Courier New" w:eastAsia="Courier New" w:hAnsi="Courier New"/>
          <w:sz w:val="18"/>
          <w:szCs w:val="18"/>
          <w:color w:val="auto"/>
        </w:rPr>
        <w:t>(25)</w:t>
      </w:r>
    </w:p>
    <w:p>
      <w:pPr>
        <w:ind w:left="3540"/>
        <w:spacing w:after="0" w:line="237" w:lineRule="auto"/>
        <w:rPr>
          <w:sz w:val="20"/>
          <w:szCs w:val="20"/>
          <w:color w:val="auto"/>
        </w:rPr>
      </w:pPr>
      <w:r>
        <w:rPr>
          <w:rFonts w:ascii="Courier New" w:cs="Courier New" w:eastAsia="Courier New" w:hAnsi="Courier New"/>
          <w:sz w:val="18"/>
          <w:szCs w:val="18"/>
          <w:color w:val="auto"/>
        </w:rPr>
        <w:t>1,350</w:t>
      </w:r>
    </w:p>
    <w:p>
      <w:pPr>
        <w:ind w:left="4080"/>
        <w:spacing w:after="0" w:line="238" w:lineRule="auto"/>
        <w:rPr>
          <w:sz w:val="20"/>
          <w:szCs w:val="20"/>
          <w:color w:val="auto"/>
        </w:rPr>
      </w:pPr>
      <w:r>
        <w:rPr>
          <w:rFonts w:ascii="Courier New" w:cs="Courier New" w:eastAsia="Courier New" w:hAnsi="Courier New"/>
          <w:sz w:val="18"/>
          <w:szCs w:val="18"/>
          <w:color w:val="auto"/>
        </w:rPr>
        <w:t>506</w:t>
      </w:r>
    </w:p>
    <w:p>
      <w:pPr>
        <w:ind w:left="3540"/>
        <w:spacing w:after="0"/>
        <w:rPr>
          <w:sz w:val="20"/>
          <w:szCs w:val="20"/>
          <w:color w:val="auto"/>
        </w:rPr>
      </w:pPr>
      <w:r>
        <w:rPr>
          <w:rFonts w:ascii="Courier New" w:cs="Courier New" w:eastAsia="Courier New" w:hAnsi="Courier New"/>
          <w:sz w:val="18"/>
          <w:szCs w:val="18"/>
          <w:color w:val="auto"/>
        </w:rPr>
        <w:t>0</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7" w:lineRule="auto"/>
        <w:rPr>
          <w:sz w:val="20"/>
          <w:szCs w:val="20"/>
          <w:color w:val="auto"/>
        </w:rPr>
      </w:pPr>
      <w:r>
        <w:rPr>
          <w:rFonts w:ascii="Courier New" w:cs="Courier New" w:eastAsia="Courier New" w:hAnsi="Courier New"/>
          <w:sz w:val="18"/>
          <w:szCs w:val="18"/>
          <w:color w:val="auto"/>
        </w:rPr>
        <w:t>0</w:t>
      </w:r>
    </w:p>
    <w:p>
      <w:pPr>
        <w:ind w:left="4080"/>
        <w:spacing w:after="0"/>
        <w:rPr>
          <w:sz w:val="20"/>
          <w:szCs w:val="20"/>
          <w:color w:val="auto"/>
        </w:rPr>
      </w:pPr>
      <w:r>
        <w:rPr>
          <w:rFonts w:ascii="Courier New" w:cs="Courier New" w:eastAsia="Courier New" w:hAnsi="Courier New"/>
          <w:sz w:val="18"/>
          <w:szCs w:val="18"/>
          <w:color w:val="auto"/>
        </w:rPr>
        <w:t>844</w:t>
      </w:r>
    </w:p>
    <w:p>
      <w:pPr>
        <w:ind w:left="3860"/>
        <w:spacing w:after="0" w:line="237" w:lineRule="auto"/>
        <w:rPr>
          <w:sz w:val="20"/>
          <w:szCs w:val="20"/>
          <w:color w:val="auto"/>
        </w:rPr>
      </w:pPr>
      <w:r>
        <w:rPr>
          <w:rFonts w:ascii="Courier New" w:cs="Courier New" w:eastAsia="Courier New" w:hAnsi="Courier New"/>
          <w:sz w:val="18"/>
          <w:szCs w:val="18"/>
          <w:color w:val="auto"/>
        </w:rPr>
        <w:t>3.95</w:t>
      </w:r>
    </w:p>
    <w:p>
      <w:pPr>
        <w:ind w:left="3860"/>
        <w:spacing w:after="0" w:line="238" w:lineRule="auto"/>
        <w:rPr>
          <w:sz w:val="20"/>
          <w:szCs w:val="20"/>
          <w:color w:val="auto"/>
        </w:rPr>
      </w:pPr>
      <w:r>
        <w:rPr>
          <w:rFonts w:ascii="Courier New" w:cs="Courier New" w:eastAsia="Courier New" w:hAnsi="Courier New"/>
          <w:sz w:val="18"/>
          <w:szCs w:val="18"/>
          <w:color w:val="auto"/>
        </w:rPr>
        <w:t>3.90</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upperLetter"/>
      <w:start w:val="24"/>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1)"/>
      <w:numFmt w:val="lowerLetter"/>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lvl w:ilvl="1">
      <w:lvlJc w:val="left"/>
      <w:lvlText w:val="(%2)"/>
      <w:numFmt w:val="decimal"/>
      <w:start w:val="1"/>
    </w:lvl>
  </w:abstractNum>
  <w:abstractNum w:abstractNumId="7">
    <w:nsid w:val="8138641"/>
    <w:multiLevelType w:val="hybridMultilevel"/>
    <w:lvl w:ilvl="0">
      <w:lvlJc w:val="left"/>
      <w:lvlText w:val="(%1)"/>
      <w:numFmt w:val="lowerLetter"/>
      <w:start w:val="2"/>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1."/>
      <w:numFmt w:val="decimal"/>
      <w:start w:val="5"/>
    </w:lvl>
  </w:abstractNum>
  <w:abstractNum w:abstractNumId="18">
    <w:nsid w:val="440BADFC"/>
    <w:multiLevelType w:val="hybridMultilevel"/>
    <w:lvl w:ilvl="0">
      <w:lvlJc w:val="left"/>
      <w:lvlText w:val="%1."/>
      <w:numFmt w:val="decimal"/>
      <w:start w:val="6"/>
    </w:lvl>
  </w:abstractNum>
  <w:abstractNum w:abstractNumId="19">
    <w:nsid w:val="5072367"/>
    <w:multiLevelType w:val="hybridMultilevel"/>
    <w:lvl w:ilvl="0">
      <w:lvlJc w:val="left"/>
      <w:lvlText w:val="%1."/>
      <w:numFmt w:val="decimal"/>
      <w:start w:val="9"/>
    </w:lvl>
  </w:abstractNum>
  <w:abstractNum w:abstractNumId="20">
    <w:nsid w:val="3804823E"/>
    <w:multiLevelType w:val="hybridMultilevel"/>
    <w:lvl w:ilvl="0">
      <w:lvlJc w:val="left"/>
      <w:lvlText w:val="%1."/>
      <w:numFmt w:val="decimal"/>
      <w:start w:val="10"/>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1."/>
      <w:numFmt w:val="decimal"/>
      <w:start w:val="4"/>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1."/>
      <w:numFmt w:val="decimal"/>
      <w:start w:val="4"/>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1."/>
      <w:numFmt w:val="decimal"/>
      <w:start w:val="4"/>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1."/>
      <w:numFmt w:val="decimal"/>
      <w:start w:val="2"/>
    </w:lvl>
    <w:lvl w:ilvl="1">
      <w:lvlJc w:val="left"/>
      <w:lvlText w:val="(%2)"/>
      <w:numFmt w:val="lowerLetter"/>
      <w:start w:val="1"/>
    </w:lvl>
  </w:abstractNum>
  <w:abstractNum w:abstractNumId="32">
    <w:nsid w:val="6A2342EC"/>
    <w:multiLevelType w:val="hybridMultilevel"/>
    <w:lvl w:ilvl="0">
      <w:lvlJc w:val="left"/>
      <w:lvlText w:val="(%1)"/>
      <w:numFmt w:val="lowerLetter"/>
      <w:start w:val="10"/>
    </w:lvl>
  </w:abstractNum>
  <w:abstractNum w:abstractNumId="33">
    <w:nsid w:val="2A487CB0"/>
    <w:multiLevelType w:val="hybridMultilevel"/>
    <w:lvl w:ilvl="0">
      <w:lvlJc w:val="left"/>
      <w:lvlText w:val="(%1)"/>
      <w:numFmt w:val="lowerLetter"/>
      <w:start w:val="11"/>
    </w:lvl>
    <w:lvl w:ilvl="1">
      <w:lvlJc w:val="left"/>
      <w:lvlText w:val="(%2)"/>
      <w:numFmt w:val="lowerRoman"/>
      <w:start w:val="1"/>
    </w:lvl>
  </w:abstractNum>
  <w:abstractNum w:abstractNumId="34">
    <w:nsid w:val="1D4ED43B"/>
    <w:multiLevelType w:val="hybridMultilevel"/>
    <w:lvl w:ilvl="0">
      <w:lvlJc w:val="left"/>
      <w:lvlText w:val="(%1)"/>
      <w:numFmt w:val="lowerLetter"/>
      <w:start w:val="16"/>
    </w:lvl>
  </w:abstractNum>
  <w:abstractNum w:abstractNumId="35">
    <w:nsid w:val="725A06FB"/>
    <w:multiLevelType w:val="hybridMultilevel"/>
    <w:lvl w:ilvl="0">
      <w:lvlJc w:val="left"/>
      <w:lvlText w:val="(%1)"/>
      <w:numFmt w:val="lowerLetter"/>
      <w:start w:val="27"/>
    </w:lvl>
  </w:abstractNum>
  <w:abstractNum w:abstractNumId="36">
    <w:nsid w:val="2CD89A32"/>
    <w:multiLevelType w:val="hybridMultilevel"/>
    <w:lvl w:ilvl="0">
      <w:lvlJc w:val="left"/>
      <w:lvlText w:val="%1."/>
      <w:numFmt w:val="decimal"/>
      <w:start w:val="3"/>
    </w:lvl>
  </w:abstractNum>
  <w:abstractNum w:abstractNumId="37">
    <w:nsid w:val="57E4CCA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8">
    <w:nsid w:val="7A6D8D3C"/>
    <w:multiLevelType w:val="hybridMultilevel"/>
    <w:lvl w:ilvl="0">
      <w:lvlJc w:val="left"/>
      <w:lvlText w:val="(%1)"/>
      <w:numFmt w:val="lowerRoman"/>
      <w:start w:val="1"/>
    </w:lvl>
  </w:abstractNum>
  <w:abstractNum w:abstractNumId="39">
    <w:nsid w:val="4B588F5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0">
    <w:nsid w:val="542289E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1">
    <w:nsid w:val="6DE91B18"/>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2">
    <w:nsid w:val="38437FD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4"/>
    </w:lvl>
  </w:abstractNum>
  <w:abstractNum w:abstractNumId="43">
    <w:nsid w:val="7644A45C"/>
    <w:multiLevelType w:val="hybridMultilevel"/>
    <w:lvl w:ilvl="0">
      <w:lvlJc w:val="left"/>
      <w:lvlText w:val="(%1)"/>
      <w:numFmt w:val="upperLetter"/>
      <w:start w:val="2"/>
    </w:lvl>
    <w:lvl w:ilvl="1">
      <w:lvlJc w:val="left"/>
      <w:lvlText w:val="%2."/>
      <w:numFmt w:val="decimal"/>
      <w:start w:val="9"/>
    </w:lvl>
    <w:lvl w:ilvl="2">
      <w:lvlJc w:val="left"/>
      <w:lvlText w:val="(%3)"/>
      <w:numFmt w:val="lowerLetter"/>
      <w:start w:val="1"/>
    </w:lvl>
    <w:lvl w:ilvl="3">
      <w:lvlJc w:val="left"/>
      <w:lvlText w:val="(%4)"/>
      <w:numFmt w:val="lowerRoman"/>
      <w:start w:val="5"/>
    </w:lvl>
  </w:abstractNum>
  <w:abstractNum w:abstractNumId="44">
    <w:nsid w:val="32FFF902"/>
    <w:multiLevelType w:val="hybridMultilevel"/>
    <w:lvl w:ilvl="0">
      <w:lvlJc w:val="left"/>
      <w:lvlText w:val="(%1)"/>
      <w:numFmt w:val="lowerLetter"/>
      <w:start w:val="2"/>
    </w:lvl>
  </w:abstractNum>
  <w:abstractNum w:abstractNumId="45">
    <w:nsid w:val="684A481A"/>
    <w:multiLevelType w:val="hybridMultilevel"/>
    <w:lvl w:ilvl="0">
      <w:lvlJc w:val="left"/>
      <w:lvlText w:val="(%1)"/>
      <w:numFmt w:val="lowerLetter"/>
      <w:start w:val="6"/>
    </w:lvl>
  </w:abstractNum>
  <w:abstractNum w:abstractNumId="46">
    <w:nsid w:val="579478FE"/>
    <w:multiLevelType w:val="hybridMultilevel"/>
    <w:lvl w:ilvl="0">
      <w:lvlJc w:val="left"/>
      <w:lvlText w:val="%1."/>
      <w:numFmt w:val="decimal"/>
      <w:start w:val="11"/>
    </w:lvl>
    <w:lvl w:ilvl="1">
      <w:lvlJc w:val="left"/>
      <w:lvlText w:val="(%2)"/>
      <w:numFmt w:val="lowerLetter"/>
      <w:start w:val="1"/>
    </w:lvl>
  </w:abstractNum>
  <w:abstractNum w:abstractNumId="47">
    <w:nsid w:val="749ABB43"/>
    <w:multiLevelType w:val="hybridMultilevel"/>
    <w:lvl w:ilvl="0">
      <w:lvlJc w:val="left"/>
      <w:lvlText w:val="%1"/>
      <w:numFmt w:val="decimal"/>
      <w:start w:val="1"/>
    </w:lvl>
    <w:lvl w:ilvl="1">
      <w:lvlJc w:val="left"/>
      <w:lvlText w:val="(%2)"/>
      <w:numFmt w:val="lowerLetter"/>
      <w:start w:val="4"/>
    </w:lvl>
  </w:abstractNum>
  <w:abstractNum w:abstractNumId="48">
    <w:nsid w:val="3DC240FB"/>
    <w:multiLevelType w:val="hybridMultilevel"/>
    <w:lvl w:ilvl="0">
      <w:lvlJc w:val="left"/>
      <w:lvlText w:val="%1."/>
      <w:numFmt w:val="decimal"/>
      <w:start w:val="13"/>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2"/>
    </w:lvl>
  </w:abstractNum>
  <w:abstractNum w:abstractNumId="50">
    <w:nsid w:val="79A1DEAA"/>
    <w:multiLevelType w:val="hybridMultilevel"/>
    <w:lvl w:ilvl="0">
      <w:lvlJc w:val="left"/>
      <w:lvlText w:val="%1."/>
      <w:numFmt w:val="decimal"/>
      <w:start w:val="16"/>
    </w:lvl>
    <w:lvl w:ilvl="1">
      <w:lvlJc w:val="left"/>
      <w:lvlText w:val="(%2)"/>
      <w:numFmt w:val="lowerLetter"/>
      <w:start w:val="1"/>
    </w:lvl>
  </w:abstractNum>
  <w:abstractNum w:abstractNumId="51">
    <w:nsid w:val="75C6C33A"/>
    <w:multiLevelType w:val="hybridMultilevel"/>
    <w:lvl w:ilvl="0">
      <w:lvlJc w:val="left"/>
      <w:lvlText w:val="%1."/>
      <w:numFmt w:val="decimal"/>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2019-12-13T13:15:54Z</dcterms:created>
  <dcterms:modified xsi:type="dcterms:W3CDTF">2019-12-13T13:15:54Z</dcterms:modified>
</cp:coreProperties>
</file>