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7"/>
          <w:szCs w:val="17"/>
          <w:color w:val="auto"/>
        </w:rPr>
        <w:t>SCHEDULE 14A INFORMATION</w:t>
      </w:r>
    </w:p>
    <w:p>
      <w:pPr>
        <w:spacing w:after="0" w:line="201" w:lineRule="exact"/>
        <w:rPr>
          <w:sz w:val="24"/>
          <w:szCs w:val="24"/>
          <w:color w:val="auto"/>
        </w:rPr>
      </w:pPr>
    </w:p>
    <w:p>
      <w:pPr>
        <w:ind w:left="1540" w:right="3579" w:hanging="917"/>
        <w:spacing w:after="0" w:line="243" w:lineRule="auto"/>
        <w:rPr>
          <w:sz w:val="20"/>
          <w:szCs w:val="20"/>
          <w:color w:val="auto"/>
        </w:rPr>
      </w:pPr>
      <w:r>
        <w:rPr>
          <w:rFonts w:ascii="Courier New" w:cs="Courier New" w:eastAsia="Courier New" w:hAnsi="Courier New"/>
          <w:sz w:val="17"/>
          <w:szCs w:val="17"/>
          <w:color w:val="auto"/>
        </w:rPr>
        <w:t>Proxy Statement Pursuant to Section 14(a) of the Securities Exchange Act of 1934 (Amendment No. )</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Preliminary Proxy Statement</w:t>
      </w:r>
    </w:p>
    <w:p>
      <w:pPr>
        <w:spacing w:after="0" w:line="200"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Proxy Statement</w:t>
      </w:r>
    </w:p>
    <w:p>
      <w:pPr>
        <w:spacing w:after="0" w:line="199"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200" w:lineRule="exact"/>
        <w:rPr>
          <w:rFonts w:ascii="Courier New" w:cs="Courier New" w:eastAsia="Courier New" w:hAnsi="Courier New"/>
          <w:sz w:val="17"/>
          <w:szCs w:val="17"/>
          <w:color w:val="auto"/>
        </w:rPr>
      </w:pPr>
    </w:p>
    <w:p>
      <w:pPr>
        <w:ind w:left="520" w:right="3179" w:hanging="515"/>
        <w:spacing w:after="0" w:line="243" w:lineRule="auto"/>
        <w:tabs>
          <w:tab w:leader="none" w:pos="21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Section 240.14a-11(c) or Section 2401.14a-12</w:t>
      </w:r>
    </w:p>
    <w:p>
      <w:pPr>
        <w:spacing w:after="0" w:line="198"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Micron Technology, Inc.</w:t>
      </w:r>
    </w:p>
    <w:p>
      <w:pPr>
        <w:spacing w:after="0" w:line="4" w:lineRule="exact"/>
        <w:rPr>
          <w:sz w:val="24"/>
          <w:szCs w:val="24"/>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396"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Micron Technology, Inc.</w:t>
      </w:r>
    </w:p>
    <w:p>
      <w:pPr>
        <w:spacing w:after="0" w:line="4" w:lineRule="exact"/>
        <w:rPr>
          <w:sz w:val="24"/>
          <w:szCs w:val="24"/>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$125 per Exchange Act Rules 0-11(c)(1)(ii), 14a-6(i)(1), or 14a-6(j)(2).</w:t>
      </w:r>
    </w:p>
    <w:p>
      <w:pPr>
        <w:spacing w:after="0" w:line="201" w:lineRule="exact"/>
        <w:rPr>
          <w:sz w:val="24"/>
          <w:szCs w:val="24"/>
          <w:color w:val="auto"/>
        </w:rPr>
      </w:pPr>
    </w:p>
    <w:p>
      <w:pPr>
        <w:ind w:left="520" w:right="2759" w:hanging="515"/>
        <w:spacing w:after="0" w:line="243" w:lineRule="auto"/>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spacing w:after="0" w:line="197"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9"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3"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4" w:lineRule="exact"/>
        <w:rPr>
          <w:rFonts w:ascii="Courier New" w:cs="Courier New" w:eastAsia="Courier New" w:hAnsi="Courier New"/>
          <w:sz w:val="17"/>
          <w:szCs w:val="17"/>
          <w:color w:val="auto"/>
        </w:rPr>
      </w:pPr>
    </w:p>
    <w:p>
      <w:pPr>
        <w:ind w:left="920" w:right="2759" w:hanging="405"/>
        <w:spacing w:after="0" w:line="243" w:lineRule="auto"/>
        <w:tabs>
          <w:tab w:leader="none" w:pos="9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spacing w:after="0" w:line="1"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01" w:lineRule="exact"/>
        <w:rPr>
          <w:sz w:val="24"/>
          <w:szCs w:val="24"/>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*Set forth the amount on which the filing fee is calculated and state how it was determined.</w:t>
      </w:r>
    </w:p>
    <w:p>
      <w:pPr>
        <w:spacing w:after="0" w:line="199" w:lineRule="exact"/>
        <w:rPr>
          <w:sz w:val="24"/>
          <w:szCs w:val="24"/>
          <w:color w:val="auto"/>
        </w:rPr>
      </w:pPr>
    </w:p>
    <w:p>
      <w:pPr>
        <w:ind w:right="2259" w:firstLine="5"/>
        <w:spacing w:after="0" w:line="244" w:lineRule="auto"/>
        <w:tabs>
          <w:tab w:leader="none" w:pos="20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6"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3"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3"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3"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pacing w:after="0" w:line="200" w:lineRule="exact"/>
        <w:rPr>
          <w:sz w:val="24"/>
          <w:szCs w:val="24"/>
          <w:color w:val="auto"/>
        </w:rPr>
      </w:pPr>
    </w:p>
    <w:p>
      <w:pPr>
        <w:spacing w:after="0" w:line="366"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"Preliminary Copy"</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7"/>
          <w:szCs w:val="17"/>
          <w:color w:val="auto"/>
        </w:rPr>
        <w:t>Notice of 1995 Annual Meeting of Shareholders</w:t>
      </w:r>
    </w:p>
    <w:p>
      <w:pPr>
        <w:spacing w:after="0" w:line="4"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7"/>
          <w:szCs w:val="17"/>
          <w:color w:val="auto"/>
        </w:rPr>
        <w:t>Monday, January 29, 1996</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w:t>
      </w:r>
    </w:p>
    <w:p>
      <w:pPr>
        <w:spacing w:after="0" w:line="201" w:lineRule="exact"/>
        <w:rPr>
          <w:sz w:val="24"/>
          <w:szCs w:val="24"/>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Notice Is Hereby Given that the 1995 Annual Meeting of Shareholders of Micron Technology, Inc., a Delaware corporation (the "Company"), will be held on January 29, 1996, at 9:00 a.m., Mountain Standard Time, at the Boise Centre on the Grove, 850 W. Front Street, Boise, ID 83702, for the following purposes:</w:t>
      </w:r>
    </w:p>
    <w:p>
      <w:pPr>
        <w:spacing w:after="0" w:line="198" w:lineRule="exact"/>
        <w:rPr>
          <w:sz w:val="24"/>
          <w:szCs w:val="24"/>
          <w:color w:val="auto"/>
        </w:rPr>
      </w:pPr>
    </w:p>
    <w:p>
      <w:pPr>
        <w:ind w:left="200" w:right="4199" w:firstLine="213"/>
        <w:spacing w:after="0" w:line="243" w:lineRule="auto"/>
        <w:tabs>
          <w:tab w:leader="none" w:pos="71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to serve for the ensuing year and until their successors are elected and qualified.</w:t>
      </w:r>
    </w:p>
    <w:p>
      <w:pPr>
        <w:spacing w:after="0" w:line="198" w:lineRule="exact"/>
        <w:rPr>
          <w:rFonts w:ascii="Courier New" w:cs="Courier New" w:eastAsia="Courier New" w:hAnsi="Courier New"/>
          <w:sz w:val="17"/>
          <w:szCs w:val="17"/>
          <w:color w:val="auto"/>
        </w:rPr>
      </w:pPr>
    </w:p>
    <w:p>
      <w:pPr>
        <w:ind w:left="200" w:right="3879" w:firstLine="213"/>
        <w:spacing w:after="0" w:line="243" w:lineRule="auto"/>
        <w:tabs>
          <w:tab w:leader="none" w:pos="71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Certificate of Incorporation increasing the number of authorized shares of Common Stock from 300,000,000 to 1,000,000,000 shares.</w:t>
      </w:r>
    </w:p>
    <w:p>
      <w:pPr>
        <w:sectPr>
          <w:pgSz w:w="11900" w:h="16898" w:orient="portrait"/>
          <w:cols w:equalWidth="0" w:num="1">
            <w:col w:w="10219"/>
          </w:cols>
          <w:pgMar w:left="240" w:top="245" w:right="1440" w:bottom="0" w:gutter="0" w:footer="0" w:header="0"/>
        </w:sectPr>
      </w:pPr>
    </w:p>
    <w:bookmarkStart w:id="1" w:name="page2"/>
    <w:bookmarkEnd w:id="1"/>
    <w:p>
      <w:pPr>
        <w:ind w:left="200" w:right="3779" w:firstLine="315"/>
        <w:spacing w:after="0" w:line="243" w:lineRule="auto"/>
        <w:tabs>
          <w:tab w:leader="none" w:pos="812"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1994 Stock Option Plan increasing the number of shares of Common Stock reserved for future grant from 2,000,000 to 7,000,000 shares.</w:t>
      </w:r>
    </w:p>
    <w:p>
      <w:pPr>
        <w:spacing w:after="0" w:line="199" w:lineRule="exact"/>
        <w:rPr>
          <w:rFonts w:ascii="Courier New" w:cs="Courier New" w:eastAsia="Courier New" w:hAnsi="Courier New"/>
          <w:sz w:val="17"/>
          <w:szCs w:val="17"/>
          <w:color w:val="auto"/>
        </w:rPr>
      </w:pPr>
    </w:p>
    <w:p>
      <w:pPr>
        <w:ind w:left="200" w:right="377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Coopers &amp; Lybrand L.L.P. as independent accountants of the Company for the fiscal year ending August 29, 1996.</w:t>
      </w:r>
    </w:p>
    <w:p>
      <w:pPr>
        <w:spacing w:after="0" w:line="199" w:lineRule="exact"/>
        <w:rPr>
          <w:rFonts w:ascii="Courier New" w:cs="Courier New" w:eastAsia="Courier New" w:hAnsi="Courier New"/>
          <w:sz w:val="17"/>
          <w:szCs w:val="17"/>
          <w:color w:val="auto"/>
        </w:rPr>
      </w:pPr>
    </w:p>
    <w:p>
      <w:pPr>
        <w:ind w:left="200" w:right="4199" w:firstLine="213"/>
        <w:spacing w:after="0" w:line="243" w:lineRule="auto"/>
        <w:tabs>
          <w:tab w:leader="none" w:pos="71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199" w:lineRule="exact"/>
        <w:rPr>
          <w:sz w:val="20"/>
          <w:szCs w:val="20"/>
          <w:color w:val="auto"/>
        </w:rPr>
      </w:pPr>
    </w:p>
    <w:p>
      <w:pPr>
        <w:jc w:val="both"/>
        <w:ind w:right="3579" w:firstLine="204"/>
        <w:spacing w:after="0" w:line="243" w:lineRule="auto"/>
        <w:rPr>
          <w:sz w:val="20"/>
          <w:szCs w:val="20"/>
          <w:color w:val="auto"/>
        </w:rPr>
      </w:pPr>
      <w:r>
        <w:rPr>
          <w:rFonts w:ascii="Courier New" w:cs="Courier New" w:eastAsia="Courier New" w:hAnsi="Courier New"/>
          <w:sz w:val="17"/>
          <w:szCs w:val="17"/>
          <w:color w:val="auto"/>
        </w:rPr>
        <w:t>The foregoing items of business are more fully described in the Proxy Statement accompanying this Notice.</w:t>
      </w:r>
    </w:p>
    <w:p>
      <w:pPr>
        <w:spacing w:after="0" w:line="199" w:lineRule="exact"/>
        <w:rPr>
          <w:sz w:val="20"/>
          <w:szCs w:val="20"/>
          <w:color w:val="auto"/>
        </w:rPr>
      </w:pPr>
    </w:p>
    <w:p>
      <w:pPr>
        <w:jc w:val="both"/>
        <w:ind w:right="3579" w:firstLine="102"/>
        <w:spacing w:after="0" w:line="243" w:lineRule="auto"/>
        <w:rPr>
          <w:sz w:val="20"/>
          <w:szCs w:val="20"/>
          <w:color w:val="auto"/>
        </w:rPr>
      </w:pPr>
      <w:r>
        <w:rPr>
          <w:rFonts w:ascii="Courier New" w:cs="Courier New" w:eastAsia="Courier New" w:hAnsi="Courier New"/>
          <w:sz w:val="17"/>
          <w:szCs w:val="17"/>
          <w:color w:val="auto"/>
        </w:rPr>
        <w:t>Only shareholders of record at the close of business on November 30, 1995, are entitled to notice of and to vote at the meeting.</w:t>
      </w:r>
    </w:p>
    <w:p>
      <w:pPr>
        <w:spacing w:after="0" w:line="199" w:lineRule="exact"/>
        <w:rPr>
          <w:sz w:val="20"/>
          <w:szCs w:val="20"/>
          <w:color w:val="auto"/>
        </w:rPr>
      </w:pPr>
    </w:p>
    <w:p>
      <w:pPr>
        <w:jc w:val="both"/>
        <w:ind w:right="3579" w:firstLine="102"/>
        <w:spacing w:after="0" w:line="244" w:lineRule="auto"/>
        <w:rPr>
          <w:sz w:val="20"/>
          <w:szCs w:val="20"/>
          <w:color w:val="auto"/>
        </w:rPr>
      </w:pPr>
      <w:r>
        <w:rPr>
          <w:rFonts w:ascii="Courier New" w:cs="Courier New" w:eastAsia="Courier New" w:hAnsi="Courier New"/>
          <w:sz w:val="17"/>
          <w:szCs w:val="17"/>
          <w:color w:val="auto"/>
        </w:rPr>
        <w:t>All shareholders are cordially invited to attend the meeting in person. Directions to the meeting's location accompany the Proxy Statement. However, 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9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80" w:type="dxa"/>
            <w:vAlign w:val="bottom"/>
          </w:tcPr>
          <w:p>
            <w:pPr>
              <w:spacing w:after="0"/>
              <w:rPr>
                <w:sz w:val="20"/>
                <w:szCs w:val="20"/>
                <w:color w:val="auto"/>
              </w:rPr>
            </w:pPr>
            <w:r>
              <w:rPr>
                <w:rFonts w:ascii="Courier New" w:cs="Courier New" w:eastAsia="Courier New" w:hAnsi="Courier New"/>
                <w:sz w:val="17"/>
                <w:szCs w:val="17"/>
                <w:color w:val="auto"/>
              </w:rPr>
              <w:t>Boise, Idaho</w:t>
            </w:r>
          </w:p>
        </w:tc>
        <w:tc>
          <w:tcPr>
            <w:tcW w:w="1220" w:type="dxa"/>
            <w:vAlign w:val="bottom"/>
          </w:tcPr>
          <w:p>
            <w:pPr>
              <w:spacing w:after="0"/>
              <w:rPr>
                <w:sz w:val="16"/>
                <w:szCs w:val="16"/>
                <w:color w:val="auto"/>
              </w:rPr>
            </w:pPr>
          </w:p>
        </w:tc>
        <w:tc>
          <w:tcPr>
            <w:tcW w:w="3720" w:type="dxa"/>
            <w:vAlign w:val="bottom"/>
          </w:tcPr>
          <w:p>
            <w:pPr>
              <w:ind w:left="760"/>
              <w:spacing w:after="0"/>
              <w:rPr>
                <w:sz w:val="20"/>
                <w:szCs w:val="20"/>
                <w:color w:val="auto"/>
              </w:rPr>
            </w:pPr>
            <w:r>
              <w:rPr>
                <w:rFonts w:ascii="Courier New" w:cs="Courier New" w:eastAsia="Courier New" w:hAnsi="Courier New"/>
                <w:sz w:val="17"/>
                <w:szCs w:val="17"/>
                <w:color w:val="auto"/>
              </w:rPr>
              <w:t>WILBUR G. STOVER, JR.</w:t>
            </w:r>
          </w:p>
        </w:tc>
      </w:tr>
      <w:tr>
        <w:trPr>
          <w:trHeight w:val="196"/>
        </w:trPr>
        <w:tc>
          <w:tcPr>
            <w:tcW w:w="1280" w:type="dxa"/>
            <w:vAlign w:val="bottom"/>
          </w:tcPr>
          <w:p>
            <w:pPr>
              <w:spacing w:after="0"/>
              <w:rPr>
                <w:sz w:val="20"/>
                <w:szCs w:val="20"/>
                <w:color w:val="auto"/>
              </w:rPr>
            </w:pPr>
            <w:r>
              <w:rPr>
                <w:rFonts w:ascii="Courier New" w:cs="Courier New" w:eastAsia="Courier New" w:hAnsi="Courier New"/>
                <w:sz w:val="17"/>
                <w:szCs w:val="17"/>
                <w:color w:val="auto"/>
              </w:rPr>
              <w:t>December 14,</w:t>
            </w:r>
          </w:p>
        </w:tc>
        <w:tc>
          <w:tcPr>
            <w:tcW w:w="122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1995</w:t>
            </w:r>
          </w:p>
        </w:tc>
        <w:tc>
          <w:tcPr>
            <w:tcW w:w="3720" w:type="dxa"/>
            <w:vAlign w:val="bottom"/>
          </w:tcPr>
          <w:p>
            <w:pPr>
              <w:ind w:left="760"/>
              <w:spacing w:after="0"/>
              <w:rPr>
                <w:sz w:val="20"/>
                <w:szCs w:val="20"/>
                <w:color w:val="auto"/>
              </w:rPr>
            </w:pPr>
            <w:r>
              <w:rPr>
                <w:rFonts w:ascii="Courier New" w:cs="Courier New" w:eastAsia="Courier New" w:hAnsi="Courier New"/>
                <w:sz w:val="17"/>
                <w:szCs w:val="17"/>
                <w:color w:val="auto"/>
                <w:w w:val="99"/>
              </w:rPr>
              <w:t>Vice President Finance, Chief</w:t>
            </w:r>
          </w:p>
        </w:tc>
      </w:tr>
      <w:tr>
        <w:trPr>
          <w:trHeight w:val="196"/>
        </w:trPr>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720" w:type="dxa"/>
            <w:vAlign w:val="bottom"/>
          </w:tcPr>
          <w:p>
            <w:pPr>
              <w:ind w:left="760"/>
              <w:spacing w:after="0"/>
              <w:rPr>
                <w:sz w:val="20"/>
                <w:szCs w:val="20"/>
                <w:color w:val="auto"/>
              </w:rPr>
            </w:pPr>
            <w:r>
              <w:rPr>
                <w:rFonts w:ascii="Courier New" w:cs="Courier New" w:eastAsia="Courier New" w:hAnsi="Courier New"/>
                <w:sz w:val="17"/>
                <w:szCs w:val="17"/>
                <w:color w:val="auto"/>
              </w:rPr>
              <w:t>Financial Officer and</w:t>
            </w:r>
          </w:p>
        </w:tc>
      </w:tr>
      <w:tr>
        <w:trPr>
          <w:trHeight w:val="196"/>
        </w:trPr>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720" w:type="dxa"/>
            <w:vAlign w:val="bottom"/>
          </w:tcPr>
          <w:p>
            <w:pPr>
              <w:ind w:left="760"/>
              <w:spacing w:after="0"/>
              <w:rPr>
                <w:sz w:val="20"/>
                <w:szCs w:val="20"/>
                <w:color w:val="auto"/>
              </w:rPr>
            </w:pPr>
            <w:r>
              <w:rPr>
                <w:rFonts w:ascii="Courier New" w:cs="Courier New" w:eastAsia="Courier New" w:hAnsi="Courier New"/>
                <w:sz w:val="17"/>
                <w:szCs w:val="17"/>
                <w:color w:val="auto"/>
              </w:rPr>
              <w:t>Corporate Secretary</w:t>
            </w:r>
          </w:p>
        </w:tc>
      </w:tr>
    </w:tbl>
    <w:p>
      <w:pPr>
        <w:spacing w:after="0" w:line="200" w:lineRule="exact"/>
        <w:rPr>
          <w:sz w:val="20"/>
          <w:szCs w:val="20"/>
          <w:color w:val="auto"/>
        </w:rPr>
      </w:pPr>
    </w:p>
    <w:p>
      <w:pPr>
        <w:spacing w:after="0" w:line="392"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7"/>
          <w:szCs w:val="17"/>
          <w:color w:val="auto"/>
        </w:rPr>
        <w:t>YOUR VOTE IS IMPORTANT NO MATTER HOW MANY SHARES YOU OWN</w:t>
      </w:r>
    </w:p>
    <w:p>
      <w:pPr>
        <w:spacing w:after="0" w:line="201" w:lineRule="exact"/>
        <w:rPr>
          <w:sz w:val="20"/>
          <w:szCs w:val="20"/>
          <w:color w:val="auto"/>
        </w:rPr>
      </w:pPr>
    </w:p>
    <w:p>
      <w:pPr>
        <w:jc w:val="both"/>
        <w:ind w:right="3779" w:firstLine="102"/>
        <w:spacing w:after="0" w:line="244" w:lineRule="auto"/>
        <w:rPr>
          <w:sz w:val="20"/>
          <w:szCs w:val="20"/>
          <w:color w:val="auto"/>
        </w:rPr>
      </w:pPr>
      <w:r>
        <w:rPr>
          <w:rFonts w:ascii="Courier New" w:cs="Courier New" w:eastAsia="Courier New" w:hAnsi="Courier New"/>
          <w:sz w:val="17"/>
          <w:szCs w:val="17"/>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97"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PLEASE MAIL YOUR PROXY PROMPTLY</w:t>
      </w:r>
    </w:p>
    <w:p>
      <w:pPr>
        <w:sectPr>
          <w:pgSz w:w="11900" w:h="16838" w:orient="portrait"/>
          <w:cols w:equalWidth="0" w:num="1">
            <w:col w:w="10219"/>
          </w:cols>
          <w:pgMar w:left="240" w:top="338" w:right="1440" w:bottom="1440" w:gutter="0" w:footer="0" w:header="0"/>
        </w:sectPr>
      </w:pPr>
    </w:p>
    <w:bookmarkStart w:id="2" w:name="page3"/>
    <w:bookmarkEnd w:id="2"/>
    <w:p>
      <w:pPr>
        <w:ind w:left="20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8000 S. Federal Way</w:t>
      </w:r>
    </w:p>
    <w:p>
      <w:pPr>
        <w:spacing w:after="0" w:line="4" w:lineRule="exact"/>
        <w:rPr>
          <w:sz w:val="20"/>
          <w:szCs w:val="20"/>
          <w:color w:val="auto"/>
        </w:rPr>
      </w:pPr>
    </w:p>
    <w:p>
      <w:pPr>
        <w:ind w:left="2040"/>
        <w:spacing w:after="0"/>
        <w:tabs>
          <w:tab w:leader="none" w:pos="3460" w:val="left"/>
        </w:tabs>
        <w:rPr>
          <w:sz w:val="20"/>
          <w:szCs w:val="20"/>
          <w:color w:val="auto"/>
        </w:rPr>
      </w:pPr>
      <w:r>
        <w:rPr>
          <w:rFonts w:ascii="Courier New" w:cs="Courier New" w:eastAsia="Courier New" w:hAnsi="Courier New"/>
          <w:sz w:val="17"/>
          <w:szCs w:val="17"/>
          <w:color w:val="auto"/>
        </w:rPr>
        <w:t>Boise, Idaho</w:t>
      </w:r>
      <w:r>
        <w:rPr>
          <w:sz w:val="20"/>
          <w:szCs w:val="20"/>
          <w:color w:val="auto"/>
        </w:rPr>
        <w:tab/>
      </w:r>
      <w:r>
        <w:rPr>
          <w:rFonts w:ascii="Courier New" w:cs="Courier New" w:eastAsia="Courier New" w:hAnsi="Courier New"/>
          <w:sz w:val="16"/>
          <w:szCs w:val="16"/>
          <w:color w:val="auto"/>
        </w:rPr>
        <w:t>83706-9632</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PROXY STATEMENT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1995 ANNUAL MEETING OF STOCKHOLDERS</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Monday, January 29, 1996</w:t>
      </w:r>
    </w:p>
    <w:p>
      <w:pPr>
        <w:spacing w:after="0" w:line="3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INFORMATION CONCERNING SOLICITATION AND VOTING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enclosed Proxy is solicited on behalf of the Board of Directors of Micron Technology, Inc. (the "Company"), for use at the 1995 Annual Meeting of Shareholders to be held on January 29, 1996, at 9:00 a.m., Mountain Standard Time, or at any adjournment thereof (the "Annual Meeting"). The purposes of the Annual Meeting are set forth herein and in the accompanying Notice of 1995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201" w:lineRule="exact"/>
        <w:rPr>
          <w:sz w:val="20"/>
          <w:szCs w:val="20"/>
          <w:color w:val="auto"/>
        </w:rPr>
      </w:pPr>
    </w:p>
    <w:p>
      <w:pPr>
        <w:jc w:val="both"/>
        <w:ind w:right="3779" w:firstLine="102"/>
        <w:spacing w:after="0" w:line="243" w:lineRule="auto"/>
        <w:rPr>
          <w:sz w:val="20"/>
          <w:szCs w:val="20"/>
          <w:color w:val="auto"/>
        </w:rPr>
      </w:pPr>
      <w:r>
        <w:rPr>
          <w:rFonts w:ascii="Courier New" w:cs="Courier New" w:eastAsia="Courier New" w:hAnsi="Courier New"/>
          <w:sz w:val="17"/>
          <w:szCs w:val="17"/>
          <w:color w:val="auto"/>
        </w:rPr>
        <w:t>This Proxy Statement and enclosed Proxy are first being mailed on or about December 14, 1995, to all shareholders entitled to vote at the meeting.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w:t>
      </w:r>
    </w:p>
    <w:p>
      <w:pPr>
        <w:spacing w:after="0" w:line="201" w:lineRule="exact"/>
        <w:rPr>
          <w:sz w:val="20"/>
          <w:szCs w:val="20"/>
          <w:color w:val="auto"/>
        </w:rPr>
      </w:pPr>
    </w:p>
    <w:p>
      <w:pPr>
        <w:ind w:right="3679" w:firstLine="102"/>
        <w:spacing w:after="0" w:line="243" w:lineRule="auto"/>
        <w:rPr>
          <w:sz w:val="20"/>
          <w:szCs w:val="20"/>
          <w:color w:val="auto"/>
        </w:rPr>
      </w:pPr>
      <w:r>
        <w:rPr>
          <w:rFonts w:ascii="Courier New" w:cs="Courier New" w:eastAsia="Courier New" w:hAnsi="Courier New"/>
          <w:sz w:val="17"/>
          <w:szCs w:val="17"/>
          <w:color w:val="auto"/>
        </w:rPr>
        <w:t>Shareholders of record at the close of business on November 30, 1995 (the "Record Date"), are entitled to notice of and to vote at the meeting.</w:t>
      </w:r>
    </w:p>
    <w:p>
      <w:pPr>
        <w:spacing w:after="0" w:line="200"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7"/>
          <w:szCs w:val="17"/>
          <w:color w:val="auto"/>
        </w:rPr>
        <w:t>Deadline for Receipt of Shareholder Proposals for 1996 Annual Meeting</w:t>
      </w:r>
    </w:p>
    <w:p>
      <w:pPr>
        <w:spacing w:after="0" w:line="199"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Proposals of shareholders of the Company which are intended to be presented at the Company's 1996 Annual Meeting of Shareholders, must be received by the Company no later than July 1, 1996, and otherwise be in compliance with applicable laws and regulations in order to be included in the proxy statement and form of proxy relating to that meeting.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Revocability of Proxy</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Any proxy given pursuant to this solicitation may be revoked by the person giving it at any time before its use by delivering to the Company a written notice of revocation or a duly executed proxy bearing a later date or by attending the meeting and voting in person.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201"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will be approximately $5,000.</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03" w:right="1440" w:bottom="1440" w:gutter="0" w:footer="0" w:header="0"/>
        </w:sectPr>
      </w:pPr>
    </w:p>
    <w:bookmarkStart w:id="3" w:name="page4"/>
    <w:bookmarkEnd w:id="3"/>
    <w:p>
      <w:pPr>
        <w:ind w:left="1340"/>
        <w:spacing w:after="0"/>
        <w:rPr>
          <w:sz w:val="20"/>
          <w:szCs w:val="20"/>
          <w:color w:val="auto"/>
        </w:rPr>
      </w:pPr>
      <w:r>
        <w:rPr>
          <w:rFonts w:ascii="Courier New" w:cs="Courier New" w:eastAsia="Courier New" w:hAnsi="Courier New"/>
          <w:sz w:val="17"/>
          <w:szCs w:val="17"/>
          <w:color w:val="auto"/>
        </w:rPr>
        <w:t>VOTING SECURITIES AND PRINCIPAL HOLDERS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Shares</w:t>
      </w:r>
    </w:p>
    <w:p>
      <w:pPr>
        <w:spacing w:after="0" w:line="201" w:lineRule="exact"/>
        <w:rPr>
          <w:sz w:val="20"/>
          <w:szCs w:val="20"/>
          <w:color w:val="auto"/>
        </w:rPr>
      </w:pPr>
    </w:p>
    <w:p>
      <w:pPr>
        <w:ind w:right="3999" w:firstLine="102"/>
        <w:spacing w:after="0" w:line="244" w:lineRule="auto"/>
        <w:rPr>
          <w:sz w:val="20"/>
          <w:szCs w:val="20"/>
          <w:color w:val="auto"/>
        </w:rPr>
      </w:pPr>
      <w:r>
        <w:rPr>
          <w:rFonts w:ascii="Courier New" w:cs="Courier New" w:eastAsia="Courier New" w:hAnsi="Courier New"/>
          <w:sz w:val="17"/>
          <w:szCs w:val="17"/>
          <w:color w:val="auto"/>
        </w:rPr>
        <w:t>The Company has only one class of stock outstanding, the Company's common stock, $.10 par value per share (the "Common Stock"). At the Record Date, [206,861,383] shares of the Company's Common Stock were issued and outstanding.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Under the Delaware General Corporation Law and the Company's Certificate of Incorporation and Bylaws, each shareholder will be entitled to one vote for each share of Common Stock held at the Record Date for all matters, including the election of directors, unless cumulative voting for the election of directors is required. Cumulative voting for the election of directors shall not be required unless at least one shareholder has given notice at the meeting, prior to the voting, of the intention to cumulate votes. In the event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ten (10) candidates. In the event cumulative voting is required, the persons authorized to vote shares represented by proxies shall have the authority and discretion to vote such shares cumulatively for any candidate or candidates for whom authority to vote has not been withheld. The ten nominees for director receiving the highest number of votes cast will be elected, whether or not any one of them receives the vote of a majority of the shares represented and entitled to vote at the meeting. Abstentions and broker nonvotes as to the election of the directors will not count as votes cast "FOR" or "AGAINST" any nominee.</w:t>
      </w:r>
    </w:p>
    <w:p>
      <w:pPr>
        <w:spacing w:after="0" w:line="207"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With respect to the proposed amendment to the Company's Certificate of Incorporation, such business item will require the affirmative vote of a majority of the outstanding shares of Common Stock entitled to vote on such matter. Thus, abstentions and broker nonvotes will have the effect of a vote "AGAINST" such business item.</w:t>
      </w:r>
    </w:p>
    <w:p>
      <w:pPr>
        <w:spacing w:after="0" w:line="199"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All other business items will require the affirmative vote of a majority of the shares of Common Stock represented at the meeting and entitled to vote on such matters. Abstentions as to such business items will have the effect of a vote "AGAINST" such proposals. Broker nonvotes with respect to such business items will not be counted for purposes of determining the number of shares represented and entitled to vote at the meeting and will not represent a vote either "FOR" or "AGAINST" such items of business. Thus, broker nonvotes as to these proposals will not have any effect on their passage or failure to pass.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of Proxies</w:t>
      </w:r>
    </w:p>
    <w:p>
      <w:pPr>
        <w:spacing w:after="0" w:line="201"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shares of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Certificate of Incorporation;</w:t>
      </w:r>
    </w:p>
    <w:p>
      <w:pPr>
        <w:spacing w:after="0" w:line="3" w:lineRule="exact"/>
        <w:rPr>
          <w:sz w:val="20"/>
          <w:szCs w:val="20"/>
          <w:color w:val="auto"/>
        </w:rPr>
      </w:pPr>
    </w:p>
    <w:p>
      <w:pPr>
        <w:ind w:right="3579" w:firstLine="5"/>
        <w:spacing w:after="0" w:line="243" w:lineRule="auto"/>
        <w:tabs>
          <w:tab w:leader="none" w:pos="61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amendment to the Company's 1994 Stock Option Plan; and (iv) FOR ratification of the appointment of Coopers &amp; Lybrand L.L.P. as independent accountants of the Company for fiscal 1996.</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201" w:lineRule="exact"/>
        <w:rPr>
          <w:sz w:val="20"/>
          <w:szCs w:val="20"/>
          <w:color w:val="auto"/>
        </w:rPr>
      </w:pPr>
    </w:p>
    <w:p>
      <w:pPr>
        <w:ind w:right="3579" w:firstLine="204"/>
        <w:spacing w:after="0" w:line="244" w:lineRule="auto"/>
        <w:rPr>
          <w:sz w:val="20"/>
          <w:szCs w:val="20"/>
          <w:color w:val="auto"/>
        </w:rPr>
      </w:pPr>
      <w:r>
        <w:rPr>
          <w:rFonts w:ascii="Courier New" w:cs="Courier New" w:eastAsia="Courier New" w:hAnsi="Courier New"/>
          <w:sz w:val="17"/>
          <w:szCs w:val="17"/>
          <w:color w:val="auto"/>
        </w:rPr>
        <w:t>The following table sets forth security ownership information as of October 31, 1995,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394"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362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7"/>
                <w:szCs w:val="17"/>
                <w:color w:val="auto"/>
              </w:rPr>
              <w:t>Amount and</w:t>
            </w: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3620" w:type="dxa"/>
            <w:vAlign w:val="bottom"/>
          </w:tcPr>
          <w:p>
            <w:pPr>
              <w:spacing w:after="0"/>
              <w:rPr>
                <w:sz w:val="17"/>
                <w:szCs w:val="17"/>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7"/>
                <w:szCs w:val="17"/>
                <w:color w:val="auto"/>
              </w:rPr>
              <w:t>Nature of</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ind w:left="800"/>
              <w:spacing w:after="0"/>
              <w:rPr>
                <w:sz w:val="20"/>
                <w:szCs w:val="20"/>
                <w:color w:val="auto"/>
              </w:rPr>
            </w:pPr>
            <w:r>
              <w:rPr>
                <w:rFonts w:ascii="Courier New" w:cs="Courier New" w:eastAsia="Courier New" w:hAnsi="Courier New"/>
                <w:sz w:val="17"/>
                <w:szCs w:val="17"/>
                <w:color w:val="auto"/>
              </w:rPr>
              <w:t>Name and Address</w:t>
            </w:r>
          </w:p>
        </w:tc>
        <w:tc>
          <w:tcPr>
            <w:tcW w:w="1260" w:type="dxa"/>
            <w:vAlign w:val="bottom"/>
          </w:tcPr>
          <w:p>
            <w:pPr>
              <w:ind w:left="140"/>
              <w:spacing w:after="0"/>
              <w:rPr>
                <w:sz w:val="20"/>
                <w:szCs w:val="20"/>
                <w:color w:val="auto"/>
              </w:rPr>
            </w:pPr>
            <w:r>
              <w:rPr>
                <w:rFonts w:ascii="Courier New" w:cs="Courier New" w:eastAsia="Courier New" w:hAnsi="Courier New"/>
                <w:sz w:val="17"/>
                <w:szCs w:val="17"/>
                <w:color w:val="auto"/>
              </w:rPr>
              <w:t>Beneficial</w:t>
            </w:r>
          </w:p>
        </w:tc>
        <w:tc>
          <w:tcPr>
            <w:tcW w:w="1840" w:type="dxa"/>
            <w:vAlign w:val="bottom"/>
            <w:gridSpan w:val="2"/>
          </w:tcPr>
          <w:p>
            <w:pPr>
              <w:jc w:val="center"/>
              <w:ind w:left="735"/>
              <w:spacing w:after="0"/>
              <w:rPr>
                <w:sz w:val="20"/>
                <w:szCs w:val="20"/>
                <w:color w:val="auto"/>
              </w:rPr>
            </w:pPr>
            <w:r>
              <w:rPr>
                <w:rFonts w:ascii="Courier New" w:cs="Courier New" w:eastAsia="Courier New" w:hAnsi="Courier New"/>
                <w:sz w:val="17"/>
                <w:szCs w:val="17"/>
                <w:color w:val="auto"/>
                <w:w w:val="99"/>
              </w:rPr>
              <w:t>Percent of</w:t>
            </w:r>
          </w:p>
        </w:tc>
      </w:tr>
      <w:tr>
        <w:trPr>
          <w:trHeight w:val="196"/>
        </w:trPr>
        <w:tc>
          <w:tcPr>
            <w:tcW w:w="3620" w:type="dxa"/>
            <w:vAlign w:val="bottom"/>
          </w:tcPr>
          <w:p>
            <w:pPr>
              <w:ind w:left="600"/>
              <w:spacing w:after="0"/>
              <w:rPr>
                <w:sz w:val="20"/>
                <w:szCs w:val="20"/>
                <w:color w:val="auto"/>
              </w:rPr>
            </w:pPr>
            <w:r>
              <w:rPr>
                <w:rFonts w:ascii="Courier New" w:cs="Courier New" w:eastAsia="Courier New" w:hAnsi="Courier New"/>
                <w:sz w:val="17"/>
                <w:szCs w:val="17"/>
                <w:color w:val="auto"/>
              </w:rPr>
              <w:t>of Beneficial Owner</w:t>
            </w:r>
          </w:p>
        </w:tc>
        <w:tc>
          <w:tcPr>
            <w:tcW w:w="1260" w:type="dxa"/>
            <w:vAlign w:val="bottom"/>
          </w:tcPr>
          <w:p>
            <w:pPr>
              <w:ind w:left="140"/>
              <w:spacing w:after="0"/>
              <w:rPr>
                <w:sz w:val="20"/>
                <w:szCs w:val="20"/>
                <w:color w:val="auto"/>
              </w:rPr>
            </w:pPr>
            <w:r>
              <w:rPr>
                <w:rFonts w:ascii="Courier New" w:cs="Courier New" w:eastAsia="Courier New" w:hAnsi="Courier New"/>
                <w:sz w:val="17"/>
                <w:szCs w:val="17"/>
                <w:color w:val="auto"/>
              </w:rPr>
              <w:t>Ownership</w:t>
            </w:r>
          </w:p>
        </w:tc>
        <w:tc>
          <w:tcPr>
            <w:tcW w:w="1040" w:type="dxa"/>
            <w:vAlign w:val="bottom"/>
          </w:tcPr>
          <w:p>
            <w:pPr>
              <w:spacing w:after="0"/>
              <w:rPr>
                <w:sz w:val="17"/>
                <w:szCs w:val="17"/>
                <w:color w:val="auto"/>
              </w:rPr>
            </w:pP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Class</w:t>
            </w:r>
          </w:p>
        </w:tc>
      </w:tr>
      <w:tr>
        <w:trPr>
          <w:trHeight w:val="196"/>
        </w:trPr>
        <w:tc>
          <w:tcPr>
            <w:tcW w:w="362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center"/>
              <w:ind w:left="735"/>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362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15,576,715</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7.53%</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82 Devonshire Street</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Boston, Massachusetts 02109</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J.R. Simplot Company..............</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23,699,000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80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11.46%</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999 Main Street, Suite 1300</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Boise, Idaho 83707</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John R. Simplot...................</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17,955,200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8.68%</w:t>
            </w: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999 Main Street, Suite 1300</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ind w:left="200"/>
              <w:spacing w:after="0"/>
              <w:rPr>
                <w:sz w:val="20"/>
                <w:szCs w:val="20"/>
                <w:color w:val="auto"/>
              </w:rPr>
            </w:pPr>
            <w:r>
              <w:rPr>
                <w:rFonts w:ascii="Courier New" w:cs="Courier New" w:eastAsia="Courier New" w:hAnsi="Courier New"/>
                <w:sz w:val="17"/>
                <w:szCs w:val="17"/>
                <w:color w:val="auto"/>
              </w:rPr>
              <w:t>Boise, Idaho 83707</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Simplot Canada Limited............</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2,600,000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1.26%</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145,466</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Donald D. Baldwin.................</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42,800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Edward J. Heitzeberg..............</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233,700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Jerry M. Hess.....................</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22,000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(8)</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Robert A. Lothrop.................</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40,049</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(9)</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80,998</w:t>
            </w:r>
          </w:p>
        </w:tc>
        <w:tc>
          <w:tcPr>
            <w:tcW w:w="1040" w:type="dxa"/>
            <w:vAlign w:val="bottom"/>
          </w:tcPr>
          <w:p>
            <w:pPr>
              <w:spacing w:after="0"/>
              <w:rPr>
                <w:sz w:val="20"/>
                <w:szCs w:val="20"/>
                <w:color w:val="auto"/>
              </w:rPr>
            </w:pPr>
            <w:r>
              <w:rPr>
                <w:rFonts w:ascii="Courier New" w:cs="Courier New" w:eastAsia="Courier New" w:hAnsi="Courier New"/>
                <w:sz w:val="17"/>
                <w:szCs w:val="17"/>
                <w:color w:val="auto"/>
                <w:w w:val="99"/>
              </w:rPr>
              <w:t>(6)(7)(10)</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Thomas T. Nicholson...............</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1,601,670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Allen T. Noble....................</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2,001,200</w:t>
            </w:r>
          </w:p>
        </w:tc>
        <w:tc>
          <w:tcPr>
            <w:tcW w:w="1040" w:type="dxa"/>
            <w:vAlign w:val="bottom"/>
          </w:tcPr>
          <w:p>
            <w:pPr>
              <w:spacing w:after="0"/>
              <w:rPr>
                <w:sz w:val="17"/>
                <w:szCs w:val="17"/>
                <w:color w:val="auto"/>
              </w:rPr>
            </w:pP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n/a</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Don J. Simplot....................</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148,020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(3)(13)</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Gordon C. Smith...................</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750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(14)</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Kenneth G. Smith..................</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59,000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Wilbur G. Stover, Jr..............</w:t>
            </w:r>
          </w:p>
        </w:tc>
        <w:tc>
          <w:tcPr>
            <w:tcW w:w="1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39,398</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(6)(7)</w:t>
            </w:r>
          </w:p>
        </w:tc>
        <w:tc>
          <w:tcPr>
            <w:tcW w:w="800" w:type="dxa"/>
            <w:vAlign w:val="bottom"/>
          </w:tcPr>
          <w:p>
            <w:pPr>
              <w:jc w:val="center"/>
              <w:ind w:right="15"/>
              <w:spacing w:after="0"/>
              <w:rPr>
                <w:sz w:val="20"/>
                <w:szCs w:val="20"/>
                <w:color w:val="auto"/>
              </w:rPr>
            </w:pPr>
            <w:r>
              <w:rPr>
                <w:rFonts w:ascii="Courier New" w:cs="Courier New" w:eastAsia="Courier New" w:hAnsi="Courier New"/>
                <w:sz w:val="17"/>
                <w:szCs w:val="17"/>
                <w:color w:val="auto"/>
                <w:w w:val="97"/>
              </w:rPr>
              <w:t>*</w:t>
            </w: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All directors and executive</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officers as a group</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(20 persons)</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(3),(4),(6),(7),(8),(9),(10),(11),</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3620" w:type="dxa"/>
            <w:vAlign w:val="bottom"/>
          </w:tcPr>
          <w:p>
            <w:pPr>
              <w:spacing w:after="0"/>
              <w:rPr>
                <w:sz w:val="20"/>
                <w:szCs w:val="20"/>
                <w:color w:val="auto"/>
              </w:rPr>
            </w:pPr>
            <w:r>
              <w:rPr>
                <w:rFonts w:ascii="Courier New" w:cs="Courier New" w:eastAsia="Courier New" w:hAnsi="Courier New"/>
                <w:sz w:val="17"/>
                <w:szCs w:val="17"/>
                <w:color w:val="auto"/>
              </w:rPr>
              <w:t>(12),(13),(14),(15)...............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48,931,571</w:t>
            </w:r>
          </w:p>
        </w:tc>
        <w:tc>
          <w:tcPr>
            <w:tcW w:w="1040" w:type="dxa"/>
            <w:vAlign w:val="bottom"/>
          </w:tcPr>
          <w:p>
            <w:pPr>
              <w:spacing w:after="0"/>
              <w:rPr>
                <w:sz w:val="17"/>
                <w:szCs w:val="17"/>
                <w:color w:val="auto"/>
              </w:rPr>
            </w:pPr>
          </w:p>
        </w:tc>
        <w:tc>
          <w:tcPr>
            <w:tcW w:w="80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23.65%</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*Less than 1%</w:t>
      </w:r>
    </w:p>
    <w:p>
      <w:pPr>
        <w:spacing w:after="0" w:line="5" w:lineRule="exact"/>
        <w:rPr>
          <w:sz w:val="20"/>
          <w:szCs w:val="20"/>
          <w:color w:val="auto"/>
        </w:rPr>
      </w:pPr>
    </w:p>
    <w:p>
      <w:pPr>
        <w:ind w:left="520" w:right="3479" w:hanging="515"/>
        <w:spacing w:after="0" w:line="244"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beneficially owned by subsidiaries of FMR Corp., as follows: Fidelity Management &amp; Research Company, 15,115,095 shares; Fidelity Management Trust Company, 404,020 shares; and Fidelity International Limited, 57,600 shares. Of these shares, FMR Corp. has sole voting power with respect to 268,820 shares and sole dispositive power with respect to 15,519,115 shares. Fidelity International Limited has sole voting and dispositive power with respect to all of the shares it beneficially owns.</w:t>
      </w:r>
    </w:p>
    <w:p>
      <w:pPr>
        <w:spacing w:after="0" w:line="3" w:lineRule="exact"/>
        <w:rPr>
          <w:rFonts w:ascii="Courier New" w:cs="Courier New" w:eastAsia="Courier New" w:hAnsi="Courier New"/>
          <w:sz w:val="17"/>
          <w:szCs w:val="17"/>
          <w:color w:val="auto"/>
        </w:rPr>
      </w:pPr>
    </w:p>
    <w:p>
      <w:pPr>
        <w:ind w:left="520" w:right="3679" w:hanging="515"/>
        <w:spacing w:after="0" w:line="243"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shares held by Simplot Canada Limited, a wholly owned subsidiary of the J.R. Simplot Company, and by Messrs. John R. Simplot and Don J. Simplot.</w:t>
      </w:r>
    </w:p>
    <w:p>
      <w:pPr>
        <w:spacing w:after="0" w:line="3" w:lineRule="exact"/>
        <w:rPr>
          <w:rFonts w:ascii="Courier New" w:cs="Courier New" w:eastAsia="Courier New" w:hAnsi="Courier New"/>
          <w:sz w:val="17"/>
          <w:szCs w:val="17"/>
          <w:color w:val="auto"/>
        </w:rPr>
      </w:pPr>
    </w:p>
    <w:p>
      <w:pPr>
        <w:ind w:left="520" w:right="3579" w:hanging="515"/>
        <w:spacing w:after="0" w:line="259" w:lineRule="auto"/>
        <w:tabs>
          <w:tab w:leader="none" w:pos="5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John R. Simplot and Don J. Simplot, directors of the Company, are shareholders of the J.R. Simplot Company. Mr. Don J. Simplot serves as a director, member of the Office of the Chairman of the Board of Directors and as Corporate Vice President of the J.R. Simplot Company. In addition to their respective number of shares indicated in the table, these individuals may be deemed to be beneficial owners of 23,699,000 shares held by the J.R. Simplot Company and 2,600,000 shares held by Simplot Canada Limited, a wholly owned subsidiary of the J.R. Simplot Company.</w:t>
      </w:r>
    </w:p>
    <w:p>
      <w:pPr>
        <w:spacing w:after="0" w:line="5" w:lineRule="exact"/>
        <w:rPr>
          <w:rFonts w:ascii="Courier New" w:cs="Courier New" w:eastAsia="Courier New" w:hAnsi="Courier New"/>
          <w:sz w:val="16"/>
          <w:szCs w:val="16"/>
          <w:color w:val="auto"/>
        </w:rPr>
      </w:pPr>
    </w:p>
    <w:p>
      <w:pPr>
        <w:ind w:left="520" w:right="3999" w:hanging="515"/>
        <w:spacing w:after="0" w:line="259" w:lineRule="auto"/>
        <w:tabs>
          <w:tab w:leader="none" w:pos="5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17,917,600 shares held in the J.R. Simplot Self Declaration of Revocable Trust dated December 21, 1989,</w:t>
      </w:r>
    </w:p>
    <w:p>
      <w:pPr>
        <w:spacing w:after="0" w:line="1" w:lineRule="exact"/>
        <w:rPr>
          <w:rFonts w:ascii="Courier New" w:cs="Courier New" w:eastAsia="Courier New" w:hAnsi="Courier New"/>
          <w:sz w:val="16"/>
          <w:szCs w:val="16"/>
          <w:color w:val="auto"/>
        </w:rPr>
      </w:pPr>
    </w:p>
    <w:p>
      <w:pPr>
        <w:ind w:left="520" w:right="357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15,200 shares held by Mrs. Simplot and 22,400 shares held in joint tenancy with Mrs. Simplot.</w:t>
      </w:r>
    </w:p>
    <w:p>
      <w:pPr>
        <w:spacing w:after="0" w:line="2" w:lineRule="exact"/>
        <w:rPr>
          <w:rFonts w:ascii="Courier New" w:cs="Courier New" w:eastAsia="Courier New" w:hAnsi="Courier New"/>
          <w:sz w:val="16"/>
          <w:szCs w:val="16"/>
          <w:color w:val="auto"/>
        </w:rPr>
      </w:pPr>
    </w:p>
    <w:p>
      <w:pPr>
        <w:ind w:left="520" w:right="3779" w:hanging="515"/>
        <w:spacing w:after="0" w:line="243"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Simplot Canada Limited is a wholly owned subsidiary of the J.R. Simplot Company.</w:t>
      </w:r>
    </w:p>
    <w:p>
      <w:pPr>
        <w:spacing w:after="0" w:line="2" w:lineRule="exact"/>
        <w:rPr>
          <w:rFonts w:ascii="Courier New" w:cs="Courier New" w:eastAsia="Courier New" w:hAnsi="Courier New"/>
          <w:sz w:val="17"/>
          <w:szCs w:val="17"/>
          <w:color w:val="auto"/>
        </w:rPr>
      </w:pPr>
    </w:p>
    <w:p>
      <w:pPr>
        <w:ind w:left="520" w:right="3779" w:hanging="515"/>
        <w:spacing w:after="0" w:line="243"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shares of common stock of Micron Communications, Inc., a subsidiary of the Company, held by</w:t>
      </w:r>
    </w:p>
    <w:p>
      <w:pPr>
        <w:spacing w:after="0" w:line="2" w:lineRule="exact"/>
        <w:rPr>
          <w:rFonts w:ascii="Courier New" w:cs="Courier New" w:eastAsia="Courier New" w:hAnsi="Courier New"/>
          <w:sz w:val="17"/>
          <w:szCs w:val="17"/>
          <w:color w:val="auto"/>
        </w:rPr>
      </w:pPr>
    </w:p>
    <w:p>
      <w:pPr>
        <w:ind w:left="520" w:right="3279"/>
        <w:spacing w:after="0" w:line="26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Mr. Appleton, 1,206; Mr. Baldwin, 1,206; Mr. Heitzeberg, 1,206; Mr. Lowrey, 1,285; Mr. Smith, 463; Mr. Stover, 1,206; and all directors and executive officers as a group (20 persons), 12,892. The total number of shares held by all directors</w:t>
      </w:r>
    </w:p>
    <w:p>
      <w:pPr>
        <w:sectPr>
          <w:pgSz w:w="11900" w:h="16838" w:orient="portrait"/>
          <w:cols w:equalWidth="0" w:num="1">
            <w:col w:w="10219"/>
          </w:cols>
          <w:pgMar w:left="240" w:top="507" w:right="1440" w:bottom="0" w:gutter="0" w:footer="0" w:header="0"/>
        </w:sectPr>
      </w:pPr>
    </w:p>
    <w:bookmarkStart w:id="5" w:name="page6"/>
    <w:bookmarkEnd w:id="5"/>
    <w:p>
      <w:pPr>
        <w:ind w:left="19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38" w:right="1440" w:bottom="1440" w:gutter="0" w:footer="0" w:header="0"/>
        </w:sectPr>
      </w:pPr>
    </w:p>
    <w:bookmarkStart w:id="6" w:name="page7"/>
    <w:bookmarkEnd w:id="6"/>
    <w:p>
      <w:pPr>
        <w:ind w:left="520"/>
        <w:spacing w:after="0"/>
        <w:rPr>
          <w:sz w:val="20"/>
          <w:szCs w:val="20"/>
          <w:color w:val="auto"/>
        </w:rPr>
      </w:pPr>
      <w:r>
        <w:rPr>
          <w:rFonts w:ascii="Courier New" w:cs="Courier New" w:eastAsia="Courier New" w:hAnsi="Courier New"/>
          <w:sz w:val="17"/>
          <w:szCs w:val="17"/>
          <w:color w:val="auto"/>
        </w:rPr>
        <w:t>and executive officers as a group represents 1.76%</w:t>
      </w:r>
    </w:p>
    <w:p>
      <w:pPr>
        <w:spacing w:after="0" w:line="5" w:lineRule="exact"/>
        <w:rPr>
          <w:sz w:val="20"/>
          <w:szCs w:val="20"/>
          <w:color w:val="auto"/>
        </w:rPr>
      </w:pPr>
    </w:p>
    <w:p>
      <w:pPr>
        <w:ind w:left="520" w:right="3879"/>
        <w:spacing w:after="0" w:line="243" w:lineRule="auto"/>
        <w:rPr>
          <w:sz w:val="20"/>
          <w:szCs w:val="20"/>
          <w:color w:val="auto"/>
        </w:rPr>
      </w:pPr>
      <w:r>
        <w:rPr>
          <w:rFonts w:ascii="Courier New" w:cs="Courier New" w:eastAsia="Courier New" w:hAnsi="Courier New"/>
          <w:sz w:val="17"/>
          <w:szCs w:val="17"/>
          <w:color w:val="auto"/>
        </w:rPr>
        <w:t>of the total outstanding shares of Micron Communications, Inc., common stock.</w:t>
      </w:r>
    </w:p>
    <w:p>
      <w:pPr>
        <w:spacing w:after="0" w:line="2" w:lineRule="exact"/>
        <w:rPr>
          <w:sz w:val="20"/>
          <w:szCs w:val="20"/>
          <w:color w:val="auto"/>
        </w:rPr>
      </w:pPr>
    </w:p>
    <w:p>
      <w:pPr>
        <w:ind w:left="520" w:right="3779" w:hanging="515"/>
        <w:spacing w:after="0" w:line="244"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exercisable within 60 days of October 31, 1995, under the Company's 1985 Incentive Stock Option Plan and the Company's 1994 Stock Option Plan in the following amounts: Mr. Appleton, 87,706; Mr. Baldwin, 15,800; Mr.</w:t>
      </w:r>
    </w:p>
    <w:p>
      <w:pPr>
        <w:spacing w:after="0" w:line="1" w:lineRule="exact"/>
        <w:rPr>
          <w:rFonts w:ascii="Courier New" w:cs="Courier New" w:eastAsia="Courier New" w:hAnsi="Courier New"/>
          <w:sz w:val="17"/>
          <w:szCs w:val="17"/>
          <w:color w:val="auto"/>
        </w:rPr>
      </w:pPr>
    </w:p>
    <w:p>
      <w:pPr>
        <w:ind w:left="520" w:right="35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Heitzeberg, 78,000; Mr. Lowrey, 58,998; Mr. Smith, 45,000; Mr. Stover, 27,398; and all directors and executive officers as a group (20 persons), 849,682.</w:t>
      </w:r>
    </w:p>
    <w:p>
      <w:pPr>
        <w:spacing w:after="0" w:line="3" w:lineRule="exact"/>
        <w:rPr>
          <w:rFonts w:ascii="Courier New" w:cs="Courier New" w:eastAsia="Courier New" w:hAnsi="Courier New"/>
          <w:sz w:val="17"/>
          <w:szCs w:val="17"/>
          <w:color w:val="auto"/>
        </w:rPr>
      </w:pPr>
    </w:p>
    <w:p>
      <w:pPr>
        <w:ind w:left="520" w:right="3579" w:hanging="515"/>
        <w:spacing w:after="0" w:line="243"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20,000 shares held directly in the name of Jerry M. Hess and 2,000 shares held in the name of J.M. Hess Construction Co.</w:t>
      </w:r>
    </w:p>
    <w:p>
      <w:pPr>
        <w:spacing w:after="0" w:line="3" w:lineRule="exact"/>
        <w:rPr>
          <w:rFonts w:ascii="Courier New" w:cs="Courier New" w:eastAsia="Courier New" w:hAnsi="Courier New"/>
          <w:sz w:val="17"/>
          <w:szCs w:val="17"/>
          <w:color w:val="auto"/>
        </w:rPr>
      </w:pPr>
    </w:p>
    <w:p>
      <w:pPr>
        <w:ind w:left="520" w:right="3879" w:hanging="515"/>
        <w:spacing w:after="0" w:line="243"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 shares held directly in the name of Robert Lothrop, 424 shares held in the name of Mrs. Lothrop, and 39,585 shares held in joint tenancy with Mrs. Lothrop.</w:t>
      </w:r>
    </w:p>
    <w:p>
      <w:pPr>
        <w:spacing w:after="0" w:line="3" w:lineRule="exact"/>
        <w:rPr>
          <w:rFonts w:ascii="Courier New" w:cs="Courier New" w:eastAsia="Courier New" w:hAnsi="Courier New"/>
          <w:sz w:val="17"/>
          <w:szCs w:val="17"/>
          <w:color w:val="auto"/>
        </w:rPr>
      </w:pPr>
    </w:p>
    <w:p>
      <w:pPr>
        <w:ind w:left="520" w:right="3479" w:hanging="515"/>
        <w:spacing w:after="0" w:line="244"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1,966 shares of common stock of Micron Quantum Devices, Inc. ("MQD"), a subsidiary of the Company, held by Mr. Lowrey, which represents less than one percent (1%) of the total outstanding shares of MQD common stock. No other directors or executive officers of the Company hold shares of MQD common stock.</w:t>
      </w:r>
    </w:p>
    <w:p>
      <w:pPr>
        <w:spacing w:after="0" w:line="2" w:lineRule="exact"/>
        <w:rPr>
          <w:rFonts w:ascii="Courier New" w:cs="Courier New" w:eastAsia="Courier New" w:hAnsi="Courier New"/>
          <w:sz w:val="17"/>
          <w:szCs w:val="17"/>
          <w:color w:val="auto"/>
        </w:rPr>
      </w:pPr>
    </w:p>
    <w:p>
      <w:pPr>
        <w:ind w:left="520" w:right="3479" w:hanging="515"/>
        <w:spacing w:after="0" w:line="244"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1,550,000 shares held in the name of Thomas T. Nicholson directly, 16,670 shares held in the name of Mrs. Nicholson, 10,000 shares held in the name of Mountain View Equipment, 8,000 shares held in the name of Miller-Nicholson, Inc., 7,000 shares held in the name of MNI, and 10,000 shares held in the name of MNII.</w:t>
      </w:r>
    </w:p>
    <w:p>
      <w:pPr>
        <w:spacing w:after="0" w:line="2" w:lineRule="exact"/>
        <w:rPr>
          <w:rFonts w:ascii="Courier New" w:cs="Courier New" w:eastAsia="Courier New" w:hAnsi="Courier New"/>
          <w:sz w:val="17"/>
          <w:szCs w:val="17"/>
          <w:color w:val="auto"/>
        </w:rPr>
      </w:pPr>
    </w:p>
    <w:p>
      <w:pPr>
        <w:ind w:left="520" w:right="3579" w:hanging="515"/>
        <w:spacing w:after="0" w:line="259" w:lineRule="auto"/>
        <w:tabs>
          <w:tab w:leader="none" w:pos="5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ownership as of May 1, 1995. Changes in beneficial ownership of Company securities, if any, subsequent to such date have not been reported by Mr. Parkinson to the Company.</w:t>
      </w:r>
    </w:p>
    <w:p>
      <w:pPr>
        <w:spacing w:after="0" w:line="1" w:lineRule="exact"/>
        <w:rPr>
          <w:rFonts w:ascii="Courier New" w:cs="Courier New" w:eastAsia="Courier New" w:hAnsi="Courier New"/>
          <w:sz w:val="16"/>
          <w:szCs w:val="16"/>
          <w:color w:val="auto"/>
        </w:rPr>
      </w:pPr>
    </w:p>
    <w:p>
      <w:pPr>
        <w:ind w:left="520" w:right="3579" w:hanging="515"/>
        <w:spacing w:after="0" w:line="243"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143,020 shares held in the name of Mr. Don J. Simplot directly and 5,000 shares held by Mr. Don J. Simplot as custodian for his minor child.</w:t>
      </w:r>
    </w:p>
    <w:p>
      <w:pPr>
        <w:spacing w:after="0" w:line="3" w:lineRule="exact"/>
        <w:rPr>
          <w:rFonts w:ascii="Courier New" w:cs="Courier New" w:eastAsia="Courier New" w:hAnsi="Courier New"/>
          <w:sz w:val="17"/>
          <w:szCs w:val="17"/>
          <w:color w:val="auto"/>
        </w:rPr>
      </w:pPr>
    </w:p>
    <w:p>
      <w:pPr>
        <w:ind w:left="520" w:right="3999" w:hanging="515"/>
        <w:spacing w:after="0" w:line="243"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are held in joint tenancy with Mrs. Gordon C. Smith.</w:t>
      </w:r>
    </w:p>
    <w:p>
      <w:pPr>
        <w:spacing w:after="0" w:line="2" w:lineRule="exact"/>
        <w:rPr>
          <w:rFonts w:ascii="Courier New" w:cs="Courier New" w:eastAsia="Courier New" w:hAnsi="Courier New"/>
          <w:sz w:val="17"/>
          <w:szCs w:val="17"/>
          <w:color w:val="auto"/>
        </w:rPr>
      </w:pPr>
    </w:p>
    <w:p>
      <w:pPr>
        <w:ind w:left="520" w:right="3999" w:hanging="515"/>
        <w:spacing w:after="0" w:line="243"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beneficial ownership, if any, for Mr. Joseph L. Parkinson and Mr. Kenneth G. Smith. Also, includes</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23,699,000 shares held by the J.R. Simplot Company and</w:t>
      </w:r>
    </w:p>
    <w:p>
      <w:pPr>
        <w:spacing w:after="0" w:line="4"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2,600,000 shares held by Simplot Canada Limited (see footnote</w:t>
      </w:r>
    </w:p>
    <w:p>
      <w:pPr>
        <w:spacing w:after="0" w:line="14" w:lineRule="exact"/>
        <w:rPr>
          <w:rFonts w:ascii="Courier New" w:cs="Courier New" w:eastAsia="Courier New" w:hAnsi="Courier New"/>
          <w:sz w:val="17"/>
          <w:szCs w:val="17"/>
          <w:color w:val="auto"/>
        </w:rPr>
      </w:pPr>
    </w:p>
    <w:p>
      <w:pPr>
        <w:ind w:left="920" w:hanging="405"/>
        <w:spacing w:after="0"/>
        <w:tabs>
          <w:tab w:leader="none" w:pos="92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BUSINESS TO BE TRANSACTED</w:t>
      </w:r>
    </w:p>
    <w:p>
      <w:pPr>
        <w:spacing w:after="0" w:line="201" w:lineRule="exact"/>
        <w:rPr>
          <w:sz w:val="20"/>
          <w:szCs w:val="20"/>
          <w:color w:val="auto"/>
        </w:rPr>
      </w:pPr>
    </w:p>
    <w:p>
      <w:pPr>
        <w:ind w:right="7659" w:firstLine="5"/>
        <w:spacing w:after="0" w:line="487" w:lineRule="auto"/>
        <w:tabs>
          <w:tab w:leader="none" w:pos="40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Nominees</w:t>
      </w:r>
    </w:p>
    <w:p>
      <w:pPr>
        <w:spacing w:after="0" w:line="3"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Company's Bylaws currently provide for ten (10) directors, and it is contemplated that a Board of ten (10) directors will be elected at the meeting. Unless otherwise instructed, the proxy holders will vote the proxies received by them for management's ten (10)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will be unable or will decline to serve as a director. The term of office of each person elected as a director will continue until the next annual meeting of shareholders and until such person's successor has been elected and qualified. Officers are appointed by the Board of Directors and serve at the discretion of the Board. The names of the ten (10) nominees and certain information about them are set forth below:</w:t>
      </w:r>
    </w:p>
    <w:p>
      <w:pPr>
        <w:sectPr>
          <w:pgSz w:w="11900" w:h="16838" w:orient="portrait"/>
          <w:cols w:equalWidth="0" w:num="1">
            <w:col w:w="10219"/>
          </w:cols>
          <w:pgMar w:left="240" w:top="50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00"/>
        <w:spacing w:after="0" w:line="243" w:lineRule="auto"/>
        <w:rPr>
          <w:sz w:val="20"/>
          <w:szCs w:val="20"/>
          <w:color w:val="auto"/>
        </w:rPr>
      </w:pPr>
      <w:r>
        <w:rPr>
          <w:rFonts w:ascii="Courier New" w:cs="Courier New" w:eastAsia="Courier New" w:hAnsi="Courier New"/>
          <w:sz w:val="17"/>
          <w:szCs w:val="17"/>
          <w:color w:val="auto"/>
        </w:rPr>
        <w:t>Name of Nominee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Served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Since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4">
            <w:col w:w="1840" w:space="720"/>
            <w:col w:w="500" w:space="0"/>
            <w:col w:w="2960" w:space="720"/>
            <w:col w:w="3479"/>
          </w:cols>
          <w:pgMar w:left="240" w:top="507"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Steven R. Appleton...... 35</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Courier New" w:cs="Courier New" w:eastAsia="Courier New" w:hAnsi="Courier New"/>
          <w:sz w:val="17"/>
          <w:szCs w:val="17"/>
          <w:color w:val="auto"/>
        </w:rPr>
        <w:t>Chairman of the Board of Directors, Chief Executive Officer and President of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1994 (1)</w:t>
      </w:r>
    </w:p>
    <w:p>
      <w:pPr>
        <w:spacing w:after="0" w:line="592" w:lineRule="exact"/>
        <w:rPr>
          <w:sz w:val="20"/>
          <w:szCs w:val="20"/>
          <w:color w:val="auto"/>
        </w:rPr>
      </w:pPr>
    </w:p>
    <w:p>
      <w:pPr>
        <w:sectPr>
          <w:pgSz w:w="11900" w:h="16838" w:orient="portrait"/>
          <w:cols w:equalWidth="0" w:num="3">
            <w:col w:w="2760" w:space="300"/>
            <w:col w:w="3580" w:space="200"/>
            <w:col w:w="3379"/>
          </w:cols>
          <w:pgMar w:left="240" w:top="507"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Jerry M. Hess...........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 and Chief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1994</w:t>
      </w:r>
    </w:p>
    <w:p>
      <w:pPr>
        <w:sectPr>
          <w:pgSz w:w="11900" w:h="16838" w:orient="portrait"/>
          <w:cols w:equalWidth="0" w:num="3">
            <w:col w:w="2760" w:space="300"/>
            <w:col w:w="3060" w:space="720"/>
            <w:col w:w="3379"/>
          </w:cols>
          <w:pgMar w:left="240" w:top="507" w:right="1440" w:bottom="0" w:gutter="0" w:footer="0" w:header="0"/>
          <w:type w:val="continuous"/>
        </w:sectPr>
      </w:pPr>
    </w:p>
    <w:bookmarkStart w:id="7" w:name="page8"/>
    <w:bookmarkEnd w:id="7"/>
    <w:p>
      <w:pPr>
        <w:ind w:left="3060"/>
        <w:spacing w:after="0"/>
        <w:rPr>
          <w:sz w:val="20"/>
          <w:szCs w:val="20"/>
          <w:color w:val="auto"/>
        </w:rPr>
      </w:pPr>
      <w:r>
        <w:rPr>
          <w:rFonts w:ascii="Courier New" w:cs="Courier New" w:eastAsia="Courier New" w:hAnsi="Courier New"/>
          <w:sz w:val="17"/>
          <w:szCs w:val="17"/>
          <w:color w:val="auto"/>
        </w:rPr>
        <w:t>Officer of J.M. Hess Construction</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Company, Inc. (General Construction)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20"/>
                <w:szCs w:val="20"/>
                <w:color w:val="auto"/>
              </w:rPr>
            </w:pPr>
            <w:r>
              <w:rPr>
                <w:rFonts w:ascii="Courier New" w:cs="Courier New" w:eastAsia="Courier New" w:hAnsi="Courier New"/>
                <w:sz w:val="17"/>
                <w:szCs w:val="17"/>
                <w:color w:val="auto"/>
              </w:rPr>
              <w:t>Robert A. Lothrop....... 69</w:t>
            </w: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Former Senior Vice President of</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J.R. Simplot Company (Food</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Processing, Fertilizer and</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Agricultural Chemicals</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Manufacturing)</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Tyler A. Lowrey......... 42</w:t>
            </w: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Vice Chairman of the Board of</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Directors and Chief Technical</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620" w:type="dxa"/>
            <w:vAlign w:val="bottom"/>
          </w:tcPr>
          <w:p>
            <w:pPr>
              <w:ind w:left="140"/>
              <w:spacing w:after="0"/>
              <w:rPr>
                <w:sz w:val="20"/>
                <w:szCs w:val="20"/>
                <w:color w:val="auto"/>
              </w:rPr>
            </w:pPr>
            <w:r>
              <w:rPr>
                <w:rFonts w:ascii="Courier New" w:cs="Courier New" w:eastAsia="Courier New" w:hAnsi="Courier New"/>
                <w:sz w:val="17"/>
                <w:szCs w:val="17"/>
                <w:color w:val="auto"/>
              </w:rPr>
              <w:t>Officer of the Company</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92"/>
        </w:trPr>
        <w:tc>
          <w:tcPr>
            <w:tcW w:w="2920" w:type="dxa"/>
            <w:vAlign w:val="bottom"/>
          </w:tcPr>
          <w:p>
            <w:pPr>
              <w:spacing w:after="0"/>
              <w:rPr>
                <w:sz w:val="24"/>
                <w:szCs w:val="24"/>
                <w:color w:val="auto"/>
              </w:rPr>
            </w:pPr>
          </w:p>
        </w:tc>
        <w:tc>
          <w:tcPr>
            <w:tcW w:w="3620" w:type="dxa"/>
            <w:vAlign w:val="bottom"/>
          </w:tcPr>
          <w:p>
            <w:pPr>
              <w:ind w:left="240"/>
              <w:spacing w:after="0"/>
              <w:rPr>
                <w:sz w:val="20"/>
                <w:szCs w:val="20"/>
                <w:color w:val="auto"/>
              </w:rPr>
            </w:pPr>
            <w:r>
              <w:rPr>
                <w:rFonts w:ascii="Courier New" w:cs="Courier New" w:eastAsia="Courier New" w:hAnsi="Courier New"/>
                <w:sz w:val="17"/>
                <w:szCs w:val="17"/>
                <w:color w:val="auto"/>
              </w:rPr>
              <w:t>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20" w:type="dxa"/>
            <w:vAlign w:val="bottom"/>
          </w:tcPr>
          <w:p>
            <w:pPr>
              <w:spacing w:after="0"/>
              <w:rPr>
                <w:sz w:val="20"/>
                <w:szCs w:val="20"/>
                <w:color w:val="auto"/>
              </w:rPr>
            </w:pPr>
            <w:r>
              <w:rPr>
                <w:rFonts w:ascii="Courier New" w:cs="Courier New" w:eastAsia="Courier New" w:hAnsi="Courier New"/>
                <w:sz w:val="17"/>
                <w:szCs w:val="17"/>
                <w:color w:val="auto"/>
              </w:rPr>
              <w:t>Thomas T. Nicholson..... 59</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Vice President of Honda of Seattle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1980</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(Automobile Distributorship);</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President of Mountain View Equipment</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(Farm Equipment Dealership); and</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Partner of CC&amp;T Land &amp; Livestock</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(Cattle Business)</w:t>
            </w:r>
          </w:p>
        </w:tc>
        <w:tc>
          <w:tcPr>
            <w:tcW w:w="40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Allen T. Noble.......... 66</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President of Farm Development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1980</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Corporation (Land Development</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and Agribusiness Interests);</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Director, West One Bancorp</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(Financial Institution)</w:t>
            </w:r>
          </w:p>
        </w:tc>
        <w:tc>
          <w:tcPr>
            <w:tcW w:w="40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Don J. Simplot.......... 60</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Member of Office of the Chairman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1982</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and Corporate Vice President of the</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J.R. Simplot Company (Food</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Processing, Fertilizer and</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Agricultural Chemicals</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w w:val="99"/>
              </w:rPr>
              <w:t>Manufacturing); Director, AirSensors,</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Inc. (Alternative Fuels Conversion</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Equipment)</w:t>
            </w:r>
          </w:p>
        </w:tc>
        <w:tc>
          <w:tcPr>
            <w:tcW w:w="40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John R. Simplot......... 86</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Former Chairman of the Board of the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1980</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J.R. Simplot Company (Food</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Processing, Fertilizer and</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Agricultural Chemicals</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Manufacturing)</w:t>
            </w:r>
          </w:p>
        </w:tc>
        <w:tc>
          <w:tcPr>
            <w:tcW w:w="40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Gordon C. Smith......... 66</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Former President and Chief</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1990</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Executive Officer of the J.R.</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Simplot Company (Food Processing,</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Fertilizer and Agricultural</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Chemicals Manufacturing)</w:t>
            </w:r>
          </w:p>
        </w:tc>
        <w:tc>
          <w:tcPr>
            <w:tcW w:w="400" w:type="dxa"/>
            <w:vAlign w:val="bottom"/>
          </w:tcPr>
          <w:p>
            <w:pPr>
              <w:spacing w:after="0"/>
              <w:rPr>
                <w:sz w:val="17"/>
                <w:szCs w:val="17"/>
                <w:color w:val="auto"/>
              </w:rPr>
            </w:pPr>
          </w:p>
        </w:tc>
      </w:tr>
      <w:tr>
        <w:trPr>
          <w:trHeight w:val="392"/>
        </w:trPr>
        <w:tc>
          <w:tcPr>
            <w:tcW w:w="2920" w:type="dxa"/>
            <w:vAlign w:val="bottom"/>
          </w:tcPr>
          <w:p>
            <w:pPr>
              <w:spacing w:after="0"/>
              <w:rPr>
                <w:sz w:val="20"/>
                <w:szCs w:val="20"/>
                <w:color w:val="auto"/>
              </w:rPr>
            </w:pPr>
            <w:r>
              <w:rPr>
                <w:rFonts w:ascii="Courier New" w:cs="Courier New" w:eastAsia="Courier New" w:hAnsi="Courier New"/>
                <w:sz w:val="17"/>
                <w:szCs w:val="17"/>
                <w:color w:val="auto"/>
              </w:rPr>
              <w:t>Wilbur G. Stover, Jr...  42</w:t>
            </w: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Vice President, Finance, Chief</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1994</w:t>
            </w: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Financial Officer and Corporate</w:t>
            </w:r>
          </w:p>
        </w:tc>
        <w:tc>
          <w:tcPr>
            <w:tcW w:w="40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3920" w:type="dxa"/>
            <w:vAlign w:val="bottom"/>
          </w:tcPr>
          <w:p>
            <w:pPr>
              <w:ind w:left="140"/>
              <w:spacing w:after="0"/>
              <w:rPr>
                <w:sz w:val="20"/>
                <w:szCs w:val="20"/>
                <w:color w:val="auto"/>
              </w:rPr>
            </w:pPr>
            <w:r>
              <w:rPr>
                <w:rFonts w:ascii="Courier New" w:cs="Courier New" w:eastAsia="Courier New" w:hAnsi="Courier New"/>
                <w:sz w:val="17"/>
                <w:szCs w:val="17"/>
                <w:color w:val="auto"/>
              </w:rPr>
              <w:t>Secretary of the Company</w:t>
            </w:r>
          </w:p>
        </w:tc>
        <w:tc>
          <w:tcPr>
            <w:tcW w:w="400" w:type="dxa"/>
            <w:vAlign w:val="bottom"/>
          </w:tcPr>
          <w:p>
            <w:pPr>
              <w:spacing w:after="0"/>
              <w:rPr>
                <w:sz w:val="17"/>
                <w:szCs w:val="17"/>
                <w:color w:val="auto"/>
              </w:rPr>
            </w:pPr>
          </w:p>
        </w:tc>
      </w:tr>
    </w:tbl>
    <w:p>
      <w:pPr>
        <w:spacing w:after="0" w:line="397" w:lineRule="exact"/>
        <w:rPr>
          <w:sz w:val="20"/>
          <w:szCs w:val="20"/>
          <w:color w:val="auto"/>
        </w:rPr>
      </w:pPr>
    </w:p>
    <w:p>
      <w:pPr>
        <w:ind w:left="520" w:right="3779" w:hanging="515"/>
        <w:spacing w:after="0" w:line="243"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Appleton also served as a member of the Board of Directors of the Company between April 1991 and July 1992.</w:t>
      </w:r>
    </w:p>
    <w:p>
      <w:pPr>
        <w:spacing w:after="0" w:line="2" w:lineRule="exact"/>
        <w:rPr>
          <w:rFonts w:ascii="Courier New" w:cs="Courier New" w:eastAsia="Courier New" w:hAnsi="Courier New"/>
          <w:sz w:val="17"/>
          <w:szCs w:val="17"/>
          <w:color w:val="auto"/>
        </w:rPr>
      </w:pPr>
    </w:p>
    <w:p>
      <w:pPr>
        <w:ind w:left="520" w:right="3679" w:hanging="515"/>
        <w:spacing w:after="0" w:line="243"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Lothrop also served as a member of the Board of Directors of the Company between August 1986 and July 1992.</w:t>
      </w:r>
    </w:p>
    <w:p>
      <w:pPr>
        <w:spacing w:after="0" w:line="2" w:lineRule="exact"/>
        <w:rPr>
          <w:rFonts w:ascii="Courier New" w:cs="Courier New" w:eastAsia="Courier New" w:hAnsi="Courier New"/>
          <w:sz w:val="17"/>
          <w:szCs w:val="17"/>
          <w:color w:val="auto"/>
        </w:rPr>
      </w:pPr>
    </w:p>
    <w:p>
      <w:pPr>
        <w:ind w:left="520" w:right="3579" w:hanging="515"/>
        <w:spacing w:after="0" w:line="243" w:lineRule="auto"/>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Lowrey also served as a member of the Board of Directors of the Company between August 1990 and July 1992.</w:t>
      </w:r>
    </w:p>
    <w:p>
      <w:pPr>
        <w:spacing w:after="0" w:line="199" w:lineRule="exact"/>
        <w:rPr>
          <w:sz w:val="20"/>
          <w:szCs w:val="20"/>
          <w:color w:val="auto"/>
        </w:rPr>
      </w:pPr>
    </w:p>
    <w:p>
      <w:pPr>
        <w:ind w:right="3679" w:firstLine="102"/>
        <w:spacing w:after="0" w:line="243" w:lineRule="auto"/>
        <w:rPr>
          <w:sz w:val="20"/>
          <w:szCs w:val="20"/>
          <w:color w:val="auto"/>
        </w:rPr>
      </w:pPr>
      <w:r>
        <w:rPr>
          <w:rFonts w:ascii="Courier New" w:cs="Courier New" w:eastAsia="Courier New" w:hAnsi="Courier New"/>
          <w:sz w:val="17"/>
          <w:szCs w:val="17"/>
          <w:color w:val="auto"/>
        </w:rPr>
        <w:t>Each of the nominees has been engaged in his principal occupation set forth above during the past five years, except as follows:</w:t>
      </w:r>
    </w:p>
    <w:p>
      <w:pPr>
        <w:spacing w:after="0" w:line="200" w:lineRule="exact"/>
        <w:rPr>
          <w:sz w:val="20"/>
          <w:szCs w:val="20"/>
          <w:color w:val="auto"/>
        </w:rPr>
      </w:pPr>
    </w:p>
    <w:p>
      <w:pPr>
        <w:ind w:right="3679" w:firstLine="107"/>
        <w:spacing w:after="0" w:line="244" w:lineRule="auto"/>
        <w:tabs>
          <w:tab w:leader="none" w:pos="51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past five years, Steven R. Appleton served in various capacities with the Company, its subsidiaries and affiliates, including President and Chief Operating Officer and Vice President, Manufacturing of the Company; Chairman of the Board of Directors of Micron Semiconductor, Inc. (a wholly owned subsidiary of the Company); and President and Chief Executive Officer of Micron Semiconductor, Inc.</w:t>
      </w:r>
    </w:p>
    <w:p>
      <w:pPr>
        <w:spacing w:after="0" w:line="199" w:lineRule="exact"/>
        <w:rPr>
          <w:rFonts w:ascii="Courier New" w:cs="Courier New" w:eastAsia="Courier New" w:hAnsi="Courier New"/>
          <w:sz w:val="17"/>
          <w:szCs w:val="17"/>
          <w:color w:val="auto"/>
        </w:rPr>
      </w:pPr>
    </w:p>
    <w:p>
      <w:pPr>
        <w:jc w:val="both"/>
        <w:ind w:right="3879" w:firstLine="107"/>
        <w:spacing w:after="0" w:line="243" w:lineRule="auto"/>
        <w:tabs>
          <w:tab w:leader="none" w:pos="61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Robert A. Lothrop served as Senior Vice President of the J.R. Simplot Company from January 1986 until his retirement in January 1991.</w:t>
      </w:r>
    </w:p>
    <w:p>
      <w:pPr>
        <w:spacing w:after="0" w:line="199" w:lineRule="exact"/>
        <w:rPr>
          <w:rFonts w:ascii="Courier New" w:cs="Courier New" w:eastAsia="Courier New" w:hAnsi="Courier New"/>
          <w:sz w:val="17"/>
          <w:szCs w:val="17"/>
          <w:color w:val="auto"/>
        </w:rPr>
      </w:pPr>
    </w:p>
    <w:p>
      <w:pPr>
        <w:ind w:right="3579" w:firstLine="107"/>
        <w:spacing w:after="0" w:line="244" w:lineRule="auto"/>
        <w:tabs>
          <w:tab w:leader="none" w:pos="7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past five years, Tyler A. Lowrey served in various capacities with the Company, its subsidiaries and affiliates, including Vice President, Research and Development of the Company; Vice President, Process Research and Development and Assistant Technical Officer of the Company; director of the Company; and Vice President, Chief Technical Officer and director of Micron Semiconductor, Inc.</w:t>
      </w:r>
    </w:p>
    <w:p>
      <w:pPr>
        <w:spacing w:after="0" w:line="199" w:lineRule="exact"/>
        <w:rPr>
          <w:rFonts w:ascii="Courier New" w:cs="Courier New" w:eastAsia="Courier New" w:hAnsi="Courier New"/>
          <w:sz w:val="17"/>
          <w:szCs w:val="17"/>
          <w:color w:val="auto"/>
        </w:rPr>
      </w:pPr>
    </w:p>
    <w:p>
      <w:pPr>
        <w:ind w:right="3579" w:firstLine="107"/>
        <w:spacing w:after="0" w:line="244" w:lineRule="auto"/>
        <w:tabs>
          <w:tab w:leader="none" w:pos="612"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Don J. Simplot served as the President of Simplot Financial Corporation, a wholly owned subsidiary of the J.R. Simplot Company, from February 1985 until January 1992. In April 1994, Mr. Don Simplot was appointed as a member of Office of the Chairman of the J.R. Simplot Company.</w:t>
      </w:r>
    </w:p>
    <w:p>
      <w:pPr>
        <w:spacing w:after="0" w:line="197" w:lineRule="exact"/>
        <w:rPr>
          <w:rFonts w:ascii="Courier New" w:cs="Courier New" w:eastAsia="Courier New" w:hAnsi="Courier New"/>
          <w:sz w:val="17"/>
          <w:szCs w:val="17"/>
          <w:color w:val="auto"/>
        </w:rPr>
      </w:pPr>
    </w:p>
    <w:p>
      <w:pPr>
        <w:ind w:left="520" w:hanging="413"/>
        <w:spacing w:after="0"/>
        <w:tabs>
          <w:tab w:leader="none" w:pos="5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John R. Simplot served as the Chairman of the Board of</w:t>
      </w:r>
    </w:p>
    <w:p>
      <w:pPr>
        <w:spacing w:after="0" w:line="4" w:lineRule="exact"/>
        <w:rPr>
          <w:rFonts w:ascii="Courier New" w:cs="Courier New" w:eastAsia="Courier New" w:hAnsi="Courier New"/>
          <w:sz w:val="17"/>
          <w:szCs w:val="17"/>
          <w:color w:val="auto"/>
        </w:rPr>
      </w:pPr>
    </w:p>
    <w:p>
      <w:pPr>
        <w:ind w:right="36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of the J.R. Simplot Company prior to his retirement in April 1994. Mr. John R. Simplot currently serves as Chairman Emeritus of the J.R. Simplot Company.</w:t>
      </w:r>
    </w:p>
    <w:p>
      <w:pPr>
        <w:spacing w:after="0" w:line="199"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7" w:right="1440" w:bottom="0" w:gutter="0" w:footer="0" w:header="0"/>
        </w:sectPr>
      </w:pPr>
    </w:p>
    <w:bookmarkStart w:id="9" w:name="page10"/>
    <w:bookmarkEnd w:id="9"/>
    <w:p>
      <w:pPr>
        <w:jc w:val="both"/>
        <w:ind w:right="3579" w:firstLine="107"/>
        <w:spacing w:after="0" w:line="243" w:lineRule="auto"/>
        <w:tabs>
          <w:tab w:leader="none" w:pos="61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Gordon C. Smith served in various management positions from July 1980 until January 1992 for Simplot Financial Corporation, a wholly owned subsidiary of the J.R. Simplot Company. From May</w:t>
      </w:r>
    </w:p>
    <w:p>
      <w:pPr>
        <w:spacing w:after="0" w:line="3" w:lineRule="exact"/>
        <w:rPr>
          <w:rFonts w:ascii="Courier New" w:cs="Courier New" w:eastAsia="Courier New" w:hAnsi="Courier New"/>
          <w:sz w:val="17"/>
          <w:szCs w:val="17"/>
          <w:color w:val="auto"/>
        </w:rPr>
      </w:pPr>
    </w:p>
    <w:p>
      <w:pPr>
        <w:ind w:right="35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1988 until his retirement in March 1994, Mr. Smith served as the President and Chief Executive Officer of the J.R. Simplot Company. Mr. Smith also currently serves as a director of the J.R. Simplot Company. The J.R. Simplot Company is a privately held company involved in food processing and in manufacturing and marketing fertilizers and agricultural chemicals.</w:t>
      </w:r>
    </w:p>
    <w:p>
      <w:pPr>
        <w:spacing w:after="0" w:line="198" w:lineRule="exact"/>
        <w:rPr>
          <w:rFonts w:ascii="Courier New" w:cs="Courier New" w:eastAsia="Courier New" w:hAnsi="Courier New"/>
          <w:sz w:val="17"/>
          <w:szCs w:val="17"/>
          <w:color w:val="auto"/>
        </w:rPr>
      </w:pPr>
    </w:p>
    <w:p>
      <w:pPr>
        <w:ind w:right="3779" w:firstLine="107"/>
        <w:spacing w:after="0" w:line="244" w:lineRule="auto"/>
        <w:tabs>
          <w:tab w:leader="none" w:pos="7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past five years, Wilbur G. Stover, Jr. served in various capacities with the Company, its subsidiaries and affiliates, including, Controller and Treasurer of the Company and Vice President, Finance, and Chief Financial Officer of Micron Semiconductor, Inc.</w:t>
      </w:r>
    </w:p>
    <w:p>
      <w:pPr>
        <w:spacing w:after="0" w:line="198"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Mr. Allen T. Noble has served as a director of West One Bancorp, or its predecessor, since 1975 (except for the period between March 1983 through September 1984). West One Bancorp is the parent company of West One Bank, Idaho, the Company's stock transfer agent and registrar. West One Bancorp is a publicly traded company.</w:t>
      </w:r>
    </w:p>
    <w:p>
      <w:pPr>
        <w:spacing w:after="0" w:line="199" w:lineRule="exact"/>
        <w:rPr>
          <w:sz w:val="20"/>
          <w:szCs w:val="20"/>
          <w:color w:val="auto"/>
        </w:rPr>
      </w:pPr>
    </w:p>
    <w:p>
      <w:pPr>
        <w:ind w:right="3679" w:firstLine="102"/>
        <w:spacing w:after="0" w:line="243" w:lineRule="auto"/>
        <w:rPr>
          <w:sz w:val="20"/>
          <w:szCs w:val="20"/>
          <w:color w:val="auto"/>
        </w:rPr>
      </w:pPr>
      <w:r>
        <w:rPr>
          <w:rFonts w:ascii="Courier New" w:cs="Courier New" w:eastAsia="Courier New" w:hAnsi="Courier New"/>
          <w:sz w:val="17"/>
          <w:szCs w:val="17"/>
          <w:color w:val="auto"/>
        </w:rPr>
        <w:t>There is no family relationship between any director or executive officer of the Company, except between John R. Simplot and Don J. Simplot, who are father and son, respectively.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Compliance</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31, 1995, except for Mr. John R. Simplot. Mr. John R. Simplot, who is a director of the Company, failed to report on SEC Form 4 (Statement of Changes in Beneficial Ownership) a purchase by his spouse of 250 shares of Common Stock of the Company in March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In March of 1995, Lake Hazel Shopping Center, an Idaho general partnership, of which Mr. Nicholson is a partner, sold approximately 80 acres of real property located in Ada County, Idaho, to the Company for $708,445. The acquisition of the real estate was in the Company's ordinary course of obtaining property for expansion of its operations at its Boise, Idaho site.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Meetings and Committees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Board of Directors of the Company held a total of sixteen</w:t>
      </w:r>
    </w:p>
    <w:p>
      <w:pPr>
        <w:spacing w:after="0" w:line="5" w:lineRule="exact"/>
        <w:rPr>
          <w:sz w:val="20"/>
          <w:szCs w:val="20"/>
          <w:color w:val="auto"/>
        </w:rPr>
      </w:pPr>
    </w:p>
    <w:p>
      <w:pPr>
        <w:ind w:right="3779" w:firstLine="5"/>
        <w:spacing w:after="0" w:line="243" w:lineRule="auto"/>
        <w:tabs>
          <w:tab w:leader="none" w:pos="5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meetings during the fiscal year ended August 31, 1995. The Board of Directors has formed a standing Audit Committee and a standing Compensation Committee.</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Audit Committee, which consists of Mr. Nicholson, Mr. Noble, and Mr. Smith, held two (2) meetings during fiscal 1995. The Audit Committee is primarily responsible for reviewing the services performed by the Company's independent accountants and evaluating the Company's accounting principles and system of internal accounting controls.</w:t>
      </w:r>
    </w:p>
    <w:p>
      <w:pPr>
        <w:spacing w:after="0" w:line="199" w:lineRule="exact"/>
        <w:rPr>
          <w:sz w:val="20"/>
          <w:szCs w:val="20"/>
          <w:color w:val="auto"/>
        </w:rPr>
      </w:pPr>
    </w:p>
    <w:p>
      <w:pPr>
        <w:ind w:right="3779" w:firstLine="102"/>
        <w:spacing w:after="0" w:line="244" w:lineRule="auto"/>
        <w:rPr>
          <w:sz w:val="20"/>
          <w:szCs w:val="20"/>
          <w:color w:val="auto"/>
        </w:rPr>
      </w:pPr>
      <w:r>
        <w:rPr>
          <w:rFonts w:ascii="Courier New" w:cs="Courier New" w:eastAsia="Courier New" w:hAnsi="Courier New"/>
          <w:sz w:val="17"/>
          <w:szCs w:val="17"/>
          <w:color w:val="auto"/>
        </w:rPr>
        <w:t>The Compensation Committee, which consists of Mr. Lothrop, Mr. Nicholson, Mr. Noble, and Mr. John R. Simplot, held three (3) meetings during fiscal 1995. The Compensation Committee is primarily responsible for reviewing and approving the compensation for the Company's officers. (See "Compensation Committee Interlocks and Insider Participation" set forth herein.)</w:t>
      </w:r>
    </w:p>
    <w:p>
      <w:pPr>
        <w:spacing w:after="0" w:line="199"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During fiscal 1995, all incumbent directors attended 75% or more of the total number of meetings of the Board of Directors and of the total number of meetings of all committees of the Board on which they served.</w:t>
      </w:r>
    </w:p>
    <w:p>
      <w:pPr>
        <w:sectPr>
          <w:pgSz w:w="11900" w:h="16838" w:orient="portrait"/>
          <w:cols w:equalWidth="0" w:num="1">
            <w:col w:w="10219"/>
          </w:cols>
          <w:pgMar w:left="240" w:top="508" w:right="1440" w:bottom="0" w:gutter="0" w:footer="0" w:header="0"/>
        </w:sectPr>
      </w:pPr>
    </w:p>
    <w:bookmarkStart w:id="10" w:name="page11"/>
    <w:bookmarkEnd w:id="10"/>
    <w:p>
      <w:pPr>
        <w:ind w:left="19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38" w:right="1440" w:bottom="1440" w:gutter="0" w:footer="0" w:header="0"/>
        </w:sectPr>
      </w:pPr>
    </w:p>
    <w:bookmarkStart w:id="11" w:name="page12"/>
    <w:bookmarkEnd w:id="11"/>
    <w:p>
      <w:pPr>
        <w:jc w:val="center"/>
        <w:ind w:right="4980"/>
        <w:spacing w:after="0"/>
        <w:rPr>
          <w:sz w:val="20"/>
          <w:szCs w:val="20"/>
          <w:color w:val="auto"/>
        </w:rPr>
      </w:pPr>
      <w:r>
        <w:rPr>
          <w:rFonts w:ascii="Courier New" w:cs="Courier New" w:eastAsia="Courier New" w:hAnsi="Courier New"/>
          <w:sz w:val="17"/>
          <w:szCs w:val="17"/>
          <w:color w:val="auto"/>
        </w:rPr>
        <w:t>COMPENSATION OF DIRECTORS AND EXECUTIVE OFFICERS</w:t>
      </w:r>
    </w:p>
    <w:p>
      <w:pPr>
        <w:spacing w:after="0" w:line="201" w:lineRule="exact"/>
        <w:rPr>
          <w:sz w:val="20"/>
          <w:szCs w:val="20"/>
          <w:color w:val="auto"/>
        </w:rPr>
      </w:pPr>
    </w:p>
    <w:p>
      <w:pPr>
        <w:ind w:right="4980"/>
        <w:spacing w:after="0" w:line="244" w:lineRule="auto"/>
        <w:rPr>
          <w:sz w:val="20"/>
          <w:szCs w:val="20"/>
          <w:color w:val="auto"/>
        </w:rPr>
      </w:pPr>
      <w:r>
        <w:rPr>
          <w:rFonts w:ascii="Courier New" w:cs="Courier New" w:eastAsia="Courier New" w:hAnsi="Courier New"/>
          <w:sz w:val="17"/>
          <w:szCs w:val="17"/>
          <w:color w:val="auto"/>
        </w:rPr>
        <w:t>The following table shows all compensation paid to the Company's Chief Executive Officer and the Company's other four most highly compensated executive officers who were serving as executive officers at the end of fiscal 1995 for all services rendered to the Company and its subsidiaries for each of the last three completed fiscal years. The table also shows all such compensation paid to Mr. Parkinson, Chief Executive Officer through September 26, 1994 and Mr. Smith, an executive officer through May 10, 1995, who would have been one of the four most highly compensated executive officers of the Company other than the CEO, except for the fact that he was not serving as an executive officer at the end of fiscal 1995:</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gridSpan w:val="3"/>
          </w:tcPr>
          <w:p>
            <w:pPr>
              <w:jc w:val="right"/>
              <w:ind w:right="275"/>
              <w:spacing w:after="0"/>
              <w:rPr>
                <w:sz w:val="20"/>
                <w:szCs w:val="20"/>
                <w:color w:val="auto"/>
              </w:rPr>
            </w:pPr>
            <w:r>
              <w:rPr>
                <w:rFonts w:ascii="Courier New" w:cs="Courier New" w:eastAsia="Courier New" w:hAnsi="Courier New"/>
                <w:sz w:val="17"/>
                <w:szCs w:val="17"/>
                <w:color w:val="auto"/>
              </w:rPr>
              <w:t>SUMMARY COMPENSATION TABLE</w:t>
            </w:r>
          </w:p>
        </w:tc>
        <w:tc>
          <w:tcPr>
            <w:tcW w:w="1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6"/>
        </w:trPr>
        <w:tc>
          <w:tcPr>
            <w:tcW w:w="3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Long-term</w:t>
            </w:r>
          </w:p>
        </w:tc>
        <w:tc>
          <w:tcPr>
            <w:tcW w:w="146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20" w:type="dxa"/>
            <w:vAlign w:val="bottom"/>
            <w:gridSpan w:val="2"/>
          </w:tcPr>
          <w:p>
            <w:pPr>
              <w:jc w:val="right"/>
              <w:ind w:right="1355"/>
              <w:spacing w:after="0"/>
              <w:rPr>
                <w:sz w:val="20"/>
                <w:szCs w:val="20"/>
                <w:color w:val="auto"/>
              </w:rPr>
            </w:pPr>
            <w:r>
              <w:rPr>
                <w:rFonts w:ascii="Courier New" w:cs="Courier New" w:eastAsia="Courier New" w:hAnsi="Courier New"/>
                <w:sz w:val="17"/>
                <w:szCs w:val="17"/>
                <w:color w:val="auto"/>
              </w:rPr>
              <w:t>Annual Compensation</w:t>
            </w:r>
          </w:p>
        </w:tc>
        <w:tc>
          <w:tcPr>
            <w:tcW w:w="16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8"/>
              </w:rPr>
              <w:t>Compensation</w:t>
            </w:r>
          </w:p>
        </w:tc>
        <w:tc>
          <w:tcPr>
            <w:tcW w:w="146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8"/>
              </w:rPr>
              <w:t>------------</w:t>
            </w:r>
          </w:p>
        </w:tc>
        <w:tc>
          <w:tcPr>
            <w:tcW w:w="146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All Other</w:t>
            </w:r>
          </w:p>
        </w:tc>
      </w:tr>
      <w:tr>
        <w:trPr>
          <w:trHeight w:val="196"/>
        </w:trPr>
        <w:tc>
          <w:tcPr>
            <w:tcW w:w="322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Fiscal</w:t>
            </w: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Other Annual</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Options</w:t>
            </w:r>
          </w:p>
        </w:tc>
        <w:tc>
          <w:tcPr>
            <w:tcW w:w="14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Compensation</w:t>
            </w:r>
          </w:p>
        </w:tc>
      </w:tr>
      <w:tr>
        <w:trPr>
          <w:trHeight w:val="196"/>
        </w:trPr>
        <w:tc>
          <w:tcPr>
            <w:tcW w:w="3220" w:type="dxa"/>
            <w:vAlign w:val="bottom"/>
          </w:tcPr>
          <w:p>
            <w:pPr>
              <w:spacing w:after="0"/>
              <w:rPr>
                <w:sz w:val="20"/>
                <w:szCs w:val="20"/>
                <w:color w:val="auto"/>
              </w:rPr>
            </w:pPr>
            <w:r>
              <w:rPr>
                <w:rFonts w:ascii="Courier New" w:cs="Courier New" w:eastAsia="Courier New" w:hAnsi="Courier New"/>
                <w:sz w:val="17"/>
                <w:szCs w:val="17"/>
                <w:color w:val="auto"/>
              </w:rPr>
              <w:t>Name and Principal Position (1)</w:t>
            </w:r>
          </w:p>
        </w:tc>
        <w:tc>
          <w:tcPr>
            <w:tcW w:w="760" w:type="dxa"/>
            <w:vAlign w:val="bottom"/>
          </w:tcPr>
          <w:p>
            <w:pPr>
              <w:ind w:left="160"/>
              <w:spacing w:after="0"/>
              <w:rPr>
                <w:sz w:val="20"/>
                <w:szCs w:val="20"/>
                <w:color w:val="auto"/>
              </w:rPr>
            </w:pPr>
            <w:r>
              <w:rPr>
                <w:rFonts w:ascii="Courier New" w:cs="Courier New" w:eastAsia="Courier New" w:hAnsi="Courier New"/>
                <w:sz w:val="17"/>
                <w:szCs w:val="17"/>
                <w:color w:val="auto"/>
              </w:rPr>
              <w:t>Year</w:t>
            </w:r>
          </w:p>
        </w:tc>
        <w:tc>
          <w:tcPr>
            <w:tcW w:w="60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Salary (2) Bonus (3)(4) Compensation (5) Granted (#)(6)(7)</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(8)</w:t>
            </w:r>
          </w:p>
        </w:tc>
      </w:tr>
      <w:tr>
        <w:trPr>
          <w:trHeight w:val="196"/>
        </w:trPr>
        <w:tc>
          <w:tcPr>
            <w:tcW w:w="8380" w:type="dxa"/>
            <w:vAlign w:val="bottom"/>
            <w:gridSpan w:val="5"/>
          </w:tcPr>
          <w:p>
            <w:pPr>
              <w:spacing w:after="0"/>
              <w:rPr>
                <w:sz w:val="20"/>
                <w:szCs w:val="20"/>
                <w:color w:val="auto"/>
              </w:rPr>
            </w:pPr>
            <w:r>
              <w:rPr>
                <w:rFonts w:ascii="Courier New" w:cs="Courier New" w:eastAsia="Courier New" w:hAnsi="Courier New"/>
                <w:sz w:val="17"/>
                <w:szCs w:val="17"/>
                <w:color w:val="auto"/>
                <w:w w:val="99"/>
              </w:rPr>
              <w:t>- ------------------------------- ------  ---------- ------------ ----------------</w:t>
            </w:r>
          </w:p>
        </w:tc>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$1,239,540</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w w:val="95"/>
              </w:rPr>
              <w:t>120,000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$57,017</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Chairman, CEO and President</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436,624</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640,246</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w w:val="95"/>
              </w:rPr>
              <w:t>100,000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42,397</w:t>
            </w:r>
          </w:p>
        </w:tc>
      </w:tr>
      <w:tr>
        <w:trPr>
          <w:trHeight w:val="196"/>
        </w:trPr>
        <w:tc>
          <w:tcPr>
            <w:tcW w:w="322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232,692</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150,227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7"/>
              </w:rPr>
              <w:t>125,008(9)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22,663</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1,245,274</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w w:val="95"/>
              </w:rPr>
              <w:t>120,000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15,262</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Vice Chairman,</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436,624</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613,818</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w w:val="95"/>
              </w:rPr>
              <w:t>100,000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4,717</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Chief Technical Officer</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232,692</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303,907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w w:val="97"/>
              </w:rPr>
              <w:t>125,008(9)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4,154</w:t>
            </w:r>
          </w:p>
        </w:tc>
      </w:tr>
      <w:tr>
        <w:trPr>
          <w:trHeight w:val="589"/>
        </w:trPr>
        <w:tc>
          <w:tcPr>
            <w:tcW w:w="3220" w:type="dxa"/>
            <w:vAlign w:val="bottom"/>
          </w:tcPr>
          <w:p>
            <w:pPr>
              <w:spacing w:after="0"/>
              <w:rPr>
                <w:sz w:val="20"/>
                <w:szCs w:val="20"/>
                <w:color w:val="auto"/>
              </w:rPr>
            </w:pPr>
            <w:r>
              <w:rPr>
                <w:rFonts w:ascii="Courier New" w:cs="Courier New" w:eastAsia="Courier New" w:hAnsi="Courier New"/>
                <w:sz w:val="17"/>
                <w:szCs w:val="17"/>
                <w:color w:val="auto"/>
              </w:rPr>
              <w:t>Edward J. Heitzeberg</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613,047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80,000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25,000</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Quality</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196,836</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227,507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75,000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20,642</w:t>
            </w:r>
          </w:p>
        </w:tc>
      </w:tr>
      <w:tr>
        <w:trPr>
          <w:trHeight w:val="196"/>
        </w:trPr>
        <w:tc>
          <w:tcPr>
            <w:tcW w:w="322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176,635</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182,284</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60,010(9)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4,459</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Wilbur G. Stover, Jr.</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233,385</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576,845</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72,000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12,249</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Finance,</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156,692</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189,385</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49,998</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4,176</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CFO and Secretary</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120,008</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48,290</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60,010(9)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1,877</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Donald D. Baldwin</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205,000</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516,027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64,000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20,447</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Sales</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200,949</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201,758</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75,000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16,112</w:t>
            </w:r>
          </w:p>
        </w:tc>
      </w:tr>
      <w:tr>
        <w:trPr>
          <w:trHeight w:val="196"/>
        </w:trPr>
        <w:tc>
          <w:tcPr>
            <w:tcW w:w="322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159,808</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53,815</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60,010(9)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13,933</w:t>
            </w:r>
          </w:p>
        </w:tc>
      </w:tr>
      <w:tr>
        <w:trPr>
          <w:trHeight w:val="196"/>
        </w:trPr>
        <w:tc>
          <w:tcPr>
            <w:tcW w:w="3220" w:type="dxa"/>
            <w:vAlign w:val="bottom"/>
          </w:tcPr>
          <w:p>
            <w:pPr>
              <w:spacing w:after="0"/>
              <w:rPr>
                <w:sz w:val="20"/>
                <w:szCs w:val="20"/>
                <w:color w:val="auto"/>
              </w:rPr>
            </w:pPr>
            <w:r>
              <w:rPr>
                <w:rFonts w:ascii="Courier New" w:cs="Courier New" w:eastAsia="Courier New" w:hAnsi="Courier New"/>
                <w:sz w:val="17"/>
                <w:szCs w:val="17"/>
                <w:color w:val="auto"/>
              </w:rPr>
              <w:t>__________</w:t>
            </w: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370,769</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201,976</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157,398</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Former Chairman and CEO</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679,722</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656,318</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51,433</w:t>
            </w:r>
          </w:p>
        </w:tc>
      </w:tr>
      <w:tr>
        <w:trPr>
          <w:trHeight w:val="196"/>
        </w:trPr>
        <w:tc>
          <w:tcPr>
            <w:tcW w:w="322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331,731</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491,787</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12,584</w:t>
            </w:r>
          </w:p>
        </w:tc>
      </w:tr>
      <w:tr>
        <w:trPr>
          <w:trHeight w:val="392"/>
        </w:trPr>
        <w:tc>
          <w:tcPr>
            <w:tcW w:w="3220" w:type="dxa"/>
            <w:vAlign w:val="bottom"/>
          </w:tcPr>
          <w:p>
            <w:pPr>
              <w:spacing w:after="0"/>
              <w:rPr>
                <w:sz w:val="20"/>
                <w:szCs w:val="20"/>
                <w:color w:val="auto"/>
              </w:rPr>
            </w:pPr>
            <w:r>
              <w:rPr>
                <w:rFonts w:ascii="Courier New" w:cs="Courier New" w:eastAsia="Courier New" w:hAnsi="Courier New"/>
                <w:sz w:val="17"/>
                <w:szCs w:val="17"/>
                <w:color w:val="auto"/>
              </w:rPr>
              <w:t>Kenneth G. Smith</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204,500</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592,672</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80,000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30,204</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Former Vice President,</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200,943</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202,158</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75,000</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17,180</w:t>
            </w:r>
          </w:p>
        </w:tc>
      </w:tr>
      <w:tr>
        <w:trPr>
          <w:trHeight w:val="196"/>
        </w:trPr>
        <w:tc>
          <w:tcPr>
            <w:tcW w:w="3220" w:type="dxa"/>
            <w:vAlign w:val="bottom"/>
          </w:tcPr>
          <w:p>
            <w:pPr>
              <w:ind w:left="100"/>
              <w:spacing w:after="0"/>
              <w:rPr>
                <w:sz w:val="20"/>
                <w:szCs w:val="20"/>
                <w:color w:val="auto"/>
              </w:rPr>
            </w:pPr>
            <w:r>
              <w:rPr>
                <w:rFonts w:ascii="Courier New" w:cs="Courier New" w:eastAsia="Courier New" w:hAnsi="Courier New"/>
                <w:sz w:val="17"/>
                <w:szCs w:val="17"/>
                <w:color w:val="auto"/>
              </w:rPr>
              <w:t>Operations</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1993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159,808</w:t>
            </w:r>
          </w:p>
        </w:tc>
        <w:tc>
          <w:tcPr>
            <w:tcW w:w="14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51,949</w:t>
            </w:r>
          </w:p>
        </w:tc>
        <w:tc>
          <w:tcPr>
            <w:tcW w:w="2000" w:type="dxa"/>
            <w:vAlign w:val="bottom"/>
          </w:tcPr>
          <w:p>
            <w:pPr>
              <w:jc w:val="right"/>
              <w:ind w:right="1055"/>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60,010(9)</w:t>
            </w:r>
          </w:p>
        </w:tc>
        <w:tc>
          <w:tcPr>
            <w:tcW w:w="146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12,308</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w:t>
      </w:r>
    </w:p>
    <w:p>
      <w:pPr>
        <w:spacing w:after="0" w:line="201" w:lineRule="exact"/>
        <w:rPr>
          <w:sz w:val="20"/>
          <w:szCs w:val="20"/>
          <w:color w:val="auto"/>
        </w:rPr>
      </w:pPr>
    </w:p>
    <w:p>
      <w:pPr>
        <w:ind w:left="520" w:right="4380" w:hanging="515"/>
        <w:spacing w:after="0" w:line="244" w:lineRule="auto"/>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Chief Executive Officer and four most highly compensated executive officers, other than the Chief Executive Officer, in their respective positions at the end of fiscal 1995. Mr. Parkinson, and certain other officers of the Company resigned from their positions as officers and directors of the Company effective as of September 26, 1994. Effective upon their resignations, Steven R. Appleton was appointed to serve as the Company's Chairman, Chief Executive Officer, and President; Tyler A. Lowrey was appointed to serve as Vice Chairman and Chief Technical Officer; and Wilbur G. Stover, Jr. was appointed to serve as Vice President, Finance, and Chief Financial Officer of the Company. Mr. Smith, former Vice President, Operations, resigned as an officer of the Company on May 10, 1995.</w:t>
      </w:r>
    </w:p>
    <w:p>
      <w:pPr>
        <w:spacing w:after="0" w:line="201" w:lineRule="exact"/>
        <w:rPr>
          <w:rFonts w:ascii="Courier New" w:cs="Courier New" w:eastAsia="Courier New" w:hAnsi="Courier New"/>
          <w:sz w:val="17"/>
          <w:szCs w:val="17"/>
          <w:color w:val="auto"/>
        </w:rPr>
      </w:pPr>
    </w:p>
    <w:p>
      <w:pPr>
        <w:ind w:left="520" w:right="5300" w:hanging="515"/>
        <w:spacing w:after="0" w:line="243" w:lineRule="auto"/>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compensation deferred by the employee under the Company's Section 401(k) retirement plan.</w:t>
      </w:r>
    </w:p>
    <w:p>
      <w:pPr>
        <w:spacing w:after="0" w:line="19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507" w:right="139" w:bottom="859" w:gutter="0" w:footer="0" w:header="0"/>
        </w:sectPr>
      </w:pPr>
    </w:p>
    <w:bookmarkStart w:id="12" w:name="page13"/>
    <w:bookmarkEnd w:id="12"/>
    <w:p>
      <w:pPr>
        <w:ind w:left="520" w:right="4380" w:hanging="515"/>
        <w:spacing w:after="0" w:line="244" w:lineRule="auto"/>
        <w:tabs>
          <w:tab w:leader="none" w:pos="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executive bonuses earned and paid during the fiscal year for financial performance goals relating to previous fiscal years. See the subheading "Payment/Exercise Restrictions" under "REPORT OF THE COMPENSATION COMMITTEE OF THE BOARD OF DIRECTORS REGARDING EXECUTIVE COMPENSATION" set forth herein.</w:t>
      </w:r>
    </w:p>
    <w:p>
      <w:pPr>
        <w:spacing w:after="0" w:line="2" w:lineRule="exact"/>
        <w:rPr>
          <w:rFonts w:ascii="Courier New" w:cs="Courier New" w:eastAsia="Courier New" w:hAnsi="Courier New"/>
          <w:sz w:val="17"/>
          <w:szCs w:val="17"/>
          <w:color w:val="auto"/>
        </w:rPr>
      </w:pPr>
    </w:p>
    <w:p>
      <w:pPr>
        <w:ind w:left="520" w:right="4180" w:hanging="515"/>
        <w:spacing w:after="0" w:line="259" w:lineRule="auto"/>
        <w:tabs>
          <w:tab w:leader="none" w:pos="5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profit sharing and bonus compensation paid for achievement of performance milestones, the filing and issuance of patents, and the publication of technical articles.</w:t>
      </w:r>
    </w:p>
    <w:p>
      <w:pPr>
        <w:spacing w:after="0" w:line="1" w:lineRule="exact"/>
        <w:rPr>
          <w:rFonts w:ascii="Courier New" w:cs="Courier New" w:eastAsia="Courier New" w:hAnsi="Courier New"/>
          <w:sz w:val="16"/>
          <w:szCs w:val="16"/>
          <w:color w:val="auto"/>
        </w:rPr>
      </w:pPr>
    </w:p>
    <w:p>
      <w:pPr>
        <w:ind w:left="520" w:right="4380" w:hanging="515"/>
        <w:spacing w:after="0" w:line="244" w:lineRule="auto"/>
        <w:tabs>
          <w:tab w:leader="none" w:pos="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the payment of certain perquisites and other benefits which in the aggregate did not exceed the lesser of $50,000 or 10% of the named executive's salary and bonus for such year.</w:t>
      </w:r>
    </w:p>
    <w:p>
      <w:pPr>
        <w:ind w:left="520" w:hanging="515"/>
        <w:spacing w:after="0"/>
        <w:tabs>
          <w:tab w:leader="none" w:pos="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shares of the Company's</w:t>
      </w:r>
    </w:p>
    <w:p>
      <w:pPr>
        <w:spacing w:after="0" w:line="4" w:lineRule="exact"/>
        <w:rPr>
          <w:rFonts w:ascii="Courier New" w:cs="Courier New" w:eastAsia="Courier New" w:hAnsi="Courier New"/>
          <w:sz w:val="17"/>
          <w:szCs w:val="17"/>
          <w:color w:val="auto"/>
        </w:rPr>
      </w:pPr>
    </w:p>
    <w:p>
      <w:pPr>
        <w:ind w:left="520" w:right="4380"/>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Common Stock under the Company's 1985 Incentive Stock Option Plan and the 1994 Stock Option Plan (the "Stock Plans").</w:t>
      </w:r>
    </w:p>
    <w:p>
      <w:pPr>
        <w:ind w:left="520" w:hanging="515"/>
        <w:spacing w:after="0"/>
        <w:tabs>
          <w:tab w:leader="none" w:pos="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the Stock Plans reflect a 2-for-1</w:t>
      </w:r>
    </w:p>
    <w:p>
      <w:pPr>
        <w:spacing w:after="0" w:line="4" w:lineRule="exact"/>
        <w:rPr>
          <w:rFonts w:ascii="Courier New" w:cs="Courier New" w:eastAsia="Courier New" w:hAnsi="Courier New"/>
          <w:sz w:val="17"/>
          <w:szCs w:val="17"/>
          <w:color w:val="auto"/>
        </w:rPr>
      </w:pPr>
    </w:p>
    <w:p>
      <w:pPr>
        <w:ind w:left="520" w:right="418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stock split effected in the form of a stock dividend as of May 4, 1995, and a 5-for-2 stock split effected in the form of a stock dividend, as of April 1, 1994.</w:t>
      </w:r>
    </w:p>
    <w:p>
      <w:pPr>
        <w:spacing w:after="0" w:line="3" w:lineRule="exact"/>
        <w:rPr>
          <w:rFonts w:ascii="Courier New" w:cs="Courier New" w:eastAsia="Courier New" w:hAnsi="Courier New"/>
          <w:sz w:val="17"/>
          <w:szCs w:val="17"/>
          <w:color w:val="auto"/>
        </w:rPr>
      </w:pPr>
    </w:p>
    <w:p>
      <w:pPr>
        <w:ind w:left="520" w:right="4180" w:hanging="515"/>
        <w:spacing w:after="0" w:line="259" w:lineRule="auto"/>
        <w:tabs>
          <w:tab w:leader="none" w:pos="5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Company contributions made on the named executive's behalf to the Section 401(k) retirement plan; (ii) cash paid to the named executive under the Company's time-off plan; and (iii) cash paid upon termination of the 1993 Micron Semiconductor, Inc., Stock Appreciation Rights Plan (the "SAR Plan"). Under the SAR Plan, each employee of Micron Semiconductor, Inc., as of January 22, 1993, was granted the right to participate in the book value appreciation of ten</w:t>
      </w:r>
    </w:p>
    <w:p>
      <w:pPr>
        <w:spacing w:after="0" w:line="4" w:lineRule="exact"/>
        <w:rPr>
          <w:rFonts w:ascii="Courier New" w:cs="Courier New" w:eastAsia="Courier New" w:hAnsi="Courier New"/>
          <w:sz w:val="16"/>
          <w:szCs w:val="16"/>
          <w:color w:val="auto"/>
        </w:rPr>
      </w:pPr>
    </w:p>
    <w:p>
      <w:pPr>
        <w:ind w:left="520" w:right="4180" w:hanging="5"/>
        <w:spacing w:after="0" w:line="244" w:lineRule="auto"/>
        <w:tabs>
          <w:tab w:leader="none" w:pos="103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Micron Semiconductor, Inc., common stock. As of September 1, 1994, the total number of shares subject to appreciation rights under the SAR Plan represented approximately 1.62% of the total outstanding shares of Micron Semiconductor, Inc., common stock. Effective November 4, 1994, Micron Semiconductor, Inc., was merged with and into Micron Technology, Inc., and the SAR Plan was terminated and amounts equal to the appreciation of rights under the SAR Plan were paid to all eligible employees. See footnote (9) to this table and accompanying financial disclosure.</w:t>
      </w:r>
    </w:p>
    <w:p>
      <w:pPr>
        <w:spacing w:after="0" w:line="3"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ten (10) stock appreciation rights ("SARs") awarded</w:t>
      </w:r>
    </w:p>
    <w:p>
      <w:pPr>
        <w:spacing w:after="0" w:line="4" w:lineRule="exact"/>
        <w:rPr>
          <w:rFonts w:ascii="Courier New" w:cs="Courier New" w:eastAsia="Courier New" w:hAnsi="Courier New"/>
          <w:sz w:val="17"/>
          <w:szCs w:val="17"/>
          <w:color w:val="auto"/>
        </w:rPr>
      </w:pPr>
    </w:p>
    <w:p>
      <w:pPr>
        <w:ind w:left="520" w:right="388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Micron Semiconductor, Inc. employees under the SAR Plan. See footnote (8) to this table for further details.</w:t>
      </w:r>
    </w:p>
    <w:p>
      <w:pPr>
        <w:spacing w:after="0" w:line="19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1" w:lineRule="exact"/>
        <w:rPr>
          <w:sz w:val="20"/>
          <w:szCs w:val="20"/>
          <w:color w:val="auto"/>
        </w:rPr>
      </w:pPr>
    </w:p>
    <w:p>
      <w:pPr>
        <w:ind w:right="4480" w:firstLine="102"/>
        <w:spacing w:after="0" w:line="243" w:lineRule="auto"/>
        <w:rPr>
          <w:sz w:val="20"/>
          <w:szCs w:val="20"/>
          <w:color w:val="auto"/>
        </w:rPr>
      </w:pPr>
      <w:r>
        <w:rPr>
          <w:rFonts w:ascii="Courier New" w:cs="Courier New" w:eastAsia="Courier New" w:hAnsi="Courier New"/>
          <w:sz w:val="17"/>
          <w:szCs w:val="17"/>
          <w:color w:val="auto"/>
        </w:rPr>
        <w:t>The following table provides information on options granted under the Company's 1994 Stock Option Plan in fiscal 1995 to the Named Executive Officers: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Individual Grants</w:t>
            </w:r>
          </w:p>
        </w:tc>
        <w:tc>
          <w:tcPr>
            <w:tcW w:w="13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2400" w:type="dxa"/>
            <w:vAlign w:val="bottom"/>
          </w:tcPr>
          <w:p>
            <w:pPr>
              <w:spacing w:after="0"/>
              <w:rPr>
                <w:sz w:val="17"/>
                <w:szCs w:val="17"/>
                <w:color w:val="auto"/>
              </w:rPr>
            </w:pPr>
          </w:p>
        </w:tc>
        <w:tc>
          <w:tcPr>
            <w:tcW w:w="50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Percent of</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Total</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Exercise</w:t>
            </w:r>
          </w:p>
        </w:tc>
        <w:tc>
          <w:tcPr>
            <w:tcW w:w="1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Options</w:t>
            </w:r>
          </w:p>
        </w:tc>
        <w:tc>
          <w:tcPr>
            <w:tcW w:w="1120" w:type="dxa"/>
            <w:vAlign w:val="bottom"/>
          </w:tcPr>
          <w:p>
            <w:pPr>
              <w:jc w:val="center"/>
              <w:ind w:right="35"/>
              <w:spacing w:after="0"/>
              <w:rPr>
                <w:sz w:val="20"/>
                <w:szCs w:val="20"/>
                <w:color w:val="auto"/>
              </w:rPr>
            </w:pPr>
            <w:r>
              <w:rPr>
                <w:rFonts w:ascii="Courier New" w:cs="Courier New" w:eastAsia="Courier New" w:hAnsi="Courier New"/>
                <w:sz w:val="17"/>
                <w:szCs w:val="17"/>
                <w:color w:val="auto"/>
              </w:rPr>
              <w:t>or Base</w:t>
            </w:r>
          </w:p>
        </w:tc>
        <w:tc>
          <w:tcPr>
            <w:tcW w:w="1320" w:type="dxa"/>
            <w:vAlign w:val="bottom"/>
          </w:tcPr>
          <w:p>
            <w:pPr>
              <w:spacing w:after="0"/>
              <w:rPr>
                <w:sz w:val="17"/>
                <w:szCs w:val="17"/>
                <w:color w:val="auto"/>
              </w:rPr>
            </w:pPr>
          </w:p>
        </w:tc>
        <w:tc>
          <w:tcPr>
            <w:tcW w:w="36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Potential Realizable Value at</w:t>
            </w:r>
          </w:p>
        </w:tc>
      </w:tr>
      <w:tr>
        <w:trPr>
          <w:trHeight w:val="196"/>
        </w:trPr>
        <w:tc>
          <w:tcPr>
            <w:tcW w:w="2400" w:type="dxa"/>
            <w:vAlign w:val="bottom"/>
          </w:tcPr>
          <w:p>
            <w:pPr>
              <w:spacing w:after="0"/>
              <w:rPr>
                <w:sz w:val="17"/>
                <w:szCs w:val="17"/>
                <w:color w:val="auto"/>
              </w:rPr>
            </w:pPr>
          </w:p>
        </w:tc>
        <w:tc>
          <w:tcPr>
            <w:tcW w:w="11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Options</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Granted to</w:t>
            </w:r>
          </w:p>
        </w:tc>
        <w:tc>
          <w:tcPr>
            <w:tcW w:w="1120" w:type="dxa"/>
            <w:vAlign w:val="bottom"/>
          </w:tcPr>
          <w:p>
            <w:pPr>
              <w:jc w:val="center"/>
              <w:ind w:right="35"/>
              <w:spacing w:after="0"/>
              <w:rPr>
                <w:sz w:val="20"/>
                <w:szCs w:val="20"/>
                <w:color w:val="auto"/>
              </w:rPr>
            </w:pPr>
            <w:r>
              <w:rPr>
                <w:rFonts w:ascii="Courier New" w:cs="Courier New" w:eastAsia="Courier New" w:hAnsi="Courier New"/>
                <w:sz w:val="17"/>
                <w:szCs w:val="17"/>
                <w:color w:val="auto"/>
              </w:rPr>
              <w:t>Price</w:t>
            </w:r>
          </w:p>
        </w:tc>
        <w:tc>
          <w:tcPr>
            <w:tcW w:w="1320" w:type="dxa"/>
            <w:vAlign w:val="bottom"/>
          </w:tcPr>
          <w:p>
            <w:pPr>
              <w:spacing w:after="0"/>
              <w:rPr>
                <w:sz w:val="17"/>
                <w:szCs w:val="17"/>
                <w:color w:val="auto"/>
              </w:rPr>
            </w:pPr>
          </w:p>
        </w:tc>
        <w:tc>
          <w:tcPr>
            <w:tcW w:w="36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Assumed Annual Rates of Stock</w:t>
            </w:r>
          </w:p>
        </w:tc>
      </w:tr>
      <w:tr>
        <w:trPr>
          <w:trHeight w:val="196"/>
        </w:trPr>
        <w:tc>
          <w:tcPr>
            <w:tcW w:w="2400" w:type="dxa"/>
            <w:vAlign w:val="bottom"/>
          </w:tcPr>
          <w:p>
            <w:pPr>
              <w:spacing w:after="0"/>
              <w:rPr>
                <w:sz w:val="17"/>
                <w:szCs w:val="17"/>
                <w:color w:val="auto"/>
              </w:rPr>
            </w:pPr>
          </w:p>
        </w:tc>
        <w:tc>
          <w:tcPr>
            <w:tcW w:w="11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Granted</w:t>
            </w: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Employees in</w:t>
            </w:r>
          </w:p>
        </w:tc>
        <w:tc>
          <w:tcPr>
            <w:tcW w:w="1120" w:type="dxa"/>
            <w:vAlign w:val="bottom"/>
          </w:tcPr>
          <w:p>
            <w:pPr>
              <w:jc w:val="center"/>
              <w:ind w:right="35"/>
              <w:spacing w:after="0"/>
              <w:rPr>
                <w:sz w:val="20"/>
                <w:szCs w:val="20"/>
                <w:color w:val="auto"/>
              </w:rPr>
            </w:pPr>
            <w:r>
              <w:rPr>
                <w:rFonts w:ascii="Courier New" w:cs="Courier New" w:eastAsia="Courier New" w:hAnsi="Courier New"/>
                <w:sz w:val="17"/>
                <w:szCs w:val="17"/>
                <w:color w:val="auto"/>
              </w:rPr>
              <w:t>Per</w:t>
            </w:r>
          </w:p>
        </w:tc>
        <w:tc>
          <w:tcPr>
            <w:tcW w:w="13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Expiration</w:t>
            </w:r>
          </w:p>
        </w:tc>
        <w:tc>
          <w:tcPr>
            <w:tcW w:w="3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Price Appreciation for Option Term</w:t>
            </w:r>
          </w:p>
        </w:tc>
      </w:tr>
      <w:tr>
        <w:trPr>
          <w:trHeight w:val="196"/>
        </w:trPr>
        <w:tc>
          <w:tcPr>
            <w:tcW w:w="2400" w:type="dxa"/>
            <w:vAlign w:val="bottom"/>
          </w:tcPr>
          <w:p>
            <w:pPr>
              <w:ind w:left="320"/>
              <w:spacing w:after="0"/>
              <w:rPr>
                <w:sz w:val="20"/>
                <w:szCs w:val="20"/>
                <w:color w:val="auto"/>
              </w:rPr>
            </w:pPr>
            <w:r>
              <w:rPr>
                <w:rFonts w:ascii="Courier New" w:cs="Courier New" w:eastAsia="Courier New" w:hAnsi="Courier New"/>
                <w:sz w:val="17"/>
                <w:szCs w:val="17"/>
                <w:color w:val="auto"/>
              </w:rPr>
              <w:t>Name</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 (1)(2)</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Fiscal Year</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Share(2)</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Date</w:t>
            </w:r>
          </w:p>
        </w:tc>
        <w:tc>
          <w:tcPr>
            <w:tcW w:w="1940" w:type="dxa"/>
            <w:vAlign w:val="bottom"/>
          </w:tcPr>
          <w:p>
            <w:pPr>
              <w:ind w:left="1080"/>
              <w:spacing w:after="0"/>
              <w:rPr>
                <w:sz w:val="20"/>
                <w:szCs w:val="20"/>
                <w:color w:val="auto"/>
              </w:rPr>
            </w:pPr>
            <w:r>
              <w:rPr>
                <w:rFonts w:ascii="Courier New" w:cs="Courier New" w:eastAsia="Courier New" w:hAnsi="Courier New"/>
                <w:sz w:val="17"/>
                <w:szCs w:val="17"/>
                <w:color w:val="auto"/>
              </w:rPr>
              <w:t>5%</w:t>
            </w:r>
          </w:p>
        </w:tc>
        <w:tc>
          <w:tcPr>
            <w:tcW w:w="16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10%</w:t>
            </w:r>
          </w:p>
        </w:tc>
      </w:tr>
      <w:tr>
        <w:trPr>
          <w:trHeight w:val="196"/>
        </w:trPr>
        <w:tc>
          <w:tcPr>
            <w:tcW w:w="2400" w:type="dxa"/>
            <w:vAlign w:val="bottom"/>
          </w:tcPr>
          <w:p>
            <w:pPr>
              <w:jc w:val="right"/>
              <w:ind w:right="159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25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9"/>
              </w:rPr>
              <w:t>----------</w:t>
            </w:r>
          </w:p>
        </w:tc>
        <w:tc>
          <w:tcPr>
            <w:tcW w:w="194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240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2.40%</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$741,960</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$ 1,683,240</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2.40%</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741,960</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1,683,240</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Edward J. Heitzeberg...</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1.60%</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494,640</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1,122,160</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Wilbur G. Stover, Jr...</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1.44%</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445,176</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1,009,944</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Donald D. Baldwin......</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1.28%</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395,712</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897,728</w:t>
            </w:r>
          </w:p>
        </w:tc>
      </w:tr>
      <w:tr>
        <w:trPr>
          <w:trHeight w:val="196"/>
        </w:trPr>
        <w:tc>
          <w:tcPr>
            <w:tcW w:w="2400" w:type="dxa"/>
            <w:vAlign w:val="bottom"/>
          </w:tcPr>
          <w:p>
            <w:pPr>
              <w:jc w:val="right"/>
              <w:ind w:right="1295"/>
              <w:spacing w:after="0"/>
              <w:rPr>
                <w:sz w:val="20"/>
                <w:szCs w:val="20"/>
                <w:color w:val="auto"/>
              </w:rPr>
            </w:pPr>
            <w:r>
              <w:rPr>
                <w:rFonts w:ascii="Courier New" w:cs="Courier New" w:eastAsia="Courier New" w:hAnsi="Courier New"/>
                <w:sz w:val="17"/>
                <w:szCs w:val="17"/>
                <w:color w:val="auto"/>
                <w:w w:val="97"/>
              </w:rPr>
              <w:t>__________</w:t>
            </w: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92"/>
        </w:trPr>
        <w:tc>
          <w:tcPr>
            <w:tcW w:w="240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w:t>
            </w:r>
          </w:p>
        </w:tc>
        <w:tc>
          <w:tcPr>
            <w:tcW w:w="1120" w:type="dxa"/>
            <w:vAlign w:val="bottom"/>
          </w:tcPr>
          <w:p>
            <w:pPr>
              <w:ind w:left="460"/>
              <w:spacing w:after="0"/>
              <w:rPr>
                <w:sz w:val="20"/>
                <w:szCs w:val="20"/>
                <w:color w:val="auto"/>
              </w:rPr>
            </w:pPr>
            <w:r>
              <w:rPr>
                <w:rFonts w:ascii="Courier New" w:cs="Courier New" w:eastAsia="Courier New" w:hAnsi="Courier New"/>
                <w:sz w:val="17"/>
                <w:szCs w:val="17"/>
                <w:color w:val="auto"/>
              </w:rPr>
              <w:t>n/a</w:t>
            </w:r>
          </w:p>
        </w:tc>
        <w:tc>
          <w:tcPr>
            <w:tcW w:w="13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n/a</w:t>
            </w:r>
          </w:p>
        </w:tc>
        <w:tc>
          <w:tcPr>
            <w:tcW w:w="1940" w:type="dxa"/>
            <w:vAlign w:val="bottom"/>
          </w:tcPr>
          <w:p>
            <w:pPr>
              <w:ind w:left="1080"/>
              <w:spacing w:after="0"/>
              <w:rPr>
                <w:sz w:val="20"/>
                <w:szCs w:val="20"/>
                <w:color w:val="auto"/>
              </w:rPr>
            </w:pPr>
            <w:r>
              <w:rPr>
                <w:rFonts w:ascii="Courier New" w:cs="Courier New" w:eastAsia="Courier New" w:hAnsi="Courier New"/>
                <w:sz w:val="17"/>
                <w:szCs w:val="17"/>
                <w:color w:val="auto"/>
              </w:rPr>
              <w:t>n/a</w:t>
            </w:r>
          </w:p>
        </w:tc>
        <w:tc>
          <w:tcPr>
            <w:tcW w:w="16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n/a</w:t>
            </w:r>
          </w:p>
        </w:tc>
      </w:tr>
      <w:tr>
        <w:trPr>
          <w:trHeight w:val="196"/>
        </w:trPr>
        <w:tc>
          <w:tcPr>
            <w:tcW w:w="2400" w:type="dxa"/>
            <w:vAlign w:val="bottom"/>
          </w:tcPr>
          <w:p>
            <w:pPr>
              <w:spacing w:after="0"/>
              <w:rPr>
                <w:sz w:val="20"/>
                <w:szCs w:val="20"/>
                <w:color w:val="auto"/>
              </w:rPr>
            </w:pPr>
            <w:r>
              <w:rPr>
                <w:rFonts w:ascii="Courier New" w:cs="Courier New" w:eastAsia="Courier New" w:hAnsi="Courier New"/>
                <w:sz w:val="17"/>
                <w:szCs w:val="17"/>
                <w:color w:val="auto"/>
              </w:rPr>
              <w:t>Kenneth G. Smith.......</w:t>
            </w:r>
          </w:p>
        </w:tc>
        <w:tc>
          <w:tcPr>
            <w:tcW w:w="11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80,000</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1.60%</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$18.18</w:t>
            </w:r>
          </w:p>
        </w:tc>
        <w:tc>
          <w:tcPr>
            <w:tcW w:w="1320" w:type="dxa"/>
            <w:vAlign w:val="bottom"/>
          </w:tcPr>
          <w:p>
            <w:pPr>
              <w:jc w:val="center"/>
              <w:spacing w:after="0"/>
              <w:rPr>
                <w:sz w:val="20"/>
                <w:szCs w:val="20"/>
                <w:color w:val="auto"/>
              </w:rPr>
            </w:pPr>
            <w:r>
              <w:rPr>
                <w:rFonts w:ascii="Courier New" w:cs="Courier New" w:eastAsia="Courier New" w:hAnsi="Courier New"/>
                <w:sz w:val="17"/>
                <w:szCs w:val="17"/>
                <w:color w:val="auto"/>
                <w:w w:val="97"/>
              </w:rPr>
              <w:t>10-27-00</w:t>
            </w:r>
          </w:p>
        </w:tc>
        <w:tc>
          <w:tcPr>
            <w:tcW w:w="19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494,640</w:t>
            </w:r>
          </w:p>
        </w:tc>
        <w:tc>
          <w:tcPr>
            <w:tcW w:w="16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1,122,160</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w:t>
      </w:r>
    </w:p>
    <w:p>
      <w:pPr>
        <w:spacing w:after="0" w:line="200" w:lineRule="exact"/>
        <w:rPr>
          <w:sz w:val="20"/>
          <w:szCs w:val="20"/>
          <w:color w:val="auto"/>
        </w:rPr>
      </w:pPr>
    </w:p>
    <w:p>
      <w:pPr>
        <w:ind w:left="520" w:hanging="515"/>
        <w:spacing w:after="0"/>
        <w:tabs>
          <w:tab w:leader="none" w:pos="5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the Company's 1994 Stock Option</w:t>
      </w:r>
    </w:p>
    <w:p>
      <w:pPr>
        <w:spacing w:after="0" w:line="3"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 typically have a six (6) year term and vest over a five</w:t>
      </w:r>
    </w:p>
    <w:p>
      <w:pPr>
        <w:spacing w:after="0" w:line="4" w:lineRule="exact"/>
        <w:rPr>
          <w:rFonts w:ascii="Courier New" w:cs="Courier New" w:eastAsia="Courier New" w:hAnsi="Courier New"/>
          <w:sz w:val="17"/>
          <w:szCs w:val="17"/>
          <w:color w:val="auto"/>
        </w:rPr>
      </w:pPr>
    </w:p>
    <w:p>
      <w:pPr>
        <w:ind w:left="520" w:right="4280" w:hanging="5"/>
        <w:spacing w:after="0" w:line="244" w:lineRule="auto"/>
        <w:tabs>
          <w:tab w:leader="none" w:pos="928"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period in increments of twenty percent per year. Options under such plan may be granted as incentive stock options ("ISOs") or nonstatutory stock options ("NSOs"). ISOs are granted with an exercise price equal to 100% of the fair market value of the Company's Common Stock on the date of grant, as defined under the plan. All NSOs granted and set forth in the above table were granted with an exercise price equal to 100% of the fair market value of the Common Stock on the date of grant.</w:t>
      </w:r>
    </w:p>
    <w:p>
      <w:pPr>
        <w:sectPr>
          <w:pgSz w:w="11900" w:h="16838" w:orient="portrait"/>
          <w:cols w:equalWidth="0" w:num="1">
            <w:col w:w="11020"/>
          </w:cols>
          <w:pgMar w:left="240" w:top="508" w:right="639" w:bottom="0" w:gutter="0" w:footer="0" w:header="0"/>
        </w:sectPr>
      </w:pPr>
    </w:p>
    <w:bookmarkStart w:id="13" w:name="page14"/>
    <w:bookmarkEnd w:id="13"/>
    <w:p>
      <w:pPr>
        <w:ind w:left="515" w:right="3579" w:hanging="515"/>
        <w:spacing w:after="0" w:line="266" w:lineRule="auto"/>
        <w:tabs>
          <w:tab w:leader="none" w:pos="51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and set forth in the above table, as well as the exercise price thereof, reflect a 2-for-1 stock split effected in the form of a stock dividend as of May 4, 1995.</w:t>
      </w:r>
    </w:p>
    <w:p>
      <w:pPr>
        <w:spacing w:after="0" w:line="181" w:lineRule="exact"/>
        <w:rPr>
          <w:sz w:val="20"/>
          <w:szCs w:val="20"/>
          <w:color w:val="auto"/>
        </w:rPr>
      </w:pPr>
    </w:p>
    <w:p>
      <w:pPr>
        <w:ind w:left="3155"/>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5"/>
          </w:cols>
          <w:pgMar w:left="245" w:top="142" w:right="1440" w:bottom="1440" w:gutter="0" w:footer="0" w:header="0"/>
        </w:sectPr>
      </w:pPr>
    </w:p>
    <w:bookmarkStart w:id="14" w:name="page15"/>
    <w:bookmarkEnd w:id="14"/>
    <w:p>
      <w:pPr>
        <w:jc w:val="center"/>
        <w:ind w:right="3779"/>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7"/>
          <w:szCs w:val="17"/>
          <w:color w:val="auto"/>
        </w:rPr>
        <w:t>AND FISCAL YEAR-END OPTION/SAR VALUES</w:t>
      </w:r>
    </w:p>
    <w:p>
      <w:pPr>
        <w:spacing w:after="0" w:line="201" w:lineRule="exact"/>
        <w:rPr>
          <w:sz w:val="20"/>
          <w:szCs w:val="20"/>
          <w:color w:val="auto"/>
        </w:rPr>
      </w:pPr>
    </w:p>
    <w:p>
      <w:pPr>
        <w:ind w:right="3679" w:firstLine="204"/>
        <w:spacing w:after="0" w:line="243" w:lineRule="auto"/>
        <w:rPr>
          <w:sz w:val="20"/>
          <w:szCs w:val="20"/>
          <w:color w:val="auto"/>
        </w:rPr>
      </w:pPr>
      <w:r>
        <w:rPr>
          <w:rFonts w:ascii="Courier New" w:cs="Courier New" w:eastAsia="Courier New" w:hAnsi="Courier New"/>
          <w:sz w:val="17"/>
          <w:szCs w:val="17"/>
          <w:color w:val="auto"/>
        </w:rPr>
        <w:t>The following table provides information regarding option exercises in fiscal 1995 by the Named Executive Officers and the value of such officers' unexercised options at August 31, 1995:</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Number of</w:t>
            </w:r>
          </w:p>
        </w:tc>
        <w:tc>
          <w:tcPr>
            <w:tcW w:w="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7"/>
                <w:szCs w:val="17"/>
                <w:color w:val="auto"/>
              </w:rPr>
              <w:t>Securities</w:t>
            </w:r>
          </w:p>
        </w:tc>
        <w:tc>
          <w:tcPr>
            <w:tcW w:w="720" w:type="dxa"/>
            <w:vAlign w:val="bottom"/>
          </w:tcPr>
          <w:p>
            <w:pPr>
              <w:spacing w:after="0"/>
              <w:rPr>
                <w:sz w:val="17"/>
                <w:szCs w:val="17"/>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7"/>
                <w:szCs w:val="17"/>
                <w:color w:val="auto"/>
              </w:rPr>
              <w:t>Value of</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7"/>
                <w:szCs w:val="17"/>
                <w:color w:val="auto"/>
              </w:rPr>
              <w:t>Underlying</w:t>
            </w:r>
          </w:p>
        </w:tc>
        <w:tc>
          <w:tcPr>
            <w:tcW w:w="72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Unexercised</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7"/>
                <w:szCs w:val="17"/>
                <w:color w:val="auto"/>
                <w:w w:val="97"/>
              </w:rPr>
              <w:t>Unexercised</w:t>
            </w:r>
          </w:p>
        </w:tc>
        <w:tc>
          <w:tcPr>
            <w:tcW w:w="72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In-The-Money</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Options/SARs</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Options/SARs</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at Fiscal</w:t>
            </w:r>
          </w:p>
        </w:tc>
        <w:tc>
          <w:tcPr>
            <w:tcW w:w="720" w:type="dxa"/>
            <w:vAlign w:val="bottom"/>
          </w:tcPr>
          <w:p>
            <w:pPr>
              <w:spacing w:after="0"/>
              <w:rPr>
                <w:sz w:val="17"/>
                <w:szCs w:val="17"/>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7"/>
                <w:szCs w:val="17"/>
                <w:color w:val="auto"/>
              </w:rPr>
              <w:t>at Fiscal</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Shares</w:t>
            </w: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Year-End</w:t>
            </w:r>
          </w:p>
        </w:tc>
        <w:tc>
          <w:tcPr>
            <w:tcW w:w="720" w:type="dxa"/>
            <w:vAlign w:val="bottom"/>
          </w:tcPr>
          <w:p>
            <w:pPr>
              <w:spacing w:after="0"/>
              <w:rPr>
                <w:sz w:val="17"/>
                <w:szCs w:val="17"/>
                <w:color w:val="auto"/>
              </w:rPr>
            </w:pPr>
          </w:p>
        </w:tc>
        <w:tc>
          <w:tcPr>
            <w:tcW w:w="1460" w:type="dxa"/>
            <w:vAlign w:val="bottom"/>
          </w:tcPr>
          <w:p>
            <w:pPr>
              <w:ind w:left="400"/>
              <w:spacing w:after="0"/>
              <w:rPr>
                <w:sz w:val="20"/>
                <w:szCs w:val="20"/>
                <w:color w:val="auto"/>
              </w:rPr>
            </w:pPr>
            <w:r>
              <w:rPr>
                <w:rFonts w:ascii="Courier New" w:cs="Courier New" w:eastAsia="Courier New" w:hAnsi="Courier New"/>
                <w:sz w:val="17"/>
                <w:szCs w:val="17"/>
                <w:color w:val="auto"/>
              </w:rPr>
              <w:t>Year-End</w:t>
            </w:r>
          </w:p>
        </w:tc>
        <w:tc>
          <w:tcPr>
            <w:tcW w:w="46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17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Acquired on</w:t>
            </w:r>
          </w:p>
        </w:tc>
        <w:tc>
          <w:tcPr>
            <w:tcW w:w="13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Value</w:t>
            </w:r>
          </w:p>
        </w:tc>
        <w:tc>
          <w:tcPr>
            <w:tcW w:w="20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Exercisable(E)</w:t>
            </w:r>
          </w:p>
        </w:tc>
        <w:tc>
          <w:tcPr>
            <w:tcW w:w="19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Exercisable(E)</w:t>
            </w:r>
          </w:p>
        </w:tc>
      </w:tr>
      <w:tr>
        <w:trPr>
          <w:trHeight w:val="196"/>
        </w:trPr>
        <w:tc>
          <w:tcPr>
            <w:tcW w:w="224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74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9"/>
              </w:rPr>
              <w:t>Exercise # (1)</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Realized</w:t>
            </w:r>
          </w:p>
        </w:tc>
        <w:tc>
          <w:tcPr>
            <w:tcW w:w="206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Unexercisable(U)</w:t>
            </w:r>
          </w:p>
        </w:tc>
        <w:tc>
          <w:tcPr>
            <w:tcW w:w="19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Unexercisable(U)</w:t>
            </w:r>
          </w:p>
        </w:tc>
      </w:tr>
      <w:tr>
        <w:trPr>
          <w:trHeight w:val="196"/>
        </w:trPr>
        <w:tc>
          <w:tcPr>
            <w:tcW w:w="2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206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w:t>
            </w:r>
          </w:p>
        </w:tc>
      </w:tr>
      <w:tr>
        <w:trPr>
          <w:trHeight w:val="589"/>
        </w:trPr>
        <w:tc>
          <w:tcPr>
            <w:tcW w:w="224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104,294</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$3,437,518</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15,706</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$1,173,697</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405,002</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27,499,346</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59,996</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1,179,137</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305,002</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20,041,348</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Edward J. Heitzeberg..</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2,605,277</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196,000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12,764,469</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Wilbur G. Stover, Jr..</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29,998</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1,043,389</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9,700,888</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Donald D. Baldwin.....</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57,000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2,363,097</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149,210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20"/>
                <w:szCs w:val="20"/>
                <w:color w:val="auto"/>
              </w:rPr>
            </w:pPr>
            <w:r>
              <w:rPr>
                <w:rFonts w:ascii="Courier New" w:cs="Courier New" w:eastAsia="Courier New" w:hAnsi="Courier New"/>
                <w:sz w:val="17"/>
                <w:szCs w:val="17"/>
                <w:color w:val="auto"/>
              </w:rPr>
              <w:t>__________</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183,000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12,077,328</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Joseph L. Parkinson...</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15,000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225,799</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r>
        <w:trPr>
          <w:trHeight w:val="392"/>
        </w:trPr>
        <w:tc>
          <w:tcPr>
            <w:tcW w:w="2240" w:type="dxa"/>
            <w:vAlign w:val="bottom"/>
          </w:tcPr>
          <w:p>
            <w:pPr>
              <w:spacing w:after="0"/>
              <w:rPr>
                <w:sz w:val="20"/>
                <w:szCs w:val="20"/>
                <w:color w:val="auto"/>
              </w:rPr>
            </w:pPr>
            <w:r>
              <w:rPr>
                <w:rFonts w:ascii="Courier New" w:cs="Courier New" w:eastAsia="Courier New" w:hAnsi="Courier New"/>
                <w:sz w:val="17"/>
                <w:szCs w:val="17"/>
                <w:color w:val="auto"/>
                <w:w w:val="98"/>
              </w:rPr>
              <w:t>Kenneth G. Smith......</w:t>
            </w:r>
          </w:p>
        </w:tc>
        <w:tc>
          <w:tcPr>
            <w:tcW w:w="17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51,000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1,462,775</w:t>
            </w: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(E)</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740,350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(E)</w:t>
            </w:r>
          </w:p>
        </w:tc>
      </w:tr>
      <w:tr>
        <w:trPr>
          <w:trHeight w:val="196"/>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200,000</w:t>
            </w:r>
          </w:p>
        </w:tc>
        <w:tc>
          <w:tcPr>
            <w:tcW w:w="720" w:type="dxa"/>
            <w:vAlign w:val="bottom"/>
          </w:tcPr>
          <w:p>
            <w:pPr>
              <w:spacing w:after="0"/>
              <w:rPr>
                <w:sz w:val="20"/>
                <w:szCs w:val="20"/>
                <w:color w:val="auto"/>
              </w:rPr>
            </w:pPr>
            <w:r>
              <w:rPr>
                <w:rFonts w:ascii="Courier New" w:cs="Courier New" w:eastAsia="Courier New" w:hAnsi="Courier New"/>
                <w:sz w:val="17"/>
                <w:szCs w:val="17"/>
                <w:color w:val="auto"/>
              </w:rPr>
              <w:t>(U)</w:t>
            </w:r>
          </w:p>
        </w:tc>
        <w:tc>
          <w:tcPr>
            <w:tcW w:w="14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13,083,816</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(U)</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w:t>
      </w:r>
    </w:p>
    <w:p>
      <w:pPr>
        <w:spacing w:after="0" w:line="201" w:lineRule="exact"/>
        <w:rPr>
          <w:sz w:val="20"/>
          <w:szCs w:val="20"/>
          <w:color w:val="auto"/>
        </w:rPr>
      </w:pPr>
    </w:p>
    <w:p>
      <w:pPr>
        <w:jc w:val="both"/>
        <w:ind w:left="720" w:right="3579" w:hanging="715"/>
        <w:spacing w:after="0" w:line="243" w:lineRule="auto"/>
        <w:tabs>
          <w:tab w:leader="none" w:pos="7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acquired on exercise of an option reflect a 2-for-1 stock split effected in the form of a stock dividend as of May 4, 1995.</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Directors' Fees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Directors who are employees of the Company receive no additional or special remuneration for their service as directors. Directors who are not employees of the Company are entitled to receive, effective December 19, 1994, a director fee of $4,000 for each Board of Directors meeting attended. Prior to such date, Directors received a fee of $3,000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201" w:lineRule="exact"/>
        <w:rPr>
          <w:sz w:val="20"/>
          <w:szCs w:val="20"/>
          <w:color w:val="auto"/>
        </w:rPr>
      </w:pPr>
    </w:p>
    <w:p>
      <w:pPr>
        <w:ind w:right="3479" w:firstLine="102"/>
        <w:spacing w:after="0" w:line="244" w:lineRule="auto"/>
        <w:rPr>
          <w:sz w:val="20"/>
          <w:szCs w:val="20"/>
          <w:color w:val="auto"/>
        </w:rPr>
      </w:pPr>
      <w:r>
        <w:rPr>
          <w:rFonts w:ascii="Courier New" w:cs="Courier New" w:eastAsia="Courier New" w:hAnsi="Courier New"/>
          <w:sz w:val="17"/>
          <w:szCs w:val="17"/>
          <w:color w:val="auto"/>
        </w:rPr>
        <w:t>Mr. Lothrop and Mr. Smith have entered into individual agreements with the Company pursuant to which the receipt of their meeting fees is deferred until the first business day of the calendar year in which they no longer serve as a director of the Company. Deferred amounts, in the case of termination of service as a director, are paid in five annual installments. In the event of death, the balance then owed is paid in a single sum as soon as</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07" w:right="1440" w:bottom="1440" w:gutter="0" w:footer="0" w:header="0"/>
        </w:sectPr>
      </w:pPr>
    </w:p>
    <w:bookmarkStart w:id="15" w:name="page16"/>
    <w:bookmarkEnd w:id="15"/>
    <w:p>
      <w:pPr>
        <w:ind w:right="3999"/>
        <w:spacing w:after="0" w:line="244" w:lineRule="auto"/>
        <w:rPr>
          <w:sz w:val="20"/>
          <w:szCs w:val="20"/>
          <w:color w:val="auto"/>
        </w:rPr>
      </w:pPr>
      <w:r>
        <w:rPr>
          <w:rFonts w:ascii="Courier New" w:cs="Courier New" w:eastAsia="Courier New" w:hAnsi="Courier New"/>
          <w:sz w:val="17"/>
          <w:szCs w:val="17"/>
          <w:color w:val="auto"/>
        </w:rPr>
        <w:t>practicable following the death of the director or former director. All amounts deferred are recorded as a liability on the records of the Company. Such amounts accrue interest monthly at a rate per annum equal to the Company's average investment portfolio yield for such month.</w:t>
      </w:r>
    </w:p>
    <w:p>
      <w:pPr>
        <w:spacing w:after="0" w:line="198" w:lineRule="exact"/>
        <w:rPr>
          <w:sz w:val="20"/>
          <w:szCs w:val="20"/>
          <w:color w:val="auto"/>
        </w:rPr>
      </w:pPr>
    </w:p>
    <w:p>
      <w:pPr>
        <w:ind w:right="4299"/>
        <w:spacing w:after="0" w:line="243" w:lineRule="auto"/>
        <w:rPr>
          <w:sz w:val="20"/>
          <w:szCs w:val="20"/>
          <w:color w:val="auto"/>
        </w:rPr>
      </w:pPr>
      <w:r>
        <w:rPr>
          <w:rFonts w:ascii="Courier New" w:cs="Courier New" w:eastAsia="Courier New" w:hAnsi="Courier New"/>
          <w:sz w:val="17"/>
          <w:szCs w:val="17"/>
          <w:color w:val="auto"/>
        </w:rPr>
        <w:t>Termination of Employment Agreements and Change in Control Arrangement</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Termination Agreements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Company has entered into separate agreements with each executive officer and certain other key employees of the Company relating to notice of termination and compensation upon termination or death. Each agreement requires that the Company or officer or employee give six (6) months advance written notice of termination regardless of the reason or justification for termination. The officer or employee may discontinue active duties at any time following notice; however, employment for purposes of salary, bonuses, benefits, stock vestings, and for determining conflicts of interest continues for at least six (6) months from the date of notice. The Board also approved the payment of performance bonuses that otherwise would have been paid within six (6) months after the date of an officer's death. During fiscal 1995, payments were made pursuant to these agreements to Mr. Parkinson and Mr. Smith.</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Change in Control Arrangement</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filings under the Securities Act of 1933, as amended, or the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9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7"/>
          <w:szCs w:val="17"/>
          <w:color w:val="auto"/>
        </w:rPr>
        <w:t>REPORT OF THE COMPENSATION COMMITTEE OF THE BOARD OF DIRECTORS</w:t>
      </w:r>
    </w:p>
    <w:p>
      <w:pPr>
        <w:spacing w:after="0" w:line="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7"/>
          <w:szCs w:val="17"/>
          <w:color w:val="auto"/>
        </w:rPr>
        <w:t>REGARDING EXECUTIVE COMPENSATION</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w:t>
      </w:r>
    </w:p>
    <w:p>
      <w:pPr>
        <w:spacing w:after="0" w:line="201" w:lineRule="exact"/>
        <w:rPr>
          <w:sz w:val="20"/>
          <w:szCs w:val="20"/>
          <w:color w:val="auto"/>
        </w:rPr>
      </w:pPr>
    </w:p>
    <w:p>
      <w:pPr>
        <w:jc w:val="both"/>
        <w:ind w:right="3779" w:firstLine="102"/>
        <w:spacing w:after="0" w:line="243" w:lineRule="auto"/>
        <w:rPr>
          <w:sz w:val="20"/>
          <w:szCs w:val="20"/>
          <w:color w:val="auto"/>
        </w:rPr>
      </w:pPr>
      <w:r>
        <w:rPr>
          <w:rFonts w:ascii="Courier New" w:cs="Courier New" w:eastAsia="Courier New" w:hAnsi="Courier New"/>
          <w:sz w:val="17"/>
          <w:szCs w:val="17"/>
          <w:color w:val="auto"/>
        </w:rPr>
        <w:t>This report has been prepared by the Compensation Committee of the Board of Directors of the Company (the "Committee"). Robert A. Lothrop, Thomas T. Nicholson, Allen T. Noble, and John R.</w:t>
      </w:r>
    </w:p>
    <w:p>
      <w:pPr>
        <w:spacing w:after="0" w:line="4" w:lineRule="exact"/>
        <w:rPr>
          <w:sz w:val="20"/>
          <w:szCs w:val="20"/>
          <w:color w:val="auto"/>
        </w:rPr>
      </w:pPr>
    </w:p>
    <w:p>
      <w:pPr>
        <w:ind w:right="3579"/>
        <w:spacing w:after="0" w:line="244" w:lineRule="auto"/>
        <w:rPr>
          <w:sz w:val="20"/>
          <w:szCs w:val="20"/>
          <w:color w:val="auto"/>
        </w:rPr>
      </w:pPr>
      <w:r>
        <w:rPr>
          <w:rFonts w:ascii="Courier New" w:cs="Courier New" w:eastAsia="Courier New" w:hAnsi="Courier New"/>
          <w:sz w:val="17"/>
          <w:szCs w:val="17"/>
          <w:color w:val="auto"/>
        </w:rPr>
        <w:t>Simplot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officers for fiscal 1995, including base salary, performance bonuses, stock option grants, and other compensation, were determined by the Compensation Committee and reviewed and approved by the Company's board of Directors.</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Compensation for Micron Semiconductor, Inc. officers was reviewed and approved by the Micron Semiconductor, Inc., Board of Directors. Grants to Micron Semiconductor, Inc. officers of options to purchase the Company's Common Stock, were reviewed and approved by the Boards of Directors of Micron Semiconductor Inc., and of the Company. Effective November 4, 1994, Micron Semiconductor, Inc. was merged with and into Micron Technology, Inc. On October 17, 1994, Mr. Lothrop and Mr. Nicholson were appointed to replace Mr. Parkinson and Mr. Reid N. Langrill as members of the Compensation Committee.</w:t>
      </w:r>
    </w:p>
    <w:p>
      <w:pPr>
        <w:spacing w:after="0" w:line="199"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08" w:right="1440" w:bottom="27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Executive Officer Compensation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Cash Compensation</w:t>
      </w:r>
    </w:p>
    <w:p>
      <w:pPr>
        <w:spacing w:after="0" w:line="201"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Base Salary. Base salaries are established primarily upon an evaluation of the officer's positions and contributions to the Company including (i) individual performance, (ii) level of responsibility, (iii) technical expertise, (iv) length of service, (v) Company performance, and (vi) industry compensation levels.</w:t>
      </w:r>
    </w:p>
    <w:p>
      <w:pPr>
        <w:spacing w:after="0" w:line="199"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Company Performance Bonuses. Cash bonuses to executive officers are intended to reward officers for the Company's financial performance during the fiscal year. Accordingly, bonuses are determined based on performance criteria established at the beginning of each fiscal year formulated primarily as a percentage of the after-tax net profit of the Company at the end of the fiscal year. Performance bonus percentages are established according to a subjective analysis of each officer according to the same criteria utilized to determine base salary.</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Profit Sharing. The Company distributes ten percent (10%) of the Company's quarterly after-tax net profits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199"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Equity Compensation</w:t>
      </w:r>
    </w:p>
    <w:p>
      <w:pPr>
        <w:spacing w:after="0" w:line="201"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In order to provide long-term incentive to the executive officers and employees of the Company and its subsidiaries related to long-term growth in the value of the Company's Common Stock, the Company issues incentive stock options and nonstatutory stock options to such persons under the Company's 1985 Stock Incentive Plan and the Company's 1994 Stock Option Plan (the "Stock Plans"). The determination of who receives stock options under the Stock Plans and the number of stock options granted to each such recipient is based upon the same criteria utilized to determine base salary.</w:t>
      </w:r>
    </w:p>
    <w:p>
      <w:pPr>
        <w:spacing w:after="0" w:line="19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Other Compensation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Hours accumulated in excess of 400 that are not used are paid out in cash. Executive officer participation in various clubs, organizations, and associations may also be funded by the Company.</w:t>
      </w:r>
    </w:p>
    <w:p>
      <w:pPr>
        <w:spacing w:after="0" w:line="19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Payment/Exercise Restrictions</w:t>
      </w:r>
    </w:p>
    <w:p>
      <w:pPr>
        <w:spacing w:after="0" w:line="201" w:lineRule="exact"/>
        <w:rPr>
          <w:sz w:val="20"/>
          <w:szCs w:val="20"/>
          <w:color w:val="auto"/>
        </w:rPr>
      </w:pPr>
    </w:p>
    <w:p>
      <w:pPr>
        <w:ind w:right="3879" w:firstLine="102"/>
        <w:spacing w:after="0" w:line="244" w:lineRule="auto"/>
        <w:rPr>
          <w:sz w:val="20"/>
          <w:szCs w:val="20"/>
          <w:color w:val="auto"/>
        </w:rPr>
      </w:pPr>
      <w:r>
        <w:rPr>
          <w:rFonts w:ascii="Courier New" w:cs="Courier New" w:eastAsia="Courier New" w:hAnsi="Courier New"/>
          <w:sz w:val="17"/>
          <w:szCs w:val="17"/>
          <w:color w:val="auto"/>
        </w:rPr>
        <w:t>In an effort to encourage employees and executive officers to remain employed by the Company and to promote Company performance, many compensation programs for employees and executive officers contain provisions</w:t>
      </w:r>
    </w:p>
    <w:p>
      <w:pPr>
        <w:sectPr>
          <w:pgSz w:w="11900" w:h="16838" w:orient="portrait"/>
          <w:cols w:equalWidth="0" w:num="1">
            <w:col w:w="10219"/>
          </w:cols>
          <w:pgMar w:left="240" w:top="507" w:right="1440" w:bottom="0" w:gutter="0" w:footer="0" w:header="0"/>
        </w:sectPr>
      </w:pPr>
    </w:p>
    <w:bookmarkStart w:id="17" w:name="page18"/>
    <w:bookmarkEnd w:id="17"/>
    <w:p>
      <w:pPr>
        <w:ind w:left="1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33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4440" w:type="dxa"/>
            <w:vAlign w:val="bottom"/>
          </w:tcPr>
          <w:p>
            <w:pPr>
              <w:spacing w:after="0"/>
              <w:rPr>
                <w:sz w:val="20"/>
                <w:szCs w:val="20"/>
                <w:color w:val="auto"/>
              </w:rPr>
            </w:pPr>
            <w:r>
              <w:rPr>
                <w:rFonts w:ascii="Courier New" w:cs="Courier New" w:eastAsia="Courier New" w:hAnsi="Courier New"/>
                <w:sz w:val="17"/>
                <w:szCs w:val="17"/>
                <w:color w:val="auto"/>
              </w:rPr>
              <w:t>which subject the benefits of such programs</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to certain</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conditions.</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In this regard, Company performance bonuses</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awarded to</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w w:val="98"/>
              </w:rPr>
              <w:t>each executive</w:t>
            </w:r>
          </w:p>
        </w:tc>
      </w:tr>
      <w:tr>
        <w:trPr>
          <w:trHeight w:val="196"/>
        </w:trPr>
        <w:tc>
          <w:tcPr>
            <w:tcW w:w="4440" w:type="dxa"/>
            <w:vAlign w:val="bottom"/>
          </w:tcPr>
          <w:p>
            <w:pPr>
              <w:spacing w:after="0"/>
              <w:rPr>
                <w:sz w:val="20"/>
                <w:szCs w:val="20"/>
                <w:color w:val="auto"/>
              </w:rPr>
            </w:pPr>
            <w:r>
              <w:rPr>
                <w:rFonts w:ascii="Courier New" w:cs="Courier New" w:eastAsia="Courier New" w:hAnsi="Courier New"/>
                <w:sz w:val="17"/>
                <w:szCs w:val="17"/>
                <w:color w:val="auto"/>
              </w:rPr>
              <w:t>officer are earned and paid in equal annual</w:t>
            </w:r>
          </w:p>
        </w:tc>
        <w:tc>
          <w:tcPr>
            <w:tcW w:w="26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installments over a five</w:t>
            </w:r>
          </w:p>
        </w:tc>
      </w:tr>
    </w:tbl>
    <w:p>
      <w:pPr>
        <w:spacing w:after="0" w:line="5" w:lineRule="exact"/>
        <w:rPr>
          <w:sz w:val="20"/>
          <w:szCs w:val="20"/>
          <w:color w:val="auto"/>
        </w:rPr>
      </w:pPr>
    </w:p>
    <w:p>
      <w:pPr>
        <w:ind w:right="2759" w:firstLine="5"/>
        <w:spacing w:after="0" w:line="243" w:lineRule="auto"/>
        <w:tabs>
          <w:tab w:leader="none" w:pos="408"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period, subject to the following conditions: (i) the Company is profitable in the year of payment; (ii) the individual remains employed by the Company or a subsidiary of the Company; and (iii)</w:t>
      </w:r>
    </w:p>
    <w:p>
      <w:pPr>
        <w:spacing w:after="0" w:line="3" w:lineRule="exact"/>
        <w:rPr>
          <w:rFonts w:ascii="Courier New" w:cs="Courier New" w:eastAsia="Courier New" w:hAnsi="Courier New"/>
          <w:sz w:val="17"/>
          <w:szCs w:val="17"/>
          <w:color w:val="auto"/>
        </w:rPr>
      </w:pPr>
    </w:p>
    <w:p>
      <w:pPr>
        <w:ind w:right="37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approves the payment of the annual installment. Likewise, stock options granted to executive officers typically have a term of six (6) years and vest twenty percent (20%) each year for a period of five (5) years from the date of grant.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CEO Compensation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During fiscal 1995, Mr. Joseph L. Parkinson served as the Chairman of the Board of Directors and the Chief Executive Officer of the Company. He resigned from his officer and director positions with the Company, effective as of September 26, 1994. Mr. Parkinson was a founder of the Company and served as President and Chief Operating Officer of the Company from 1980 to 1986 when he was appointed to serve as Chairman of the Board of Directors and Chief Executive Officer. Mr. Parkinson's compensation for fiscal 1995 consisted of amounts received under the executive officer compensation programs described above. The amounts paid to Mr. Parkinson during the fiscal year were based upon the amounts owed him pursuant to the contractual terms of his termination agreement. See the description of Termination Agreements set forth in the Proxy Statement in which this Report is included.</w:t>
      </w:r>
    </w:p>
    <w:p>
      <w:pPr>
        <w:spacing w:after="0" w:line="202"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Effective September 26, 1994, Mr. Steven R. Appleton was elected Chairman of the Board of Directors, President and Chief Executive Officer. His base salary then in effect continued after his assumption of his new positions. His cash bonuses for the year were attributable primarily to the receipt of annual installments of Company Performance Bonuses for fiscal years 1993, 1994 and 1995. See the description of Company Performance Bonuses in this Report. See also the description under the subheading "Payment/Exercises Restrictions" in this Report.</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Effective October 27, 1994, the Board of Directors approved a grant to Mr. Appleton of 120,000 stock options (adjusted to reflect the 2-for-1 stock split effected in the form of a stock dividend as of May 4, 1995). Grants to other executive officers of the Company were made at the same time. The Compensation Committee had no predetermined number of options that it believed Mr. Appleton should hold. The actual number of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and his contributions to the Company's success that were expected to be made in the future.</w:t>
      </w:r>
    </w:p>
    <w:p>
      <w:pPr>
        <w:spacing w:after="0" w:line="397"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Compensation Committee of the Board of Directors</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Robert A. Lothrop</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Thomas T. Nicholson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Allen T. Noble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John R. Simplot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During fiscal 1995, the Compensation Committee members initially consisted of Joseph L. Parkinson, Reid N. Langrill, John R. Simplot and Allen T. Noble. Joseph L. Parkinson and Reid N. Langrill served as the Company's Chairman of the Board and Chief Executive Officer, and Vice President, Finance; Treasurer and Chief Financial Officer, respectively, until September 26, 1994, when they resigned as officers and directors of the Company. Due to the resignation of Messrs. Parkinson and Langrill, Mr. Lothrop and Mr. Nicholson were appointed members of the Compensation Committee, effective October 17, 1994. During the fiscal year, there were no other members of the Compensation Committee who</w:t>
      </w:r>
    </w:p>
    <w:p>
      <w:pPr>
        <w:spacing w:after="0" w:line="5" w:lineRule="exact"/>
        <w:rPr>
          <w:sz w:val="20"/>
          <w:szCs w:val="20"/>
          <w:color w:val="auto"/>
        </w:rPr>
      </w:pPr>
    </w:p>
    <w:p>
      <w:pPr>
        <w:ind w:right="3179"/>
        <w:spacing w:after="0" w:line="244" w:lineRule="auto"/>
        <w:rPr>
          <w:sz w:val="20"/>
          <w:szCs w:val="20"/>
          <w:color w:val="auto"/>
        </w:rPr>
      </w:pPr>
      <w:r>
        <w:rPr>
          <w:rFonts w:ascii="Courier New" w:cs="Courier New" w:eastAsia="Courier New" w:hAnsi="Courier New"/>
          <w:sz w:val="17"/>
          <w:szCs w:val="17"/>
          <w:color w:val="auto"/>
        </w:rPr>
        <w:t>were officers or employees of the Company or any of its subsidiaries. With respect to Mr. Nicholson, in March of 1995, Lake Hazel Shopping Center, an Idaho general partnership, of which Mr. Nicholson is a partner, sold approximately 80 acres of real property located in</w:t>
      </w:r>
    </w:p>
    <w:p>
      <w:pPr>
        <w:sectPr>
          <w:pgSz w:w="11900" w:h="16838" w:orient="portrait"/>
          <w:cols w:equalWidth="0" w:num="1">
            <w:col w:w="10219"/>
          </w:cols>
          <w:pgMar w:left="240" w:top="507" w:right="1440" w:bottom="0" w:gutter="0" w:footer="0" w:header="0"/>
        </w:sectPr>
      </w:pPr>
    </w:p>
    <w:bookmarkStart w:id="19" w:name="page20"/>
    <w:bookmarkEnd w:id="19"/>
    <w:p>
      <w:pPr>
        <w:ind w:left="19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019"/>
          </w:cols>
          <w:pgMar w:left="1440" w:top="337" w:right="1440" w:bottom="1440" w:gutter="0" w:footer="0" w:header="0"/>
        </w:sectPr>
      </w:pPr>
    </w:p>
    <w:bookmarkStart w:id="20" w:name="page21"/>
    <w:bookmarkEnd w:id="20"/>
    <w:p>
      <w:pPr>
        <w:ind w:right="3379"/>
        <w:spacing w:after="0" w:line="243" w:lineRule="auto"/>
        <w:rPr>
          <w:sz w:val="20"/>
          <w:szCs w:val="20"/>
          <w:color w:val="auto"/>
        </w:rPr>
      </w:pPr>
      <w:r>
        <w:rPr>
          <w:rFonts w:ascii="Courier New" w:cs="Courier New" w:eastAsia="Courier New" w:hAnsi="Courier New"/>
          <w:sz w:val="17"/>
          <w:szCs w:val="17"/>
          <w:color w:val="auto"/>
        </w:rPr>
        <w:t>Ada County, Idaho, to the Company for $708,445. The acquisition of the real estate was in the Company's ordinary course of obtaining property for expansion of its operations at its Boise, Idaho site.</w:t>
      </w:r>
    </w:p>
    <w:p>
      <w:pPr>
        <w:spacing w:after="0" w:line="199"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PERFORMANCE GRAPH</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following graph illustrates a five-year comparison of cumulative total returns for the Company's Common Stock, the S&amp;P 500 Composite Index, and the S&amp;P Electronics (Semiconductors) Index from August 31, 1990, through August 31, 1995. In September 1994, the Company was added to the S&amp;P Electronics (Semiconductors) Index. For purpose of this disclosure, current companies of S&amp;P Electronics (Semiconductors) Index include Advanced Micro Devices, Inc.; Applied Materials, Inc.; Intel Corporation; Micron Technology, Inc.; Motorola, Inc.; National Semiconductor Corporation; and Texas Instruments Incorporated.</w:t>
      </w:r>
    </w:p>
    <w:p>
      <w:pPr>
        <w:spacing w:after="0" w:line="200" w:lineRule="exact"/>
        <w:rPr>
          <w:sz w:val="20"/>
          <w:szCs w:val="20"/>
          <w:color w:val="auto"/>
        </w:rPr>
      </w:pPr>
    </w:p>
    <w:p>
      <w:pPr>
        <w:ind w:right="3679" w:firstLine="408"/>
        <w:spacing w:after="0" w:line="244" w:lineRule="auto"/>
        <w:rPr>
          <w:sz w:val="20"/>
          <w:szCs w:val="20"/>
          <w:color w:val="auto"/>
        </w:rPr>
      </w:pPr>
      <w:r>
        <w:rPr>
          <w:rFonts w:ascii="Courier New" w:cs="Courier New" w:eastAsia="Courier New" w:hAnsi="Courier New"/>
          <w:sz w:val="17"/>
          <w:szCs w:val="17"/>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198"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1990,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60" w:type="dxa"/>
            <w:vAlign w:val="bottom"/>
            <w:gridSpan w:val="4"/>
          </w:tcPr>
          <w:p>
            <w:pPr>
              <w:jc w:val="right"/>
              <w:ind w:right="575"/>
              <w:spacing w:after="0"/>
              <w:rPr>
                <w:sz w:val="20"/>
                <w:szCs w:val="20"/>
                <w:color w:val="auto"/>
              </w:rPr>
            </w:pPr>
            <w:r>
              <w:rPr>
                <w:rFonts w:ascii="Courier New" w:cs="Courier New" w:eastAsia="Courier New" w:hAnsi="Courier New"/>
                <w:sz w:val="17"/>
                <w:szCs w:val="17"/>
                <w:color w:val="auto"/>
              </w:rPr>
              <w:t>Year Ending August 31</w:t>
            </w:r>
          </w:p>
        </w:tc>
        <w:tc>
          <w:tcPr>
            <w:tcW w:w="780" w:type="dxa"/>
            <w:vAlign w:val="bottom"/>
          </w:tcPr>
          <w:p>
            <w:pPr>
              <w:spacing w:after="0"/>
              <w:rPr>
                <w:sz w:val="16"/>
                <w:szCs w:val="16"/>
                <w:color w:val="auto"/>
              </w:rPr>
            </w:pPr>
          </w:p>
        </w:tc>
      </w:tr>
      <w:tr>
        <w:trPr>
          <w:trHeight w:val="196"/>
        </w:trPr>
        <w:tc>
          <w:tcPr>
            <w:tcW w:w="4040" w:type="dxa"/>
            <w:vAlign w:val="bottom"/>
          </w:tcPr>
          <w:p>
            <w:pPr>
              <w:spacing w:after="0"/>
              <w:rPr>
                <w:sz w:val="17"/>
                <w:szCs w:val="17"/>
                <w:color w:val="auto"/>
              </w:rPr>
            </w:pPr>
          </w:p>
        </w:tc>
        <w:tc>
          <w:tcPr>
            <w:tcW w:w="44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40" w:type="dxa"/>
            <w:vAlign w:val="bottom"/>
          </w:tcPr>
          <w:p>
            <w:pPr>
              <w:spacing w:after="0"/>
              <w:rPr>
                <w:sz w:val="17"/>
                <w:szCs w:val="17"/>
                <w:color w:val="auto"/>
              </w:rPr>
            </w:pPr>
          </w:p>
        </w:tc>
        <w:tc>
          <w:tcPr>
            <w:tcW w:w="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1990</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1991</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1992</w:t>
            </w:r>
          </w:p>
        </w:tc>
        <w:tc>
          <w:tcPr>
            <w:tcW w:w="7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4040" w:type="dxa"/>
            <w:vAlign w:val="bottom"/>
          </w:tcPr>
          <w:p>
            <w:pPr>
              <w:spacing w:after="0"/>
              <w:rPr>
                <w:sz w:val="17"/>
                <w:szCs w:val="17"/>
                <w:color w:val="auto"/>
              </w:rPr>
            </w:pPr>
          </w:p>
        </w:tc>
        <w:tc>
          <w:tcPr>
            <w:tcW w:w="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Micron Technology, Inc.................</w:t>
            </w:r>
          </w:p>
        </w:tc>
        <w:tc>
          <w:tcPr>
            <w:tcW w:w="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$100</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$157</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$170</w:t>
            </w:r>
          </w:p>
        </w:tc>
        <w:tc>
          <w:tcPr>
            <w:tcW w:w="7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$597</w:t>
            </w:r>
          </w:p>
        </w:tc>
        <w:tc>
          <w:tcPr>
            <w:tcW w:w="9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$1,130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$4,333</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S&amp;P Electronics (Semiconductors) Index</w:t>
            </w:r>
          </w:p>
        </w:tc>
        <w:tc>
          <w:tcPr>
            <w:tcW w:w="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100</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120</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146</w:t>
            </w:r>
          </w:p>
        </w:tc>
        <w:tc>
          <w:tcPr>
            <w:tcW w:w="7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327</w:t>
            </w:r>
          </w:p>
        </w:tc>
        <w:tc>
          <w:tcPr>
            <w:tcW w:w="9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346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616</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S&amp;P 500 Composite Index</w:t>
            </w:r>
          </w:p>
        </w:tc>
        <w:tc>
          <w:tcPr>
            <w:tcW w:w="6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100</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127</w:t>
            </w:r>
          </w:p>
        </w:tc>
        <w:tc>
          <w:tcPr>
            <w:tcW w:w="7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137</w:t>
            </w:r>
          </w:p>
        </w:tc>
        <w:tc>
          <w:tcPr>
            <w:tcW w:w="7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158</w:t>
            </w:r>
          </w:p>
        </w:tc>
        <w:tc>
          <w:tcPr>
            <w:tcW w:w="9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166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202</w:t>
            </w:r>
          </w:p>
        </w:tc>
      </w:tr>
      <w:tr>
        <w:trPr>
          <w:trHeight w:val="392"/>
        </w:trPr>
        <w:tc>
          <w:tcPr>
            <w:tcW w:w="404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13</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508" w:right="1440" w:bottom="1440" w:gutter="0" w:footer="0" w:header="0"/>
        </w:sectPr>
      </w:pPr>
    </w:p>
    <w:bookmarkStart w:id="21" w:name="page22"/>
    <w:bookmarkEnd w:id="21"/>
    <w:p>
      <w:pPr>
        <w:ind w:right="4599" w:firstLine="5"/>
        <w:spacing w:after="0" w:line="243" w:lineRule="auto"/>
        <w:tabs>
          <w:tab w:leader="none" w:pos="51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APPROVE THE AMENDMENT TO THE COMPANY'S CERTIFICATE OF INCORPORATION</w:t>
      </w:r>
    </w:p>
    <w:p>
      <w:pPr>
        <w:spacing w:after="0" w:line="199"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Company's Certificate of Incorporation (the "Certificate"), as currently in effect, provides that the Company is authorized to issue one class of stock, consisting of 300,000,000 shares of Common Stock, $0.10 par value per share. On October 2, 1995, the Board of Directors authorized an amendment to the Certificate to increase the authorized number of shares of Common Stock to 1,000,000,000 shares. The shareholders are being asked to approve at the Annual Meeting such amendment to the Certificate. Under the proposed amendment, paragraph 4 of the Certificate would be amended to read as follows:</w:t>
      </w:r>
    </w:p>
    <w:p>
      <w:pPr>
        <w:spacing w:after="0" w:line="200" w:lineRule="exact"/>
        <w:rPr>
          <w:sz w:val="20"/>
          <w:szCs w:val="20"/>
          <w:color w:val="auto"/>
        </w:rPr>
      </w:pPr>
    </w:p>
    <w:p>
      <w:pPr>
        <w:jc w:val="both"/>
        <w:ind w:left="620" w:right="4199" w:hanging="407"/>
        <w:spacing w:after="0" w:line="244" w:lineRule="auto"/>
        <w:rPr>
          <w:sz w:val="20"/>
          <w:szCs w:val="20"/>
          <w:color w:val="auto"/>
        </w:rPr>
      </w:pPr>
      <w:r>
        <w:rPr>
          <w:rFonts w:ascii="Courier New" w:cs="Courier New" w:eastAsia="Courier New" w:hAnsi="Courier New"/>
          <w:sz w:val="17"/>
          <w:szCs w:val="17"/>
          <w:color w:val="auto"/>
        </w:rPr>
        <w:t>"4. The total number of shares of common stock which the corporation shall have the authority to issue is one billion (1,000,000,000), and the par value of each of such shares is Ten Cents ($0.10)."</w:t>
      </w:r>
    </w:p>
    <w:p>
      <w:pPr>
        <w:spacing w:after="0" w:line="198"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Company currently has 300,000,000 authorized shares of Common Stock. As of November 30, 1995, [206,861,383] shares of Common Stock were issued and outstanding. In addition, as of November 30, 1995, [17,892,381] shares were reserved for future grant or for issuance upon the exercise of outstanding options under the Company's 1985 Incentive Stock Option Plan, 1994 Stock Option Plan and 1989 Employee Stock Purchase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Amendment</w:t>
      </w:r>
    </w:p>
    <w:p>
      <w:pPr>
        <w:spacing w:after="0" w:line="201" w:lineRule="exact"/>
        <w:rPr>
          <w:sz w:val="20"/>
          <w:szCs w:val="20"/>
          <w:color w:val="auto"/>
        </w:rPr>
      </w:pPr>
    </w:p>
    <w:p>
      <w:pPr>
        <w:ind w:right="3779" w:firstLine="102"/>
        <w:spacing w:after="0" w:line="244" w:lineRule="auto"/>
        <w:rPr>
          <w:sz w:val="20"/>
          <w:szCs w:val="20"/>
          <w:color w:val="auto"/>
        </w:rPr>
      </w:pPr>
      <w:r>
        <w:rPr>
          <w:rFonts w:ascii="Courier New" w:cs="Courier New" w:eastAsia="Courier New" w:hAnsi="Courier New"/>
          <w:sz w:val="17"/>
          <w:szCs w:val="17"/>
          <w:color w:val="auto"/>
        </w:rPr>
        <w:t>The principal purpose of the proposed amendment to the Certificate is to authorize additional shares of Common Stock which will be available in the event the Board of Directors determines that it is necessary or appropriate to permit future stock dividends, stock splits or to utilize such shares for business purposes.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increase in authorized Common Stock will not have any immediate effect on the rights of existing shareholders. To the extent that the additional authorized shares are issued in the future in a transaction other than in a stock split or stock dividend,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voting "FOR" approval of the amendment.</w:t>
      </w:r>
    </w:p>
    <w:p>
      <w:pPr>
        <w:spacing w:after="0" w:line="200" w:lineRule="exact"/>
        <w:rPr>
          <w:sz w:val="20"/>
          <w:szCs w:val="20"/>
          <w:color w:val="auto"/>
        </w:rPr>
      </w:pPr>
    </w:p>
    <w:p>
      <w:pPr>
        <w:ind w:left="520" w:hanging="515"/>
        <w:spacing w:after="0"/>
        <w:tabs>
          <w:tab w:leader="none" w:pos="5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THE COMPANY'S 1994 STOCK OPTION PLAN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Micron Technology, Inc. 1994 Stock Option Plan (the "1994 Plan"), as currently in effect, reserves 2,000,000 shares of Common Stock for issuance thereunder. On October 30, 1995, the Board of Directors authorized an amendment to the 1994 Plan, subject to shareholder approval, to increase by an additional 5,000,000 the number of shares available for grant under the 1994 Plan. The purpose of the amendment is to provide the Company with an additional 5,000,000 shares of Common Stock that can be awarded or granted to officers, employees and consultants of the Company in future years through the expiration of the 1994 Plan in 2004. All such awards or grants under the 1994 Plan would be made only upon approval by the Board of Directors.</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0" w:right="1440" w:bottom="467" w:gutter="0" w:footer="0" w:header="0"/>
        </w:sectPr>
      </w:pPr>
    </w:p>
    <w:bookmarkStart w:id="22" w:name="page23"/>
    <w:bookmarkEnd w:id="22"/>
    <w:p>
      <w:pPr>
        <w:ind w:right="3679" w:firstLine="102"/>
        <w:spacing w:after="0" w:line="244" w:lineRule="auto"/>
        <w:rPr>
          <w:sz w:val="20"/>
          <w:szCs w:val="20"/>
          <w:color w:val="auto"/>
        </w:rPr>
      </w:pPr>
      <w:r>
        <w:rPr>
          <w:rFonts w:ascii="Courier New" w:cs="Courier New" w:eastAsia="Courier New" w:hAnsi="Courier New"/>
          <w:sz w:val="17"/>
          <w:szCs w:val="17"/>
          <w:color w:val="auto"/>
        </w:rPr>
        <w:t>The 1994 Plan was approved by shareholders at the 1994 Annual Meeting. The following is a summary of the material features of the 1994 Plan. A copy of the 1994 Plan has been filed with the Securities &amp; Exchange Commission and the following summary is qualified in its entirety by reference to the 1994 Plan.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of the 1994 Plan Amendment</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purpose of the proposed amendment is to ensure that the Company has a sufficient number of shares of Common Stock reserved under the 1994 Plan to accomplish the 1994 Plan's objective, i.e., to align management and shareholder long-term interests and to attract, motivate, and retain experienced and qualified management personnel. Assuming approval of the proposed amendment, the 7,000,000 total shares reserved for issuance under the 1994 Plan will represent approximately [3.38%] of the Company's Common Stock outstanding as of November 30, 1995.</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1994 Plan is administered by either (i) the Board of Directors, if the Board may administer the Plan in compliance with Rule 16b-3 ("Rule 16b-3") promulgated under the Securities Exchange Act of 1934 (the "Exchange Act") or (ii) a committee appointed by the Board and constituted so as to permit the 1994 Plan to comply with the provisions of Rule 16b-3. If permitted by Rule 16b-3, the 1994 Plan may be administered by different bodies with respect to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202"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Committee has the discretion to select the employees and consultants to whom options may be granted (an "Optionee"), to determine the number of shares granted under each option, and to make all other determinations which it deems necessary or appropriate in the interpretation and administration of the 1994 Plan. Historically, any grants approved by the Committee also have been approved by the Board of Directors. The Committee, in its discretion, may accelerate the vesting of any option, may reduce the exercise price of any option, and amend or modify any option (provided that such amendment may not impair the rights of any Optionee unless mutually agreed otherwise by the Optionee and the Committee).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Participants</w:t>
      </w:r>
    </w:p>
    <w:p>
      <w:pPr>
        <w:spacing w:after="0" w:line="201" w:lineRule="exact"/>
        <w:rPr>
          <w:sz w:val="20"/>
          <w:szCs w:val="20"/>
          <w:color w:val="auto"/>
        </w:rPr>
      </w:pPr>
    </w:p>
    <w:p>
      <w:pPr>
        <w:ind w:right="3579" w:firstLine="204"/>
        <w:spacing w:after="0" w:line="244" w:lineRule="auto"/>
        <w:rPr>
          <w:sz w:val="20"/>
          <w:szCs w:val="20"/>
          <w:color w:val="auto"/>
        </w:rPr>
      </w:pPr>
      <w:r>
        <w:rPr>
          <w:rFonts w:ascii="Courier New" w:cs="Courier New" w:eastAsia="Courier New" w:hAnsi="Courier New"/>
          <w:sz w:val="17"/>
          <w:szCs w:val="17"/>
          <w:color w:val="auto"/>
        </w:rPr>
        <w:t>Only persons who are officers, employees, or consultants, including advisors, of the Company are eligible to participate in, and to receive options under, the 1994 Plan. Neither the members of the Committee, nor any member of the Company's Board of Directors who is not also an officer or employee of the Company, may participate in the 1994 Plan. As of November 30, 1995, there were approximately [6,165] employees of the Company who were eligible to participate in the 1994 Plan and [436] actually participating. Currently, [11,200] shares of Common Stock have been issued upon exercise of options granted pursuant to the 1994 Plan. An additional [1,544,928] shares of Common Stock are subject to options granted, but unexercised, under the 1994 Plan. An Optionee may be granted more than one option under the 1994 Plan and any option that terminates without being exercised reverts to the 1994 Plan and becomes available for future grant. Under the terms of the 1994 Plan, no employee of the Company can be granted options to purchase more than 500,000 shares during any fiscal year, subject to adjustment upon changes in capitalization.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Options</w:t>
      </w:r>
    </w:p>
    <w:p>
      <w:pPr>
        <w:spacing w:after="0" w:line="201"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1994 Plan provides for the grant of incentive stock options ("ISOs") as defined in Section 422 of the Code, or nonstatutory stock options ("NSOs"). Options granted to consultants are nonstatutory stock options.</w:t>
      </w:r>
    </w:p>
    <w:p>
      <w:pPr>
        <w:spacing w:after="0" w:line="198" w:lineRule="exact"/>
        <w:rPr>
          <w:sz w:val="20"/>
          <w:szCs w:val="20"/>
          <w:color w:val="auto"/>
        </w:rPr>
      </w:pPr>
    </w:p>
    <w:p>
      <w:pPr>
        <w:ind w:right="3579" w:firstLine="510"/>
        <w:spacing w:after="0" w:line="244" w:lineRule="auto"/>
        <w:rPr>
          <w:sz w:val="20"/>
          <w:szCs w:val="20"/>
          <w:color w:val="auto"/>
        </w:rPr>
      </w:pPr>
      <w:r>
        <w:rPr>
          <w:rFonts w:ascii="Courier New" w:cs="Courier New" w:eastAsia="Courier New" w:hAnsi="Courier New"/>
          <w:sz w:val="17"/>
          <w:szCs w:val="17"/>
          <w:color w:val="auto"/>
        </w:rPr>
        <w:t>The purchase price per share payable by an Optionee upon the exercise of each ISO granted under the 1994 Plan equals the fair market value of the Company's Common Stock on the date of the grant. The fair market value of a share of the Company's Common</w:t>
      </w:r>
    </w:p>
    <w:p>
      <w:pPr>
        <w:sectPr>
          <w:pgSz w:w="11900" w:h="16838" w:orient="portrait"/>
          <w:cols w:equalWidth="0" w:num="1">
            <w:col w:w="10219"/>
          </w:cols>
          <w:pgMar w:left="240" w:top="704"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Stock is deemed to be the average closing price of the Company's</w:t>
      </w:r>
    </w:p>
    <w:p>
      <w:pPr>
        <w:sectPr>
          <w:pgSz w:w="11900" w:h="16838" w:orient="portrait"/>
          <w:cols w:equalWidth="0" w:num="1">
            <w:col w:w="10219"/>
          </w:cols>
          <w:pgMar w:left="240" w:top="141" w:right="1440" w:bottom="1440" w:gutter="0" w:footer="0" w:header="0"/>
        </w:sectPr>
      </w:pP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1" w:right="1440" w:bottom="1440" w:gutter="0" w:footer="0" w:header="0"/>
          <w:type w:val="continuous"/>
        </w:sectPr>
      </w:pPr>
    </w:p>
    <w:bookmarkStart w:id="24" w:name="page25"/>
    <w:bookmarkEnd w:id="24"/>
    <w:p>
      <w:pPr>
        <w:ind w:right="3579"/>
        <w:spacing w:after="0" w:line="244" w:lineRule="auto"/>
        <w:rPr>
          <w:sz w:val="20"/>
          <w:szCs w:val="20"/>
          <w:color w:val="auto"/>
        </w:rPr>
      </w:pPr>
      <w:r>
        <w:rPr>
          <w:rFonts w:ascii="Courier New" w:cs="Courier New" w:eastAsia="Courier New" w:hAnsi="Courier New"/>
          <w:sz w:val="17"/>
          <w:szCs w:val="17"/>
          <w:color w:val="auto"/>
        </w:rPr>
        <w:t>Common Stock as quoted on the New York Stock Exchange for the five (5) business days preceding the date the Option is granted. As of November 30, 1995, the fair market value of a share of Common Stock was $50.55. The purchase price per share payable by an Optionee upon the exercise of each NSO granted under the 1994 Plan is determined by the Committee.</w:t>
      </w:r>
    </w:p>
    <w:p>
      <w:pPr>
        <w:spacing w:after="0" w:line="199"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exercise price of an option granted under the 1994 Plan may be paid in cash, check, promissory note, or, at the discretion of the Committee, in shares of the Company's Common Stock, or in any combination thereof. 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203"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are exercisable during an Optionee's lifetime only by the Optionee.</w:t>
      </w:r>
    </w:p>
    <w:p>
      <w:pPr>
        <w:spacing w:after="0" w:line="199" w:lineRule="exact"/>
        <w:rPr>
          <w:sz w:val="20"/>
          <w:szCs w:val="20"/>
          <w:color w:val="auto"/>
        </w:rPr>
      </w:pPr>
    </w:p>
    <w:p>
      <w:pPr>
        <w:ind w:right="3779" w:firstLine="102"/>
        <w:spacing w:after="0" w:line="244" w:lineRule="auto"/>
        <w:rPr>
          <w:sz w:val="20"/>
          <w:szCs w:val="20"/>
          <w:color w:val="auto"/>
        </w:rPr>
      </w:pPr>
      <w:r>
        <w:rPr>
          <w:rFonts w:ascii="Courier New" w:cs="Courier New" w:eastAsia="Courier New" w:hAnsi="Courier New"/>
          <w:sz w:val="17"/>
          <w:szCs w:val="17"/>
          <w:color w:val="auto"/>
        </w:rPr>
        <w:t>Options granted under the 1994 Plan are evidenced by a written agreement between the Company and the Optionee, containing the specific terms and conditions of each option. The current form of agreement provides for an option term of six (6) years with the shares exercisable as to twenty percent (20%) of the shares subject to the option per year commencing with the first anniversary date of the date of grant.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Adjustments upon Changes in Capitalization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Subject to adjustment in the case of certain changes in the capital structure of the Company, and subject to the shareholders' approval of the amendment to the 1994 Plan as proposed hereby, a maximum of 7,000,000 shares of the Company's $.10 par value Common Stock will be reserved for issuance pursuant to options granted under the 1994 Plan. In the event of a change in the number or nature of the Company's shares of outstanding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1994 Plan</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1994 Plan was effective upon the adoption by the Company's Board of Directors and approval by the Company's shareholders at the 1994 Annual Meeting. It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99"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08" w:right="1440" w:bottom="0" w:gutter="0" w:footer="0" w:header="0"/>
        </w:sectPr>
      </w:pPr>
    </w:p>
    <w:bookmarkStart w:id="25" w:name="page26"/>
    <w:bookmarkEnd w:id="25"/>
    <w:p>
      <w:pPr>
        <w:jc w:val="both"/>
        <w:ind w:right="3679" w:firstLine="102"/>
        <w:spacing w:after="0" w:line="243" w:lineRule="auto"/>
        <w:rPr>
          <w:sz w:val="20"/>
          <w:szCs w:val="20"/>
          <w:color w:val="auto"/>
        </w:rPr>
      </w:pPr>
      <w:r>
        <w:rPr>
          <w:rFonts w:ascii="Courier New" w:cs="Courier New" w:eastAsia="Courier New" w:hAnsi="Courier New"/>
          <w:sz w:val="17"/>
          <w:szCs w:val="17"/>
          <w:color w:val="auto"/>
        </w:rPr>
        <w:t>ISOs and NSOs are treated differently for federal tax purposes. ISOs are intended to comply with the requirements of Section 422 of the Code. NSOs need not comply with such requirements.</w:t>
      </w:r>
    </w:p>
    <w:p>
      <w:pPr>
        <w:spacing w:after="0" w:line="200"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pursuant to exercise of an ISO before satisfying either of the one and two-year holding periods described above, 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exercise price) or (ii) the difference between the fair market value of the stock on the exercise date and the exercise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is entitled to a deduction in the year the Optionee disposes of the shares in an amount equal to the ordinary income recognized by the Optionee.</w:t>
      </w:r>
    </w:p>
    <w:p>
      <w:pPr>
        <w:spacing w:after="0" w:line="208"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An Optionee is not taxed on the grant of an NSO. On exercise, however, the Optionee recognizes ordinary income equal to the difference between the exercise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deduction for this gain.</w:t>
      </w:r>
    </w:p>
    <w:p>
      <w:pPr>
        <w:spacing w:after="0" w:line="200" w:lineRule="exact"/>
        <w:rPr>
          <w:sz w:val="20"/>
          <w:szCs w:val="20"/>
          <w:color w:val="auto"/>
        </w:rPr>
      </w:pPr>
    </w:p>
    <w:p>
      <w:pPr>
        <w:ind w:right="3679" w:firstLine="102"/>
        <w:spacing w:after="0" w:line="244" w:lineRule="auto"/>
        <w:rPr>
          <w:sz w:val="20"/>
          <w:szCs w:val="20"/>
          <w:color w:val="auto"/>
        </w:rPr>
      </w:pPr>
      <w:r>
        <w:rPr>
          <w:rFonts w:ascii="Courier New" w:cs="Courier New" w:eastAsia="Courier New" w:hAnsi="Courier New"/>
          <w:sz w:val="17"/>
          <w:szCs w:val="17"/>
          <w:color w:val="auto"/>
        </w:rPr>
        <w:t>The 1994 Plan includes provisions necessary for the plan to comply with Section 162(m) of the Internal Revenue Code of 1986. 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approved by shareholders are applied to stock options granted to executive officers.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Benefits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Because options under the 1994 Plan are granted in the discretion of the Board of Directors (or such committee, if any, to whom the Board has delegated such authority), it is not possible for the Company to determine and disclose the amount of options that may be granted to the named executive officers and the executive officers as a whole, if the amendment is approved. However, see "Eligible Participants" above for a description of the limitations as to granting of options.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Amendment</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Under the terms of the 1994 Plan, as originally approved by the shareholders, there were 1,000,000 shares reserved for issuance. On May 4, 1995, the Company effected a 2-for-1 stock split of its Common Stock pursuant to a stock dividend. This adjustment caused the 1,000,000 shares reserved for issuance to increase to 2,000,000 shares. Accordingly, following the stock split, the 1994 Plan authorized the issuance of 2,000,000 shares of Common Stock. The proposed amendment will increase the number of authorized shares of Common Stock reserved for issuance by an additional 5,000,000 shares by revising the final sentence of Section 3 of the 1994 Plan to read as follows:</w:t>
      </w:r>
    </w:p>
    <w:p>
      <w:pPr>
        <w:spacing w:after="0" w:line="201" w:lineRule="exact"/>
        <w:rPr>
          <w:sz w:val="20"/>
          <w:szCs w:val="20"/>
          <w:color w:val="auto"/>
        </w:rPr>
      </w:pPr>
    </w:p>
    <w:p>
      <w:pPr>
        <w:jc w:val="both"/>
        <w:ind w:left="320" w:right="4199" w:hanging="101"/>
        <w:spacing w:after="0" w:line="243" w:lineRule="auto"/>
        <w:rPr>
          <w:sz w:val="20"/>
          <w:szCs w:val="20"/>
          <w:color w:val="auto"/>
        </w:rPr>
      </w:pPr>
      <w:r>
        <w:rPr>
          <w:rFonts w:ascii="Courier New" w:cs="Courier New" w:eastAsia="Courier New" w:hAnsi="Courier New"/>
          <w:sz w:val="17"/>
          <w:szCs w:val="17"/>
          <w:color w:val="auto"/>
        </w:rPr>
        <w:t>"Subject to the provisions of Section 12 of the Plan, the maximum aggregate number of Shares which may be optioned and sold under the Plan is 7,000,000 Shares."</w:t>
      </w:r>
    </w:p>
    <w:p>
      <w:pPr>
        <w:sectPr>
          <w:pgSz w:w="11900" w:h="16838" w:orient="portrait"/>
          <w:cols w:equalWidth="0" w:num="1">
            <w:col w:w="10219"/>
          </w:cols>
          <w:pgMar w:left="240" w:top="508"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The Board of Directors recommends voting "FOR" approval of the amendment.</w:t>
      </w:r>
    </w:p>
    <w:p>
      <w:pPr>
        <w:sectPr>
          <w:pgSz w:w="11900" w:h="16838" w:orient="portrait"/>
          <w:cols w:equalWidth="0" w:num="1">
            <w:col w:w="10219"/>
          </w:cols>
          <w:pgMar w:left="240" w:top="337" w:right="1440" w:bottom="1440" w:gutter="0" w:footer="0" w:header="0"/>
        </w:sectPr>
      </w:pP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37" w:right="1440" w:bottom="1440" w:gutter="0" w:footer="0" w:header="0"/>
          <w:type w:val="continuous"/>
        </w:sectPr>
      </w:pPr>
    </w:p>
    <w:bookmarkStart w:id="27" w:name="page28"/>
    <w:bookmarkEnd w:id="27"/>
    <w:p>
      <w:pPr>
        <w:ind w:left="520" w:hanging="515"/>
        <w:spacing w:after="0"/>
        <w:tabs>
          <w:tab w:leader="none" w:pos="5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RATIFICATION OF APPOINTMENT OF INDEPENDENT ACCOUNTANTS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Board of Directors has appointed Coopers &amp; Lybrand L.L.P., independent accountants, to audit the consolidated financial statements of the Company for the fiscal year ending August 29, 1996. Coopers &amp; Lybrand L.L.P. has been the Company's independent accountants since fiscal year 1985. Representatives of Coopers &amp; Lybrand L.L.P. are expected to be present at the meeting, will have the opportunity to make a statement if they so desire, and are expected to be available to respond to appropriate questions.</w:t>
      </w:r>
    </w:p>
    <w:p>
      <w:pPr>
        <w:spacing w:after="0" w:line="396" w:lineRule="exact"/>
        <w:rPr>
          <w:sz w:val="20"/>
          <w:szCs w:val="20"/>
          <w:color w:val="auto"/>
        </w:rPr>
      </w:pPr>
    </w:p>
    <w:p>
      <w:pPr>
        <w:ind w:left="1020" w:right="3679" w:hanging="917"/>
        <w:spacing w:after="0" w:line="243" w:lineRule="auto"/>
        <w:rPr>
          <w:sz w:val="20"/>
          <w:szCs w:val="20"/>
          <w:color w:val="auto"/>
        </w:rPr>
      </w:pPr>
      <w:r>
        <w:rPr>
          <w:rFonts w:ascii="Courier New" w:cs="Courier New" w:eastAsia="Courier New" w:hAnsi="Courier New"/>
          <w:sz w:val="17"/>
          <w:szCs w:val="17"/>
          <w:color w:val="auto"/>
        </w:rPr>
        <w:t>The Board of Directors recommends voting "FOR" the ratification of the appointment of Coopers &amp; Lybrand L.L.P.</w:t>
      </w:r>
    </w:p>
    <w:p>
      <w:pPr>
        <w:spacing w:after="0" w:line="394" w:lineRule="exact"/>
        <w:rPr>
          <w:sz w:val="20"/>
          <w:szCs w:val="20"/>
          <w:color w:val="auto"/>
        </w:rPr>
      </w:pPr>
    </w:p>
    <w:p>
      <w:pPr>
        <w:ind w:left="520" w:hanging="515"/>
        <w:spacing w:after="0"/>
        <w:tabs>
          <w:tab w:leader="none" w:pos="5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MATTERS</w:t>
      </w:r>
    </w:p>
    <w:p>
      <w:pPr>
        <w:spacing w:after="0" w:line="201" w:lineRule="exact"/>
        <w:rPr>
          <w:sz w:val="20"/>
          <w:szCs w:val="20"/>
          <w:color w:val="auto"/>
        </w:rPr>
      </w:pPr>
    </w:p>
    <w:p>
      <w:pPr>
        <w:ind w:right="3579" w:firstLine="102"/>
        <w:spacing w:after="0" w:line="244" w:lineRule="auto"/>
        <w:rPr>
          <w:sz w:val="20"/>
          <w:szCs w:val="20"/>
          <w:color w:val="auto"/>
        </w:rPr>
      </w:pPr>
      <w:r>
        <w:rPr>
          <w:rFonts w:ascii="Courier New" w:cs="Courier New" w:eastAsia="Courier New" w:hAnsi="Courier New"/>
          <w:sz w:val="17"/>
          <w:szCs w:val="17"/>
          <w:color w:val="auto"/>
        </w:rPr>
        <w:t>The Company knows of no other matters to be submitted at the meeting. If any other matters properly come before the meeting, the persons named in the accompanying form of Proxy will vote, in their discretion, the shares they represent.</w:t>
      </w: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THE BOARD OF DIRECTORS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14, 1995</w:t>
      </w:r>
    </w:p>
    <w:p>
      <w:pPr>
        <w:sectPr>
          <w:pgSz w:w="11900" w:h="16838" w:orient="portrait"/>
          <w:cols w:equalWidth="0" w:num="1">
            <w:col w:w="10219"/>
          </w:cols>
          <w:pgMar w:left="240" w:top="507" w:right="1440" w:bottom="1440" w:gutter="0" w:footer="0" w:header="0"/>
        </w:sectPr>
      </w:pPr>
    </w:p>
    <w:bookmarkStart w:id="28" w:name="page29"/>
    <w:bookmarkEnd w:id="28"/>
    <w:p>
      <w:pPr>
        <w:ind w:left="2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7"/>
          <w:szCs w:val="17"/>
          <w:color w:val="auto"/>
        </w:rPr>
        <w:t>1995 ANNUAL MEETING OF SHAREHOLDERS</w:t>
      </w:r>
    </w:p>
    <w:p>
      <w:pPr>
        <w:spacing w:after="0" w:line="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7"/>
          <w:szCs w:val="17"/>
          <w:color w:val="auto"/>
        </w:rPr>
        <w:t>January 29, 1996</w:t>
      </w:r>
    </w:p>
    <w:p>
      <w:pPr>
        <w:spacing w:after="0" w:line="201" w:lineRule="exact"/>
        <w:rPr>
          <w:sz w:val="20"/>
          <w:szCs w:val="20"/>
          <w:color w:val="auto"/>
        </w:rPr>
      </w:pPr>
    </w:p>
    <w:p>
      <w:pPr>
        <w:ind w:right="3679"/>
        <w:spacing w:after="0" w:line="244" w:lineRule="auto"/>
        <w:rPr>
          <w:sz w:val="20"/>
          <w:szCs w:val="20"/>
          <w:color w:val="auto"/>
        </w:rPr>
      </w:pPr>
      <w:r>
        <w:rPr>
          <w:rFonts w:ascii="Courier New" w:cs="Courier New" w:eastAsia="Courier New" w:hAnsi="Courier New"/>
          <w:sz w:val="17"/>
          <w:szCs w:val="17"/>
          <w:color w:val="auto"/>
        </w:rPr>
        <w:t>The undersigned shareholder(s) of Micron Technology, Inc., a Delaware corporation, hereby acknowledges receipt of the Notice of 1995 Annual Meeting of Shareholders and Proxy Statement, each dated December 18, 1995, and hereby appoints Steven R. Appleton and Wilbur G. Stover, Jr., and each of them, proxies and attorneys-in-fact, with full power to each of substitution, on behalf and in the name of the undersigned, to represent the undersigned at the 1995 Annual Meeting of Shareholders of Micron Technology, Inc., to be held January 29, 1996,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below:</w:t>
      </w:r>
    </w:p>
    <w:p>
      <w:pPr>
        <w:sectPr>
          <w:pgSz w:w="11900" w:h="16838" w:orient="portrait"/>
          <w:cols w:equalWidth="0" w:num="1">
            <w:col w:w="10219"/>
          </w:cols>
          <w:pgMar w:left="240" w:top="507" w:right="1440" w:bottom="1440" w:gutter="0" w:footer="0" w:header="0"/>
        </w:sectPr>
      </w:pP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1.</w:t>
        <w:tab/>
        <w:t>ELECTION OF DIRECTORS: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FOR nominees listed below</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(except as indicated)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WITHHOLD authority to vote</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for all nominees listed below</w:t>
      </w:r>
    </w:p>
    <w:p>
      <w:pPr>
        <w:spacing w:after="0" w:line="200" w:lineRule="exact"/>
        <w:rPr>
          <w:sz w:val="20"/>
          <w:szCs w:val="20"/>
          <w:color w:val="auto"/>
        </w:rPr>
      </w:pPr>
    </w:p>
    <w:p>
      <w:pPr>
        <w:sectPr>
          <w:pgSz w:w="11900" w:h="16838" w:orient="portrait"/>
          <w:cols w:equalWidth="0" w:num="2">
            <w:col w:w="3380" w:space="500"/>
            <w:col w:w="6339"/>
          </w:cols>
          <w:pgMar w:left="240" w:top="507" w:right="1440" w:bottom="1440" w:gutter="0" w:footer="0" w:header="0"/>
          <w:type w:val="continuous"/>
        </w:sectPr>
      </w:pPr>
    </w:p>
    <w:p>
      <w:pPr>
        <w:spacing w:after="0" w:line="1" w:lineRule="exact"/>
        <w:rPr>
          <w:sz w:val="20"/>
          <w:szCs w:val="20"/>
          <w:color w:val="auto"/>
        </w:rPr>
      </w:pPr>
    </w:p>
    <w:p>
      <w:pPr>
        <w:ind w:right="3879"/>
        <w:spacing w:after="0" w:line="243" w:lineRule="auto"/>
        <w:rPr>
          <w:sz w:val="20"/>
          <w:szCs w:val="20"/>
          <w:color w:val="auto"/>
        </w:rPr>
      </w:pPr>
      <w:r>
        <w:rPr>
          <w:rFonts w:ascii="Courier New" w:cs="Courier New" w:eastAsia="Courier New" w:hAnsi="Courier New"/>
          <w:sz w:val="17"/>
          <w:szCs w:val="17"/>
          <w:color w:val="auto"/>
        </w:rPr>
        <w:t>If you wish to withhold authority to vote for any individual nominee, strike a line through that nominee's name in the list</w:t>
      </w:r>
    </w:p>
    <w:p>
      <w:pPr>
        <w:spacing w:after="0" w:line="2" w:lineRule="exact"/>
        <w:rPr>
          <w:sz w:val="20"/>
          <w:szCs w:val="20"/>
          <w:color w:val="auto"/>
        </w:rPr>
      </w:pPr>
    </w:p>
    <w:p>
      <w:pPr>
        <w:ind w:right="3679"/>
        <w:spacing w:after="0" w:line="243" w:lineRule="auto"/>
        <w:rPr>
          <w:sz w:val="20"/>
          <w:szCs w:val="20"/>
          <w:color w:val="auto"/>
        </w:rPr>
      </w:pPr>
      <w:r>
        <w:rPr>
          <w:rFonts w:ascii="Courier New" w:cs="Courier New" w:eastAsia="Courier New" w:hAnsi="Courier New"/>
          <w:sz w:val="17"/>
          <w:szCs w:val="17"/>
          <w:color w:val="auto"/>
        </w:rPr>
        <w:t>below: Steven R. Appleton; Jerry M. Hess; Robert A. Lothrop; Tyler A. Lowrey; Thomas T. Nicholson; Allen T. Noble; Don J. Simplot; John R. Simplot; Gordon C. Smith; Wilbur G. Stover, Jr.</w:t>
      </w:r>
    </w:p>
    <w:p>
      <w:pPr>
        <w:spacing w:after="0" w:line="200" w:lineRule="exact"/>
        <w:rPr>
          <w:sz w:val="20"/>
          <w:szCs w:val="20"/>
          <w:color w:val="auto"/>
        </w:rPr>
      </w:pPr>
    </w:p>
    <w:p>
      <w:pPr>
        <w:ind w:left="420" w:right="3579" w:hanging="415"/>
        <w:spacing w:after="0" w:line="259" w:lineRule="auto"/>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 THE COMPANY'S CERTIFICATE OF INCORPORATION TO INCREASE THE NUMBER OF AUTHORIZED SHARES OF THE COMPANY'S COMMON STOCK FROM 300,000,000 SHARES TO</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1,000,000,000 SHARES:</w:t>
      </w:r>
    </w:p>
    <w:p>
      <w:pPr>
        <w:sectPr>
          <w:pgSz w:w="11900" w:h="16838" w:orient="portrait"/>
          <w:cols w:equalWidth="0" w:num="1">
            <w:col w:w="10219"/>
          </w:cols>
          <w:pgMar w:left="240" w:top="507" w:right="1440" w:bottom="1440" w:gutter="0" w:footer="0" w:header="0"/>
          <w:type w:val="continuous"/>
        </w:sectPr>
      </w:pPr>
    </w:p>
    <w:p>
      <w:pPr>
        <w:spacing w:after="0" w:line="200"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1400" w:val="left"/>
          <w:tab w:leader="none" w:pos="192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ABSTAIN</w:t>
      </w:r>
    </w:p>
    <w:p>
      <w:pPr>
        <w:spacing w:after="0" w:line="5" w:lineRule="exact"/>
        <w:rPr>
          <w:sz w:val="20"/>
          <w:szCs w:val="20"/>
          <w:color w:val="auto"/>
        </w:rPr>
      </w:pPr>
    </w:p>
    <w:p>
      <w:pPr>
        <w:sectPr>
          <w:pgSz w:w="11900" w:h="16838" w:orient="portrait"/>
          <w:cols w:equalWidth="0" w:num="4">
            <w:col w:w="1440" w:space="200"/>
            <w:col w:w="2840" w:space="720"/>
            <w:col w:w="320" w:space="200"/>
            <w:col w:w="4499"/>
          </w:cols>
          <w:pgMar w:left="240" w:top="507"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219"/>
          </w:cols>
          <w:pgMar w:left="240" w:top="507" w:right="1440" w:bottom="1440" w:gutter="0" w:footer="0" w:header="0"/>
          <w:type w:val="continuous"/>
        </w:sectPr>
      </w:pPr>
    </w:p>
    <w:bookmarkStart w:id="29" w:name="page30"/>
    <w:bookmarkEnd w:id="29"/>
    <w:p>
      <w:pPr>
        <w:ind w:left="1840"/>
        <w:spacing w:after="0"/>
        <w:rPr>
          <w:sz w:val="20"/>
          <w:szCs w:val="20"/>
          <w:color w:val="auto"/>
        </w:rPr>
      </w:pPr>
      <w:r>
        <w:rPr>
          <w:rFonts w:ascii="Courier New" w:cs="Courier New" w:eastAsia="Courier New" w:hAnsi="Courier New"/>
          <w:sz w:val="17"/>
          <w:szCs w:val="17"/>
          <w:color w:val="auto"/>
        </w:rPr>
        <w:t>(continued from other side)</w:t>
      </w:r>
    </w:p>
    <w:p>
      <w:pPr>
        <w:spacing w:after="0" w:line="201" w:lineRule="exact"/>
        <w:rPr>
          <w:sz w:val="20"/>
          <w:szCs w:val="20"/>
          <w:color w:val="auto"/>
        </w:rPr>
      </w:pPr>
    </w:p>
    <w:p>
      <w:pPr>
        <w:ind w:left="420" w:right="3579" w:hanging="415"/>
        <w:spacing w:after="0" w:line="259" w:lineRule="auto"/>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 THE COMPANY'S 1994 STOCK OPTION PLAN TO INCREASE THE NUMBER OF SHARES OF THE COMPANY'S COMMON STOCK RESERVED FOR FUTURE GRANT FROM 2,000,000 TO</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7,000,000 SHARES:</w:t>
      </w:r>
    </w:p>
    <w:p>
      <w:pPr>
        <w:spacing w:after="0" w:line="200" w:lineRule="exact"/>
        <w:rPr>
          <w:sz w:val="20"/>
          <w:szCs w:val="20"/>
          <w:color w:val="auto"/>
        </w:rPr>
      </w:pPr>
    </w:p>
    <w:p>
      <w:pPr>
        <w:ind w:left="1120"/>
        <w:spacing w:after="0"/>
        <w:tabs>
          <w:tab w:leader="none" w:pos="1620" w:val="left"/>
          <w:tab w:leader="none" w:pos="3040" w:val="left"/>
          <w:tab w:leader="none" w:pos="3560" w:val="left"/>
          <w:tab w:leader="none" w:pos="5180" w:val="left"/>
          <w:tab w:leader="none" w:pos="570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tab/>
        <w:t>AGAINST</w:t>
      </w:r>
      <w:r>
        <w:rPr>
          <w:sz w:val="20"/>
          <w:szCs w:val="20"/>
          <w:color w:val="auto"/>
        </w:rPr>
        <w:tab/>
      </w:r>
      <w:r>
        <w:rPr>
          <w:rFonts w:ascii="Courier New" w:cs="Courier New" w:eastAsia="Courier New" w:hAnsi="Courier New"/>
          <w:sz w:val="17"/>
          <w:szCs w:val="17"/>
          <w:color w:val="auto"/>
        </w:rPr>
        <w:t>/ /</w:t>
        <w:tab/>
        <w:t>ABSTAIN</w:t>
      </w:r>
    </w:p>
    <w:p>
      <w:pPr>
        <w:spacing w:after="0" w:line="201" w:lineRule="exact"/>
        <w:rPr>
          <w:sz w:val="20"/>
          <w:szCs w:val="20"/>
          <w:color w:val="auto"/>
        </w:rPr>
      </w:pPr>
    </w:p>
    <w:p>
      <w:pPr>
        <w:ind w:left="420" w:right="3879" w:hanging="415"/>
        <w:spacing w:after="0" w:line="243" w:lineRule="auto"/>
        <w:tabs>
          <w:tab w:leader="none" w:pos="4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RATIFY THE APPOINTMENT OF COOPERS &amp; LYBRAND L.L.P. AS THE COMPANY'S INDEPENDENT ACCOUNTANTS FOR FISCAL 1996:</w:t>
      </w:r>
    </w:p>
    <w:p>
      <w:pPr>
        <w:spacing w:after="0" w:line="199" w:lineRule="exact"/>
        <w:rPr>
          <w:sz w:val="20"/>
          <w:szCs w:val="20"/>
          <w:color w:val="auto"/>
        </w:rPr>
      </w:pPr>
    </w:p>
    <w:p>
      <w:pPr>
        <w:ind w:left="1120"/>
        <w:spacing w:after="0"/>
        <w:tabs>
          <w:tab w:leader="none" w:pos="1620" w:val="left"/>
          <w:tab w:leader="none" w:pos="3040" w:val="left"/>
          <w:tab w:leader="none" w:pos="3560" w:val="left"/>
          <w:tab w:leader="none" w:pos="5180" w:val="left"/>
          <w:tab w:leader="none" w:pos="5700" w:val="left"/>
        </w:tabs>
        <w:rPr>
          <w:sz w:val="20"/>
          <w:szCs w:val="20"/>
          <w:color w:val="auto"/>
        </w:rPr>
      </w:pPr>
      <w:r>
        <w:rPr>
          <w:rFonts w:ascii="Courier New" w:cs="Courier New" w:eastAsia="Courier New" w:hAnsi="Courier New"/>
          <w:sz w:val="17"/>
          <w:szCs w:val="17"/>
          <w:color w:val="auto"/>
        </w:rPr>
        <w:t>/ /</w:t>
        <w:tab/>
        <w:t>FOR</w:t>
      </w:r>
      <w:r>
        <w:rPr>
          <w:sz w:val="20"/>
          <w:szCs w:val="20"/>
          <w:color w:val="auto"/>
        </w:rPr>
        <w:tab/>
      </w:r>
      <w:r>
        <w:rPr>
          <w:rFonts w:ascii="Courier New" w:cs="Courier New" w:eastAsia="Courier New" w:hAnsi="Courier New"/>
          <w:sz w:val="17"/>
          <w:szCs w:val="17"/>
          <w:color w:val="auto"/>
        </w:rPr>
        <w:t>/ /</w:t>
        <w:tab/>
        <w:t>AGAINST</w:t>
      </w:r>
      <w:r>
        <w:rPr>
          <w:sz w:val="20"/>
          <w:szCs w:val="20"/>
          <w:color w:val="auto"/>
        </w:rPr>
        <w:tab/>
      </w:r>
      <w:r>
        <w:rPr>
          <w:rFonts w:ascii="Courier New" w:cs="Courier New" w:eastAsia="Courier New" w:hAnsi="Courier New"/>
          <w:sz w:val="17"/>
          <w:szCs w:val="17"/>
          <w:color w:val="auto"/>
        </w:rPr>
        <w:t>/ /</w:t>
        <w:tab/>
        <w:t>ABSTAIN</w:t>
      </w:r>
    </w:p>
    <w:p>
      <w:pPr>
        <w:spacing w:after="0" w:line="201" w:lineRule="exact"/>
        <w:rPr>
          <w:sz w:val="20"/>
          <w:szCs w:val="20"/>
          <w:color w:val="auto"/>
        </w:rPr>
      </w:pPr>
    </w:p>
    <w:p>
      <w:pPr>
        <w:ind w:right="3679"/>
        <w:spacing w:after="0" w:line="243" w:lineRule="auto"/>
        <w:rPr>
          <w:sz w:val="20"/>
          <w:szCs w:val="20"/>
          <w:color w:val="auto"/>
        </w:rPr>
      </w:pPr>
      <w:r>
        <w:rPr>
          <w:rFonts w:ascii="Courier New" w:cs="Courier New" w:eastAsia="Courier New" w:hAnsi="Courier New"/>
          <w:sz w:val="17"/>
          <w:szCs w:val="17"/>
          <w:color w:val="auto"/>
        </w:rPr>
        <w:t>and in their discretion, upon such other matter or matters which may properly come before the meeting or any adjournment or adjournments thereof.</w:t>
      </w:r>
    </w:p>
    <w:p>
      <w:pPr>
        <w:spacing w:after="0" w:line="200" w:lineRule="exact"/>
        <w:rPr>
          <w:sz w:val="20"/>
          <w:szCs w:val="20"/>
          <w:color w:val="auto"/>
        </w:rPr>
      </w:pPr>
    </w:p>
    <w:p>
      <w:pPr>
        <w:ind w:right="3679"/>
        <w:spacing w:after="0" w:line="244" w:lineRule="auto"/>
        <w:rPr>
          <w:sz w:val="20"/>
          <w:szCs w:val="20"/>
          <w:color w:val="auto"/>
        </w:rPr>
      </w:pPr>
      <w:r>
        <w:rPr>
          <w:rFonts w:ascii="Courier New" w:cs="Courier New" w:eastAsia="Courier New" w:hAnsi="Courier New"/>
          <w:sz w:val="17"/>
          <w:szCs w:val="17"/>
          <w:color w:val="auto"/>
        </w:rPr>
        <w:t>The shares represented by this proxy when properly executed will be voted in the manner directed herein by the undersigned shareholder(s). If no direction is made, this proxy will be voted FOR items 1, 2, 3, and 4.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199" w:lineRule="exact"/>
        <w:rPr>
          <w:sz w:val="20"/>
          <w:szCs w:val="20"/>
          <w:color w:val="auto"/>
        </w:rPr>
      </w:pPr>
    </w:p>
    <w:p>
      <w:pPr>
        <w:ind w:left="3260"/>
        <w:spacing w:after="0"/>
        <w:tabs>
          <w:tab w:leader="none" w:pos="550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 199</w:t>
      </w:r>
    </w:p>
    <w:p>
      <w:pPr>
        <w:spacing w:after="0" w:line="4" w:lineRule="exact"/>
        <w:rPr>
          <w:sz w:val="20"/>
          <w:szCs w:val="20"/>
          <w:color w:val="auto"/>
        </w:rPr>
      </w:pPr>
    </w:p>
    <w:p>
      <w:pPr>
        <w:ind w:left="3780"/>
        <w:spacing w:after="0"/>
        <w:tabs>
          <w:tab w:leader="none" w:pos="60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Signature</w:t>
      </w:r>
    </w:p>
    <w:p>
      <w:pPr>
        <w:spacing w:after="0" w:line="396"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ind w:right="3679"/>
        <w:spacing w:after="0" w:line="244" w:lineRule="auto"/>
        <w:rPr>
          <w:sz w:val="20"/>
          <w:szCs w:val="20"/>
          <w:color w:val="auto"/>
        </w:rPr>
      </w:pPr>
      <w:r>
        <w:rPr>
          <w:rFonts w:ascii="Courier New" w:cs="Courier New" w:eastAsia="Courier New" w:hAnsi="Courier New"/>
          <w:sz w:val="17"/>
          <w:szCs w:val="17"/>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ectPr>
          <w:pgSz w:w="11900" w:h="16838" w:orient="portrait"/>
          <w:cols w:equalWidth="0" w:num="1">
            <w:col w:w="10219"/>
          </w:cols>
          <w:pgMar w:left="240" w:top="507" w:right="1440" w:bottom="1440" w:gutter="0" w:footer="0" w:header="0"/>
        </w:sectPr>
      </w:pPr>
    </w:p>
    <w:bookmarkStart w:id="30" w:name="page31"/>
    <w:bookmarkEnd w:id="30"/>
    <w:p>
      <w:pPr>
        <w:ind w:left="2560"/>
        <w:spacing w:after="0"/>
        <w:rPr>
          <w:sz w:val="20"/>
          <w:szCs w:val="20"/>
          <w:color w:val="auto"/>
        </w:rPr>
      </w:pPr>
      <w:r>
        <w:rPr>
          <w:rFonts w:ascii="Courier New" w:cs="Courier New" w:eastAsia="Courier New" w:hAnsi="Courier New"/>
          <w:sz w:val="17"/>
          <w:szCs w:val="17"/>
          <w:color w:val="auto"/>
        </w:rPr>
        <w:t>"APPENDIX A"</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MICRON TECHNOLOGY, INC.</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1994 STOCK OPTION PLAN</w:t>
      </w:r>
    </w:p>
    <w:p>
      <w:pPr>
        <w:spacing w:after="0" w:line="397" w:lineRule="exact"/>
        <w:rPr>
          <w:sz w:val="20"/>
          <w:szCs w:val="20"/>
          <w:color w:val="auto"/>
        </w:rPr>
      </w:pPr>
    </w:p>
    <w:p>
      <w:pPr>
        <w:ind w:right="4199" w:firstLine="515"/>
        <w:spacing w:after="0" w:line="243" w:lineRule="auto"/>
        <w:tabs>
          <w:tab w:leader="none" w:pos="10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Purposes of the Plan. The purposes of this Stock Option Plan are:</w:t>
      </w:r>
    </w:p>
    <w:p>
      <w:pPr>
        <w:spacing w:after="0" w:line="199" w:lineRule="exact"/>
        <w:rPr>
          <w:sz w:val="20"/>
          <w:szCs w:val="20"/>
          <w:color w:val="auto"/>
        </w:rPr>
      </w:pPr>
    </w:p>
    <w:p>
      <w:pPr>
        <w:ind w:left="520" w:right="3679" w:hanging="5"/>
        <w:spacing w:after="0" w:line="243" w:lineRule="auto"/>
        <w:tabs>
          <w:tab w:leader="none" w:pos="103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attract and retain the best available personnel for positions of substantial responsibility,</w:t>
      </w:r>
    </w:p>
    <w:p>
      <w:pPr>
        <w:spacing w:after="0" w:line="198" w:lineRule="exact"/>
        <w:rPr>
          <w:rFonts w:ascii="Courier New" w:cs="Courier New" w:eastAsia="Courier New" w:hAnsi="Courier New"/>
          <w:sz w:val="17"/>
          <w:szCs w:val="17"/>
          <w:color w:val="auto"/>
        </w:rPr>
      </w:pPr>
    </w:p>
    <w:p>
      <w:pPr>
        <w:ind w:left="520" w:right="4299" w:hanging="5"/>
        <w:spacing w:after="0" w:line="243" w:lineRule="auto"/>
        <w:tabs>
          <w:tab w:leader="none" w:pos="103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additional incentive to Employees and Consultants, and</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promote the success of the Company's business.</w:t>
      </w:r>
    </w:p>
    <w:p>
      <w:pPr>
        <w:spacing w:after="0" w:line="201" w:lineRule="exact"/>
        <w:rPr>
          <w:sz w:val="20"/>
          <w:szCs w:val="20"/>
          <w:color w:val="auto"/>
        </w:rPr>
      </w:pPr>
    </w:p>
    <w:p>
      <w:pPr>
        <w:jc w:val="both"/>
        <w:ind w:right="3579"/>
        <w:spacing w:after="0" w:line="243" w:lineRule="auto"/>
        <w:rPr>
          <w:sz w:val="20"/>
          <w:szCs w:val="20"/>
          <w:color w:val="auto"/>
        </w:rPr>
      </w:pPr>
      <w:r>
        <w:rPr>
          <w:rFonts w:ascii="Courier New" w:cs="Courier New" w:eastAsia="Courier New" w:hAnsi="Courier New"/>
          <w:sz w:val="17"/>
          <w:szCs w:val="17"/>
          <w:color w:val="auto"/>
        </w:rPr>
        <w:t>Options granted under the Plan may be Incentive Stock Options or Nonstatutory Stock Options, as determined by the Administrator at the time of grant.</w:t>
      </w:r>
    </w:p>
    <w:p>
      <w:pPr>
        <w:spacing w:after="0" w:line="200" w:lineRule="exact"/>
        <w:rPr>
          <w:sz w:val="20"/>
          <w:szCs w:val="20"/>
          <w:color w:val="auto"/>
        </w:rPr>
      </w:pPr>
    </w:p>
    <w:p>
      <w:pPr>
        <w:ind w:right="3579" w:firstLine="515"/>
        <w:spacing w:after="0" w:line="243" w:lineRule="auto"/>
        <w:tabs>
          <w:tab w:leader="none" w:pos="10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definitions shall apply:</w:t>
      </w:r>
    </w:p>
    <w:p>
      <w:pPr>
        <w:spacing w:after="0" w:line="198" w:lineRule="exact"/>
        <w:rPr>
          <w:rFonts w:ascii="Courier New" w:cs="Courier New" w:eastAsia="Courier New" w:hAnsi="Courier New"/>
          <w:sz w:val="17"/>
          <w:szCs w:val="17"/>
          <w:color w:val="auto"/>
        </w:rPr>
      </w:pPr>
    </w:p>
    <w:p>
      <w:pPr>
        <w:ind w:right="3579" w:firstLine="1025"/>
        <w:spacing w:after="0" w:line="243" w:lineRule="auto"/>
        <w:tabs>
          <w:tab w:leader="none" w:pos="153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"Administrator" means the Board or any of its Committees as shall be administering the Plan, in accordance with Section 4 of the Plan.</w:t>
      </w:r>
    </w:p>
    <w:p>
      <w:pPr>
        <w:spacing w:after="0" w:line="199" w:lineRule="exact"/>
        <w:rPr>
          <w:rFonts w:ascii="Courier New" w:cs="Courier New" w:eastAsia="Courier New" w:hAnsi="Courier New"/>
          <w:sz w:val="17"/>
          <w:szCs w:val="17"/>
          <w:color w:val="auto"/>
        </w:rPr>
      </w:pPr>
    </w:p>
    <w:p>
      <w:pPr>
        <w:ind w:right="3999" w:firstLine="1025"/>
        <w:spacing w:after="0" w:line="266" w:lineRule="auto"/>
        <w:tabs>
          <w:tab w:leader="none" w:pos="153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Laws" means the legal requirements relating to the administration of stock option plans under Delaware corporate and securities laws and the Code.</w:t>
      </w:r>
    </w:p>
    <w:p>
      <w:pPr>
        <w:spacing w:after="0" w:line="181" w:lineRule="exact"/>
        <w:rPr>
          <w:rFonts w:ascii="Courier New" w:cs="Courier New" w:eastAsia="Courier New" w:hAnsi="Courier New"/>
          <w:sz w:val="16"/>
          <w:szCs w:val="16"/>
          <w:color w:val="auto"/>
        </w:rPr>
      </w:pPr>
    </w:p>
    <w:p>
      <w:pPr>
        <w:ind w:left="1540" w:hanging="515"/>
        <w:spacing w:after="0"/>
        <w:tabs>
          <w:tab w:leader="none" w:pos="154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200" w:lineRule="exact"/>
        <w:rPr>
          <w:rFonts w:ascii="Courier New" w:cs="Courier New" w:eastAsia="Courier New" w:hAnsi="Courier New"/>
          <w:sz w:val="17"/>
          <w:szCs w:val="17"/>
          <w:color w:val="auto"/>
        </w:rPr>
      </w:pPr>
    </w:p>
    <w:p>
      <w:pPr>
        <w:ind w:right="3779" w:firstLine="1025"/>
        <w:spacing w:after="0" w:line="244" w:lineRule="auto"/>
        <w:tabs>
          <w:tab w:leader="none" w:pos="153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197"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amended.</w:t>
      </w:r>
    </w:p>
    <w:p>
      <w:pPr>
        <w:spacing w:after="0" w:line="200" w:lineRule="exact"/>
        <w:rPr>
          <w:rFonts w:ascii="Courier New" w:cs="Courier New" w:eastAsia="Courier New" w:hAnsi="Courier New"/>
          <w:sz w:val="16"/>
          <w:szCs w:val="16"/>
          <w:color w:val="auto"/>
        </w:rPr>
      </w:pPr>
    </w:p>
    <w:p>
      <w:pPr>
        <w:ind w:right="3999" w:firstLine="1025"/>
        <w:spacing w:after="0" w:line="243" w:lineRule="auto"/>
        <w:tabs>
          <w:tab w:leader="none" w:pos="153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means a Committee appointed by the Board in accordance with Section 4 of the Plan.</w:t>
      </w:r>
    </w:p>
    <w:p>
      <w:pPr>
        <w:spacing w:after="0" w:line="197"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means the Common Stock of the</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200" w:lineRule="exact"/>
        <w:rPr>
          <w:rFonts w:ascii="Courier New" w:cs="Courier New" w:eastAsia="Courier New" w:hAnsi="Courier New"/>
          <w:sz w:val="17"/>
          <w:szCs w:val="17"/>
          <w:color w:val="auto"/>
        </w:rPr>
      </w:pPr>
    </w:p>
    <w:p>
      <w:pPr>
        <w:ind w:right="4399" w:firstLine="1025"/>
        <w:spacing w:after="0" w:line="243" w:lineRule="auto"/>
        <w:tabs>
          <w:tab w:leader="none" w:pos="153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Micron Technology, Inc., a Delaware corporation.</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07" w:right="1440" w:bottom="1440" w:gutter="0" w:footer="0" w:header="0"/>
        </w:sectPr>
      </w:pPr>
    </w:p>
    <w:bookmarkStart w:id="31" w:name="page32"/>
    <w:bookmarkEnd w:id="31"/>
    <w:p>
      <w:pPr>
        <w:ind w:right="3579" w:firstLine="1025"/>
        <w:spacing w:after="0" w:line="244" w:lineRule="auto"/>
        <w:tabs>
          <w:tab w:leader="none" w:pos="153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"Continuous Status as and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2" w:lineRule="exact"/>
        <w:rPr>
          <w:rFonts w:ascii="Courier New" w:cs="Courier New" w:eastAsia="Courier New" w:hAnsi="Courier New"/>
          <w:sz w:val="17"/>
          <w:szCs w:val="17"/>
          <w:color w:val="auto"/>
        </w:rPr>
      </w:pPr>
    </w:p>
    <w:p>
      <w:pPr>
        <w:ind w:left="1540" w:hanging="515"/>
        <w:spacing w:after="0"/>
        <w:tabs>
          <w:tab w:leader="none" w:pos="15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member of the Board.</w:t>
      </w:r>
    </w:p>
    <w:p>
      <w:pPr>
        <w:spacing w:after="0" w:line="200" w:lineRule="exact"/>
        <w:rPr>
          <w:rFonts w:ascii="Courier New" w:cs="Courier New" w:eastAsia="Courier New" w:hAnsi="Courier New"/>
          <w:sz w:val="17"/>
          <w:szCs w:val="17"/>
          <w:color w:val="auto"/>
        </w:rPr>
      </w:pPr>
    </w:p>
    <w:p>
      <w:pPr>
        <w:ind w:right="3679" w:firstLine="1025"/>
        <w:spacing w:after="0" w:line="243" w:lineRule="auto"/>
        <w:tabs>
          <w:tab w:leader="none" w:pos="153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means total and permanent disability as defined in Section 22(e)(3) of the Code.</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98" w:lineRule="exact"/>
        <w:rPr>
          <w:rFonts w:ascii="Courier New" w:cs="Courier New" w:eastAsia="Courier New" w:hAnsi="Courier New"/>
          <w:sz w:val="17"/>
          <w:szCs w:val="17"/>
          <w:color w:val="auto"/>
        </w:rPr>
      </w:pPr>
    </w:p>
    <w:p>
      <w:pPr>
        <w:ind w:right="3779" w:firstLine="1025"/>
        <w:spacing w:after="0" w:line="243" w:lineRule="auto"/>
        <w:tabs>
          <w:tab w:leader="none" w:pos="153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means the Securities Exchange Act of 1934, as amended.</w:t>
      </w:r>
    </w:p>
    <w:p>
      <w:pPr>
        <w:spacing w:after="0" w:line="198" w:lineRule="exact"/>
        <w:rPr>
          <w:rFonts w:ascii="Courier New" w:cs="Courier New" w:eastAsia="Courier New" w:hAnsi="Courier New"/>
          <w:sz w:val="17"/>
          <w:szCs w:val="17"/>
          <w:color w:val="auto"/>
        </w:rPr>
      </w:pPr>
    </w:p>
    <w:p>
      <w:pPr>
        <w:ind w:right="3999" w:firstLine="1025"/>
        <w:spacing w:after="0" w:line="243" w:lineRule="auto"/>
        <w:tabs>
          <w:tab w:leader="none" w:pos="153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as of any date, the value of Common Stock determined as follows:</w:t>
      </w:r>
    </w:p>
    <w:p>
      <w:pPr>
        <w:spacing w:after="0" w:line="198"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200" w:lineRule="exact"/>
        <w:rPr>
          <w:rFonts w:ascii="Courier New" w:cs="Courier New" w:eastAsia="Courier New" w:hAnsi="Courier New"/>
          <w:sz w:val="17"/>
          <w:szCs w:val="17"/>
          <w:color w:val="auto"/>
        </w:rPr>
      </w:pPr>
    </w:p>
    <w:p>
      <w:pPr>
        <w:ind w:right="3479" w:firstLine="1535"/>
        <w:spacing w:after="0" w:line="244" w:lineRule="auto"/>
        <w:tabs>
          <w:tab w:leader="none" w:pos="20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98" w:lineRule="exact"/>
        <w:rPr>
          <w:rFonts w:ascii="Courier New" w:cs="Courier New" w:eastAsia="Courier New" w:hAnsi="Courier New"/>
          <w:sz w:val="17"/>
          <w:szCs w:val="17"/>
          <w:color w:val="auto"/>
        </w:rPr>
      </w:pPr>
    </w:p>
    <w:p>
      <w:pPr>
        <w:ind w:left="2560" w:hanging="1025"/>
        <w:spacing w:after="0"/>
        <w:tabs>
          <w:tab w:leader="none" w:pos="256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w:t>
      </w:r>
    </w:p>
    <w:p>
      <w:pPr>
        <w:spacing w:after="0" w:line="4" w:lineRule="exact"/>
        <w:rPr>
          <w:rFonts w:ascii="Courier New" w:cs="Courier New" w:eastAsia="Courier New" w:hAnsi="Courier New"/>
          <w:sz w:val="17"/>
          <w:szCs w:val="17"/>
          <w:color w:val="auto"/>
        </w:rPr>
      </w:pPr>
    </w:p>
    <w:p>
      <w:pPr>
        <w:ind w:right="37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the Common Stock, the Fair Market Value shall be determined in good faith by the Administrator.</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08" w:right="1440" w:bottom="1440" w:gutter="0" w:footer="0" w:header="0"/>
        </w:sectPr>
      </w:pPr>
    </w:p>
    <w:bookmarkStart w:id="32" w:name="page33"/>
    <w:bookmarkEnd w:id="32"/>
    <w:p>
      <w:pPr>
        <w:ind w:right="3679" w:firstLine="1025"/>
        <w:spacing w:after="0" w:line="244"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means an Option intended to qualify as an incentive stock option within the meaning of Section 422 of the Code and the regulations promulgated thereunder.</w:t>
      </w:r>
    </w:p>
    <w:p>
      <w:pPr>
        <w:spacing w:after="0" w:line="197" w:lineRule="exact"/>
        <w:rPr>
          <w:rFonts w:ascii="Courier New" w:cs="Courier New" w:eastAsia="Courier New" w:hAnsi="Courier New"/>
          <w:sz w:val="17"/>
          <w:szCs w:val="17"/>
          <w:color w:val="auto"/>
        </w:rPr>
      </w:pPr>
    </w:p>
    <w:p>
      <w:pPr>
        <w:ind w:right="3879" w:firstLine="1025"/>
        <w:spacing w:after="0" w:line="243"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Stock Option" means an Option not intended to qualify as an Incentive Stock Option.</w:t>
      </w:r>
    </w:p>
    <w:p>
      <w:pPr>
        <w:spacing w:after="0" w:line="198" w:lineRule="exact"/>
        <w:rPr>
          <w:rFonts w:ascii="Courier New" w:cs="Courier New" w:eastAsia="Courier New" w:hAnsi="Courier New"/>
          <w:sz w:val="17"/>
          <w:szCs w:val="17"/>
          <w:color w:val="auto"/>
        </w:rPr>
      </w:pPr>
    </w:p>
    <w:p>
      <w:pPr>
        <w:ind w:right="3779" w:firstLine="1025"/>
        <w:spacing w:after="0" w:line="244"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Grant" means a written notice evidencing certain terms and conditions of an individual Option grant. The Notice of Grant is subject to the terms and conditions of the Option Agreement.</w:t>
      </w:r>
    </w:p>
    <w:p>
      <w:pPr>
        <w:spacing w:after="0" w:line="197" w:lineRule="exact"/>
        <w:rPr>
          <w:rFonts w:ascii="Courier New" w:cs="Courier New" w:eastAsia="Courier New" w:hAnsi="Courier New"/>
          <w:sz w:val="17"/>
          <w:szCs w:val="17"/>
          <w:color w:val="auto"/>
        </w:rPr>
      </w:pPr>
    </w:p>
    <w:p>
      <w:pPr>
        <w:jc w:val="both"/>
        <w:ind w:right="3679" w:firstLine="1025"/>
        <w:spacing w:after="0" w:line="243"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 means a person who is an officer of the Company within the meaning of Section 16 of the Exchange Act and the rules and regulations promulgated thereunder.</w:t>
      </w:r>
    </w:p>
    <w:p>
      <w:pPr>
        <w:spacing w:after="0" w:line="198" w:lineRule="exact"/>
        <w:rPr>
          <w:rFonts w:ascii="Courier New" w:cs="Courier New" w:eastAsia="Courier New" w:hAnsi="Courier New"/>
          <w:sz w:val="17"/>
          <w:szCs w:val="17"/>
          <w:color w:val="auto"/>
        </w:rPr>
      </w:pPr>
    </w:p>
    <w:p>
      <w:pPr>
        <w:ind w:left="1540" w:hanging="515"/>
        <w:spacing w:after="0"/>
        <w:tabs>
          <w:tab w:leader="none" w:pos="1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means a stock option granted pursuant to</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Plan.</w:t>
      </w:r>
    </w:p>
    <w:p>
      <w:pPr>
        <w:spacing w:after="0" w:line="200" w:lineRule="exact"/>
        <w:rPr>
          <w:rFonts w:ascii="Courier New" w:cs="Courier New" w:eastAsia="Courier New" w:hAnsi="Courier New"/>
          <w:sz w:val="17"/>
          <w:szCs w:val="17"/>
          <w:color w:val="auto"/>
        </w:rPr>
      </w:pPr>
    </w:p>
    <w:p>
      <w:pPr>
        <w:ind w:right="3779" w:firstLine="1025"/>
        <w:spacing w:after="0" w:line="244"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97" w:lineRule="exact"/>
        <w:rPr>
          <w:rFonts w:ascii="Courier New" w:cs="Courier New" w:eastAsia="Courier New" w:hAnsi="Courier New"/>
          <w:sz w:val="17"/>
          <w:szCs w:val="17"/>
          <w:color w:val="auto"/>
        </w:rPr>
      </w:pPr>
    </w:p>
    <w:p>
      <w:pPr>
        <w:jc w:val="both"/>
        <w:ind w:right="3679" w:firstLine="1025"/>
        <w:spacing w:after="0" w:line="243"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Exchange Program" means a program whereby outstanding options are surrendered in exchange for options with a lower exercise price.</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"Optioned Stock" means the Common Stock subject to</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 Option.</w:t>
      </w:r>
    </w:p>
    <w:p>
      <w:pPr>
        <w:spacing w:after="0" w:line="200" w:lineRule="exact"/>
        <w:rPr>
          <w:rFonts w:ascii="Courier New" w:cs="Courier New" w:eastAsia="Courier New" w:hAnsi="Courier New"/>
          <w:sz w:val="16"/>
          <w:szCs w:val="16"/>
          <w:color w:val="auto"/>
        </w:rPr>
      </w:pPr>
    </w:p>
    <w:p>
      <w:pPr>
        <w:ind w:right="3999" w:firstLine="1025"/>
        <w:spacing w:after="0" w:line="243"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"Optionee" means an Employee or Consultant who holds an outstanding Option.</w:t>
      </w:r>
    </w:p>
    <w:p>
      <w:pPr>
        <w:spacing w:after="0" w:line="198" w:lineRule="exact"/>
        <w:rPr>
          <w:rFonts w:ascii="Courier New" w:cs="Courier New" w:eastAsia="Courier New" w:hAnsi="Courier New"/>
          <w:sz w:val="17"/>
          <w:szCs w:val="17"/>
          <w:color w:val="auto"/>
        </w:rPr>
      </w:pPr>
    </w:p>
    <w:p>
      <w:pPr>
        <w:ind w:right="3579" w:firstLine="1025"/>
        <w:spacing w:after="0" w:line="243" w:lineRule="auto"/>
        <w:tabs>
          <w:tab w:leader="none" w:pos="153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means a "parent corporation", whether now or hereafter existing, as defined in Section 424(e) of the Code.</w:t>
      </w:r>
    </w:p>
    <w:p>
      <w:pPr>
        <w:spacing w:after="0" w:line="197" w:lineRule="exact"/>
        <w:rPr>
          <w:rFonts w:ascii="Courier New" w:cs="Courier New" w:eastAsia="Courier New" w:hAnsi="Courier New"/>
          <w:sz w:val="17"/>
          <w:szCs w:val="17"/>
          <w:color w:val="auto"/>
        </w:rPr>
      </w:pPr>
    </w:p>
    <w:p>
      <w:pPr>
        <w:ind w:left="1540" w:hanging="515"/>
        <w:spacing w:after="0"/>
        <w:tabs>
          <w:tab w:leader="none" w:pos="15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means this 1994 Option Plan.</w:t>
      </w:r>
    </w:p>
    <w:p>
      <w:pPr>
        <w:spacing w:after="0" w:line="201" w:lineRule="exact"/>
        <w:rPr>
          <w:sz w:val="20"/>
          <w:szCs w:val="20"/>
          <w:color w:val="auto"/>
        </w:rPr>
      </w:pPr>
    </w:p>
    <w:p>
      <w:pPr>
        <w:ind w:right="3679" w:firstLine="1025"/>
        <w:spacing w:after="0" w:line="243" w:lineRule="auto"/>
        <w:tabs>
          <w:tab w:leader="none" w:pos="153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means Rule 16b-3 of the Exchange Act or any successor to Rule 16b-3, as in effect when discretion is being exercised with respect to the Plan.</w:t>
      </w:r>
    </w:p>
    <w:p>
      <w:pPr>
        <w:spacing w:after="0" w:line="199" w:lineRule="exact"/>
        <w:rPr>
          <w:rFonts w:ascii="Courier New" w:cs="Courier New" w:eastAsia="Courier New" w:hAnsi="Courier New"/>
          <w:sz w:val="17"/>
          <w:szCs w:val="17"/>
          <w:color w:val="auto"/>
        </w:rPr>
      </w:pPr>
    </w:p>
    <w:p>
      <w:pPr>
        <w:ind w:right="4099" w:firstLine="1025"/>
        <w:spacing w:after="0" w:line="243" w:lineRule="auto"/>
        <w:tabs>
          <w:tab w:leader="none" w:pos="153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means a share of the Common Stock, as adjusted in accordance with Section 12 of the Plan.</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08" w:right="1440" w:bottom="1440" w:gutter="0" w:footer="0" w:header="0"/>
        </w:sectPr>
      </w:pPr>
    </w:p>
    <w:bookmarkStart w:id="33" w:name="page34"/>
    <w:bookmarkEnd w:id="33"/>
    <w:p>
      <w:pPr>
        <w:ind w:right="3579" w:firstLine="515"/>
        <w:spacing w:after="0" w:line="244" w:lineRule="auto"/>
        <w:tabs>
          <w:tab w:leader="none" w:pos="10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 Subject to the provisions of Section 12 of the Plan, the maximum aggregate number of Shares which may be optioned and sold under the Plan is 7,000,000 Shares. The Shares may be authorized, but unissued, or reacquired Common Stock.</w:t>
      </w:r>
    </w:p>
    <w:p>
      <w:pPr>
        <w:spacing w:after="0" w:line="198" w:lineRule="exact"/>
        <w:rPr>
          <w:sz w:val="20"/>
          <w:szCs w:val="20"/>
          <w:color w:val="auto"/>
        </w:rPr>
      </w:pPr>
    </w:p>
    <w:p>
      <w:pPr>
        <w:ind w:right="3579" w:firstLine="510"/>
        <w:spacing w:after="0" w:line="244" w:lineRule="auto"/>
        <w:rPr>
          <w:sz w:val="20"/>
          <w:szCs w:val="20"/>
          <w:color w:val="auto"/>
        </w:rPr>
      </w:pPr>
      <w:r>
        <w:rPr>
          <w:rFonts w:ascii="Courier New" w:cs="Courier New" w:eastAsia="Courier New" w:hAnsi="Courier New"/>
          <w:sz w:val="17"/>
          <w:szCs w:val="17"/>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199" w:lineRule="exact"/>
        <w:rPr>
          <w:sz w:val="20"/>
          <w:szCs w:val="20"/>
          <w:color w:val="auto"/>
        </w:rPr>
      </w:pPr>
    </w:p>
    <w:p>
      <w:pPr>
        <w:ind w:left="1020" w:hanging="505"/>
        <w:spacing w:after="0"/>
        <w:tabs>
          <w:tab w:leader="none" w:pos="10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9" w:lineRule="exact"/>
        <w:rPr>
          <w:rFonts w:ascii="Courier New" w:cs="Courier New" w:eastAsia="Courier New" w:hAnsi="Courier New"/>
          <w:sz w:val="17"/>
          <w:szCs w:val="17"/>
          <w:color w:val="auto"/>
        </w:rPr>
      </w:pPr>
    </w:p>
    <w:p>
      <w:pPr>
        <w:ind w:left="1540" w:hanging="515"/>
        <w:spacing w:after="0"/>
        <w:tabs>
          <w:tab w:leader="none" w:pos="154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w:t>
      </w:r>
    </w:p>
    <w:p>
      <w:pPr>
        <w:spacing w:after="0" w:line="200"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Administrative Bodies. If permitted by Rule 16b-3, the Plan may be administered by different bodies with respect to Directors, Officers who are not Directors, and Employees who are neither Directors nor Officers.</w:t>
      </w:r>
    </w:p>
    <w:p>
      <w:pPr>
        <w:spacing w:after="0" w:line="197"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04" w:lineRule="exact"/>
        <w:rPr>
          <w:rFonts w:ascii="Courier New" w:cs="Courier New" w:eastAsia="Courier New" w:hAnsi="Courier New"/>
          <w:sz w:val="17"/>
          <w:szCs w:val="17"/>
          <w:color w:val="auto"/>
        </w:rPr>
      </w:pPr>
    </w:p>
    <w:p>
      <w:pPr>
        <w:ind w:right="3579" w:firstLine="1535"/>
        <w:spacing w:after="0" w:line="244" w:lineRule="auto"/>
        <w:tabs>
          <w:tab w:leader="none" w:pos="2551"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01" w:lineRule="exact"/>
        <w:rPr>
          <w:rFonts w:ascii="Courier New" w:cs="Courier New" w:eastAsia="Courier New" w:hAnsi="Courier New"/>
          <w:sz w:val="17"/>
          <w:szCs w:val="17"/>
          <w:color w:val="auto"/>
        </w:rPr>
      </w:pPr>
    </w:p>
    <w:p>
      <w:pPr>
        <w:ind w:right="3679" w:firstLine="1025"/>
        <w:spacing w:after="0" w:line="244" w:lineRule="auto"/>
        <w:tabs>
          <w:tab w:leader="none" w:pos="153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97"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08" w:right="1440" w:bottom="1440" w:gutter="0" w:footer="0" w:header="0"/>
        </w:sectPr>
      </w:pPr>
    </w:p>
    <w:bookmarkStart w:id="34" w:name="page35"/>
    <w:bookmarkEnd w:id="34"/>
    <w:p>
      <w:pPr>
        <w:ind w:right="3999" w:firstLine="1535"/>
        <w:spacing w:after="0" w:line="273" w:lineRule="auto"/>
        <w:tabs>
          <w:tab w:leader="none" w:pos="20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in accordance with Section 2(o) of the Plan;</w:t>
      </w:r>
    </w:p>
    <w:p>
      <w:pPr>
        <w:spacing w:after="0" w:line="371" w:lineRule="exact"/>
        <w:rPr>
          <w:rFonts w:ascii="Courier New" w:cs="Courier New" w:eastAsia="Courier New" w:hAnsi="Courier New"/>
          <w:sz w:val="16"/>
          <w:szCs w:val="16"/>
          <w:color w:val="auto"/>
        </w:rPr>
      </w:pPr>
    </w:p>
    <w:p>
      <w:pPr>
        <w:ind w:left="2040" w:hanging="505"/>
        <w:spacing w:after="0"/>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Consultants and Employees to</w:t>
      </w:r>
    </w:p>
    <w:p>
      <w:pPr>
        <w:spacing w:after="0" w:line="4" w:lineRule="exact"/>
        <w:rPr>
          <w:rFonts w:ascii="Courier New" w:cs="Courier New" w:eastAsia="Courier New" w:hAnsi="Courier New"/>
          <w:sz w:val="17"/>
          <w:szCs w:val="17"/>
          <w:color w:val="auto"/>
        </w:rPr>
      </w:pPr>
    </w:p>
    <w:p>
      <w:pPr>
        <w:ind w:right="82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whom Options may be granted hereunder;</w:t>
      </w:r>
    </w:p>
    <w:p>
      <w:pPr>
        <w:spacing w:after="0" w:line="198" w:lineRule="exact"/>
        <w:rPr>
          <w:rFonts w:ascii="Courier New" w:cs="Courier New" w:eastAsia="Courier New" w:hAnsi="Courier New"/>
          <w:sz w:val="17"/>
          <w:szCs w:val="17"/>
          <w:color w:val="auto"/>
        </w:rPr>
      </w:pPr>
    </w:p>
    <w:p>
      <w:pPr>
        <w:ind w:right="3679" w:firstLine="1535"/>
        <w:spacing w:after="0" w:line="243" w:lineRule="auto"/>
        <w:tabs>
          <w:tab w:leader="none" w:pos="2551"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to what extent Options are granted hereunder;</w:t>
      </w:r>
    </w:p>
    <w:p>
      <w:pPr>
        <w:spacing w:after="0" w:line="197" w:lineRule="exact"/>
        <w:rPr>
          <w:rFonts w:ascii="Courier New" w:cs="Courier New" w:eastAsia="Courier New" w:hAnsi="Courier New"/>
          <w:sz w:val="17"/>
          <w:szCs w:val="17"/>
          <w:color w:val="auto"/>
        </w:rPr>
      </w:pPr>
    </w:p>
    <w:p>
      <w:pPr>
        <w:ind w:left="2040" w:hanging="505"/>
        <w:spacing w:after="0"/>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of Common</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Stock to be covered by each Option granted hereunder;</w:t>
      </w:r>
    </w:p>
    <w:p>
      <w:pPr>
        <w:spacing w:after="0" w:line="199" w:lineRule="exact"/>
        <w:rPr>
          <w:rFonts w:ascii="Courier New" w:cs="Courier New" w:eastAsia="Courier New" w:hAnsi="Courier New"/>
          <w:sz w:val="17"/>
          <w:szCs w:val="17"/>
          <w:color w:val="auto"/>
        </w:rPr>
      </w:pPr>
    </w:p>
    <w:p>
      <w:pPr>
        <w:ind w:left="2040" w:hanging="505"/>
        <w:spacing w:after="0"/>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forms of agreement for use under</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Plan;</w:t>
      </w:r>
    </w:p>
    <w:p>
      <w:pPr>
        <w:spacing w:after="0" w:line="200" w:lineRule="exact"/>
        <w:rPr>
          <w:rFonts w:ascii="Courier New" w:cs="Courier New" w:eastAsia="Courier New" w:hAnsi="Courier New"/>
          <w:sz w:val="17"/>
          <w:szCs w:val="17"/>
          <w:color w:val="auto"/>
        </w:rPr>
      </w:pPr>
    </w:p>
    <w:p>
      <w:pPr>
        <w:ind w:right="3679" w:firstLine="1535"/>
        <w:spacing w:after="0" w:line="244"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99" w:lineRule="exact"/>
        <w:rPr>
          <w:rFonts w:ascii="Courier New" w:cs="Courier New" w:eastAsia="Courier New" w:hAnsi="Courier New"/>
          <w:sz w:val="17"/>
          <w:szCs w:val="17"/>
          <w:color w:val="auto"/>
        </w:rPr>
      </w:pPr>
    </w:p>
    <w:p>
      <w:pPr>
        <w:ind w:left="2560" w:hanging="1025"/>
        <w:spacing w:after="0"/>
        <w:tabs>
          <w:tab w:leader="none" w:pos="25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reduce the exercise price of any</w:t>
      </w:r>
    </w:p>
    <w:p>
      <w:pPr>
        <w:spacing w:after="0" w:line="4" w:lineRule="exact"/>
        <w:rPr>
          <w:rFonts w:ascii="Courier New" w:cs="Courier New" w:eastAsia="Courier New" w:hAnsi="Courier New"/>
          <w:sz w:val="17"/>
          <w:szCs w:val="17"/>
          <w:color w:val="auto"/>
        </w:rPr>
      </w:pPr>
    </w:p>
    <w:p>
      <w:pPr>
        <w:ind w:right="37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 to the then current Fair Market Value if the Fair Market Value of the Common Stock covered by such Option shall have declined since the date the Option was granted;</w:t>
      </w:r>
    </w:p>
    <w:p>
      <w:pPr>
        <w:spacing w:after="0" w:line="198" w:lineRule="exact"/>
        <w:rPr>
          <w:rFonts w:ascii="Courier New" w:cs="Courier New" w:eastAsia="Courier New" w:hAnsi="Courier New"/>
          <w:sz w:val="17"/>
          <w:szCs w:val="17"/>
          <w:color w:val="auto"/>
        </w:rPr>
      </w:pPr>
    </w:p>
    <w:p>
      <w:pPr>
        <w:ind w:left="2560" w:hanging="1025"/>
        <w:spacing w:after="0"/>
        <w:tabs>
          <w:tab w:leader="none" w:pos="25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terms of</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and awards granted pursuant to the Plan;</w:t>
      </w:r>
    </w:p>
    <w:p>
      <w:pPr>
        <w:spacing w:after="0" w:line="200"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97"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97" w:lineRule="exact"/>
        <w:rPr>
          <w:rFonts w:ascii="Courier New" w:cs="Courier New" w:eastAsia="Courier New" w:hAnsi="Courier New"/>
          <w:sz w:val="17"/>
          <w:szCs w:val="17"/>
          <w:color w:val="auto"/>
        </w:rPr>
      </w:pPr>
    </w:p>
    <w:p>
      <w:pPr>
        <w:jc w:val="both"/>
        <w:ind w:right="3679" w:firstLine="1535"/>
        <w:spacing w:after="0" w:line="243" w:lineRule="auto"/>
        <w:tabs>
          <w:tab w:leader="none" w:pos="20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authorize any person to execute on behalf of the Company any instrument required to effect the grant of an Option previously granted by the Administrator;</w:t>
      </w:r>
    </w:p>
    <w:p>
      <w:pPr>
        <w:spacing w:after="0" w:line="198" w:lineRule="exact"/>
        <w:rPr>
          <w:rFonts w:ascii="Courier New" w:cs="Courier New" w:eastAsia="Courier New" w:hAnsi="Courier New"/>
          <w:sz w:val="17"/>
          <w:szCs w:val="17"/>
          <w:color w:val="auto"/>
        </w:rPr>
      </w:pPr>
    </w:p>
    <w:p>
      <w:pPr>
        <w:ind w:left="2560" w:hanging="1025"/>
        <w:spacing w:after="0"/>
        <w:tabs>
          <w:tab w:leader="none" w:pos="25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institute and Option Exchange</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Program; and</w:t>
      </w:r>
    </w:p>
    <w:p>
      <w:pPr>
        <w:spacing w:after="0" w:line="199" w:lineRule="exact"/>
        <w:rPr>
          <w:rFonts w:ascii="Courier New" w:cs="Courier New" w:eastAsia="Courier New" w:hAnsi="Courier New"/>
          <w:sz w:val="17"/>
          <w:szCs w:val="17"/>
          <w:color w:val="auto"/>
        </w:rPr>
      </w:pPr>
    </w:p>
    <w:p>
      <w:pPr>
        <w:ind w:left="2560" w:hanging="1025"/>
        <w:spacing w:after="0"/>
        <w:tabs>
          <w:tab w:leader="none" w:pos="256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all other determinations deemed</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necessary or advisable for administering the Plan.</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8" w:right="1440" w:bottom="1440" w:gutter="0" w:footer="0" w:header="0"/>
        </w:sectPr>
      </w:pPr>
    </w:p>
    <w:bookmarkStart w:id="35" w:name="page36"/>
    <w:bookmarkEnd w:id="35"/>
    <w:p>
      <w:pPr>
        <w:ind w:right="3579" w:firstLine="1025"/>
        <w:spacing w:after="0" w:line="244" w:lineRule="auto"/>
        <w:tabs>
          <w:tab w:leader="none" w:pos="153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Administrator's Decision. The Administrator's decisions, determinations, and interpretations shall be final and binding on all Optionees and any other holders of Options.</w:t>
      </w:r>
    </w:p>
    <w:p>
      <w:pPr>
        <w:spacing w:after="0" w:line="197" w:lineRule="exact"/>
        <w:rPr>
          <w:rFonts w:ascii="Courier New" w:cs="Courier New" w:eastAsia="Courier New" w:hAnsi="Courier New"/>
          <w:sz w:val="17"/>
          <w:szCs w:val="17"/>
          <w:color w:val="auto"/>
        </w:rPr>
      </w:pPr>
    </w:p>
    <w:p>
      <w:pPr>
        <w:ind w:right="3579" w:firstLine="515"/>
        <w:spacing w:after="0" w:line="244" w:lineRule="auto"/>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w:t>
      </w:r>
    </w:p>
    <w:p>
      <w:pPr>
        <w:spacing w:after="0" w:line="200"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designated in the Notice of Grant as either an Incentive Stock Option or a Nonstatutory Stock Option. However, notwithstanding such designations, to the extent that the aggregate Fair Market Value:</w:t>
      </w:r>
    </w:p>
    <w:p>
      <w:pPr>
        <w:spacing w:after="0" w:line="197" w:lineRule="exact"/>
        <w:rPr>
          <w:rFonts w:ascii="Courier New" w:cs="Courier New" w:eastAsia="Courier New" w:hAnsi="Courier New"/>
          <w:sz w:val="17"/>
          <w:szCs w:val="17"/>
          <w:color w:val="auto"/>
        </w:rPr>
      </w:pPr>
    </w:p>
    <w:p>
      <w:pPr>
        <w:ind w:right="3579" w:firstLine="1535"/>
        <w:spacing w:after="0" w:line="243" w:lineRule="auto"/>
        <w:tabs>
          <w:tab w:leader="none" w:pos="204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Shares subject to an Optionee's Incentive Stock Options granted by the Company or any Parent or Subsidiary, which</w:t>
      </w:r>
    </w:p>
    <w:p>
      <w:pPr>
        <w:spacing w:after="0" w:line="199"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9"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8" w:lineRule="exact"/>
        <w:rPr>
          <w:rFonts w:ascii="Courier New" w:cs="Courier New" w:eastAsia="Courier New" w:hAnsi="Courier New"/>
          <w:sz w:val="17"/>
          <w:szCs w:val="17"/>
          <w:color w:val="auto"/>
        </w:rPr>
      </w:pPr>
    </w:p>
    <w:p>
      <w:pPr>
        <w:ind w:right="3579" w:firstLine="1025"/>
        <w:spacing w:after="0" w:line="243" w:lineRule="auto"/>
        <w:tabs>
          <w:tab w:leader="none" w:pos="153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limitations shall apply to grants of Options to Employees:</w:t>
      </w:r>
    </w:p>
    <w:p>
      <w:pPr>
        <w:spacing w:after="0" w:line="198" w:lineRule="exact"/>
        <w:rPr>
          <w:rFonts w:ascii="Courier New" w:cs="Courier New" w:eastAsia="Courier New" w:hAnsi="Courier New"/>
          <w:sz w:val="17"/>
          <w:szCs w:val="17"/>
          <w:color w:val="auto"/>
        </w:rPr>
      </w:pPr>
    </w:p>
    <w:p>
      <w:pPr>
        <w:ind w:right="3779" w:firstLine="1535"/>
        <w:spacing w:after="0" w:line="243" w:lineRule="auto"/>
        <w:tabs>
          <w:tab w:leader="none" w:pos="204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employee shall be granted, in any fiscal year of the Company, Options to purchase more than 500,000 Shares.</w:t>
      </w:r>
    </w:p>
    <w:p>
      <w:pPr>
        <w:spacing w:after="0" w:line="199" w:lineRule="exact"/>
        <w:rPr>
          <w:rFonts w:ascii="Courier New" w:cs="Courier New" w:eastAsia="Courier New" w:hAnsi="Courier New"/>
          <w:sz w:val="17"/>
          <w:szCs w:val="17"/>
          <w:color w:val="auto"/>
        </w:rPr>
      </w:pPr>
    </w:p>
    <w:p>
      <w:pPr>
        <w:ind w:right="3779" w:firstLine="1535"/>
        <w:spacing w:after="0" w:line="243" w:lineRule="auto"/>
        <w:tabs>
          <w:tab w:leader="none" w:pos="204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foregoing limitations shall be adjusted proportionately in connection with any change in the Company's capitalization as described in Section 12.</w:t>
      </w:r>
    </w:p>
    <w:p>
      <w:pPr>
        <w:spacing w:after="0" w:line="198" w:lineRule="exact"/>
        <w:rPr>
          <w:rFonts w:ascii="Courier New" w:cs="Courier New" w:eastAsia="Courier New" w:hAnsi="Courier New"/>
          <w:sz w:val="17"/>
          <w:szCs w:val="17"/>
          <w:color w:val="auto"/>
        </w:rPr>
      </w:pPr>
    </w:p>
    <w:p>
      <w:pPr>
        <w:ind w:left="2560" w:hanging="1025"/>
        <w:spacing w:after="0"/>
        <w:tabs>
          <w:tab w:leader="none" w:pos="256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Option is canceled in the same</w:t>
      </w:r>
    </w:p>
    <w:p>
      <w:pPr>
        <w:spacing w:after="0" w:line="4" w:lineRule="exact"/>
        <w:rPr>
          <w:rFonts w:ascii="Courier New" w:cs="Courier New" w:eastAsia="Courier New" w:hAnsi="Courier New"/>
          <w:sz w:val="17"/>
          <w:szCs w:val="17"/>
          <w:color w:val="auto"/>
        </w:rPr>
      </w:pPr>
    </w:p>
    <w:p>
      <w:pPr>
        <w:ind w:right="35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98" w:lineRule="exact"/>
        <w:rPr>
          <w:rFonts w:ascii="Courier New" w:cs="Courier New" w:eastAsia="Courier New" w:hAnsi="Courier New"/>
          <w:sz w:val="17"/>
          <w:szCs w:val="17"/>
          <w:color w:val="auto"/>
        </w:rPr>
      </w:pPr>
    </w:p>
    <w:p>
      <w:pPr>
        <w:ind w:right="3579" w:firstLine="515"/>
        <w:spacing w:after="0" w:line="244" w:lineRule="auto"/>
        <w:tabs>
          <w:tab w:leader="none" w:pos="10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08" w:right="1440" w:bottom="1440" w:gutter="0" w:footer="0" w:header="0"/>
        </w:sectPr>
      </w:pPr>
    </w:p>
    <w:bookmarkStart w:id="36" w:name="page37"/>
    <w:bookmarkEnd w:id="36"/>
    <w:p>
      <w:pPr>
        <w:ind w:right="3579" w:firstLine="515"/>
        <w:spacing w:after="0" w:line="244" w:lineRule="auto"/>
        <w:tabs>
          <w:tab w:leader="none" w:pos="10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395"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and Consideration.</w:t>
      </w:r>
    </w:p>
    <w:p>
      <w:pPr>
        <w:spacing w:after="0" w:line="200" w:lineRule="exact"/>
        <w:rPr>
          <w:rFonts w:ascii="Courier New" w:cs="Courier New" w:eastAsia="Courier New" w:hAnsi="Courier New"/>
          <w:sz w:val="17"/>
          <w:szCs w:val="17"/>
          <w:color w:val="auto"/>
        </w:rPr>
      </w:pPr>
    </w:p>
    <w:p>
      <w:pPr>
        <w:ind w:right="3679" w:firstLine="1025"/>
        <w:spacing w:after="0" w:line="243" w:lineRule="auto"/>
        <w:tabs>
          <w:tab w:leader="none" w:pos="153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per share exercise price for the Shares to be issued pursuant to exercise of an Option shall be determined by the Administrator, subject to the following:</w:t>
      </w:r>
    </w:p>
    <w:p>
      <w:pPr>
        <w:spacing w:after="0" w:line="198" w:lineRule="exact"/>
        <w:rPr>
          <w:rFonts w:ascii="Courier New" w:cs="Courier New" w:eastAsia="Courier New" w:hAnsi="Courier New"/>
          <w:sz w:val="17"/>
          <w:szCs w:val="17"/>
          <w:color w:val="auto"/>
        </w:rPr>
      </w:pPr>
    </w:p>
    <w:p>
      <w:pPr>
        <w:ind w:left="2040" w:hanging="505"/>
        <w:spacing w:after="0"/>
        <w:tabs>
          <w:tab w:leader="none" w:pos="2040"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Incentive Stock Option</w:t>
      </w:r>
    </w:p>
    <w:p>
      <w:pPr>
        <w:spacing w:after="0" w:line="199" w:lineRule="exact"/>
        <w:rPr>
          <w:rFonts w:ascii="Courier New" w:cs="Courier New" w:eastAsia="Courier New" w:hAnsi="Courier New"/>
          <w:sz w:val="17"/>
          <w:szCs w:val="17"/>
          <w:color w:val="auto"/>
        </w:rPr>
      </w:pPr>
    </w:p>
    <w:p>
      <w:pPr>
        <w:ind w:left="2560" w:hanging="515"/>
        <w:spacing w:after="0"/>
        <w:tabs>
          <w:tab w:leader="none" w:pos="2560" w:val="left"/>
        </w:tabs>
        <w:numPr>
          <w:ilvl w:val="3"/>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 Employee who, at the time</w:t>
      </w:r>
    </w:p>
    <w:p>
      <w:pPr>
        <w:spacing w:after="0" w:line="4" w:lineRule="exact"/>
        <w:rPr>
          <w:rFonts w:ascii="Courier New" w:cs="Courier New" w:eastAsia="Courier New" w:hAnsi="Courier New"/>
          <w:sz w:val="17"/>
          <w:szCs w:val="17"/>
          <w:color w:val="auto"/>
        </w:rPr>
      </w:pPr>
    </w:p>
    <w:p>
      <w:pPr>
        <w:ind w:right="35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8" w:lineRule="exact"/>
        <w:rPr>
          <w:rFonts w:ascii="Courier New" w:cs="Courier New" w:eastAsia="Courier New" w:hAnsi="Courier New"/>
          <w:sz w:val="17"/>
          <w:szCs w:val="17"/>
          <w:color w:val="auto"/>
        </w:rPr>
      </w:pPr>
    </w:p>
    <w:p>
      <w:pPr>
        <w:jc w:val="both"/>
        <w:ind w:right="3879" w:firstLine="2045"/>
        <w:spacing w:after="0" w:line="244" w:lineRule="auto"/>
        <w:tabs>
          <w:tab w:leader="none" w:pos="2551" w:val="left"/>
        </w:tabs>
        <w:numPr>
          <w:ilvl w:val="3"/>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Employee other than an Employee described in paragraph (A) immediately above, the per Share exercise price shall be no less than 100% of the Fair Market Value per Share on the date of grant.</w:t>
      </w:r>
    </w:p>
    <w:p>
      <w:pPr>
        <w:spacing w:after="0" w:line="196" w:lineRule="exact"/>
        <w:rPr>
          <w:rFonts w:ascii="Courier New" w:cs="Courier New" w:eastAsia="Courier New" w:hAnsi="Courier New"/>
          <w:sz w:val="17"/>
          <w:szCs w:val="17"/>
          <w:color w:val="auto"/>
        </w:rPr>
      </w:pPr>
    </w:p>
    <w:p>
      <w:pPr>
        <w:ind w:left="2040" w:hanging="505"/>
        <w:spacing w:after="0"/>
        <w:tabs>
          <w:tab w:leader="none" w:pos="2040"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Nonstatutory Stock Option,</w:t>
      </w:r>
    </w:p>
    <w:p>
      <w:pPr>
        <w:spacing w:after="0" w:line="4" w:lineRule="exact"/>
        <w:rPr>
          <w:rFonts w:ascii="Courier New" w:cs="Courier New" w:eastAsia="Courier New" w:hAnsi="Courier New"/>
          <w:sz w:val="17"/>
          <w:szCs w:val="17"/>
          <w:color w:val="auto"/>
        </w:rPr>
      </w:pPr>
    </w:p>
    <w:p>
      <w:pPr>
        <w:ind w:right="45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per Share exercise price shall be determined by the Administrator.</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99" w:lineRule="exact"/>
        <w:rPr>
          <w:rFonts w:ascii="Courier New" w:cs="Courier New" w:eastAsia="Courier New" w:hAnsi="Courier New"/>
          <w:sz w:val="17"/>
          <w:szCs w:val="17"/>
          <w:color w:val="auto"/>
        </w:rPr>
      </w:pPr>
    </w:p>
    <w:p>
      <w:pPr>
        <w:ind w:right="3679" w:firstLine="1025"/>
        <w:spacing w:after="0" w:line="244" w:lineRule="auto"/>
        <w:tabs>
          <w:tab w:leader="none" w:pos="153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97" w:lineRule="exact"/>
        <w:rPr>
          <w:rFonts w:ascii="Courier New" w:cs="Courier New" w:eastAsia="Courier New" w:hAnsi="Courier New"/>
          <w:sz w:val="17"/>
          <w:szCs w:val="17"/>
          <w:color w:val="auto"/>
        </w:rPr>
      </w:pPr>
    </w:p>
    <w:p>
      <w:pPr>
        <w:ind w:left="2040" w:hanging="505"/>
        <w:spacing w:after="0"/>
        <w:tabs>
          <w:tab w:leader="none" w:pos="2040"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199" w:lineRule="exact"/>
        <w:rPr>
          <w:rFonts w:ascii="Courier New" w:cs="Courier New" w:eastAsia="Courier New" w:hAnsi="Courier New"/>
          <w:sz w:val="17"/>
          <w:szCs w:val="17"/>
          <w:color w:val="auto"/>
        </w:rPr>
      </w:pPr>
    </w:p>
    <w:p>
      <w:pPr>
        <w:ind w:left="2040" w:hanging="505"/>
        <w:spacing w:after="0"/>
        <w:tabs>
          <w:tab w:leader="none" w:pos="2040"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w:t>
      </w:r>
    </w:p>
    <w:p>
      <w:pPr>
        <w:spacing w:after="0" w:line="199" w:lineRule="exact"/>
        <w:rPr>
          <w:rFonts w:ascii="Courier New" w:cs="Courier New" w:eastAsia="Courier New" w:hAnsi="Courier New"/>
          <w:sz w:val="17"/>
          <w:szCs w:val="17"/>
          <w:color w:val="auto"/>
        </w:rPr>
      </w:pPr>
    </w:p>
    <w:p>
      <w:pPr>
        <w:ind w:left="2560" w:hanging="1025"/>
        <w:spacing w:after="0"/>
        <w:tabs>
          <w:tab w:leader="none" w:pos="2560" w:val="left"/>
        </w:tabs>
        <w:numPr>
          <w:ilvl w:val="2"/>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promissory note;</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08" w:right="1440" w:bottom="1440" w:gutter="0" w:footer="0" w:header="0"/>
        </w:sectPr>
      </w:pPr>
    </w:p>
    <w:bookmarkStart w:id="37" w:name="page38"/>
    <w:bookmarkEnd w:id="37"/>
    <w:p>
      <w:pPr>
        <w:ind w:right="3679" w:firstLine="1535"/>
        <w:spacing w:after="0" w:line="243" w:lineRule="auto"/>
        <w:tabs>
          <w:tab w:leader="none" w:pos="2040" w:val="left"/>
        </w:tabs>
        <w:numPr>
          <w:ilvl w:val="3"/>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Shares which (A) in the case of Shares acquired upon exercise of an option, have been owned by the Optionee for more than six months on the date of surrender, and</w:t>
      </w:r>
    </w:p>
    <w:p>
      <w:pPr>
        <w:spacing w:after="0" w:line="3" w:lineRule="exact"/>
        <w:rPr>
          <w:rFonts w:ascii="Courier New" w:cs="Courier New" w:eastAsia="Courier New" w:hAnsi="Courier New"/>
          <w:sz w:val="17"/>
          <w:szCs w:val="17"/>
          <w:color w:val="auto"/>
        </w:rPr>
      </w:pPr>
    </w:p>
    <w:p>
      <w:pPr>
        <w:ind w:right="3879" w:firstLine="5"/>
        <w:spacing w:after="0" w:line="243" w:lineRule="auto"/>
        <w:tabs>
          <w:tab w:leader="none" w:pos="408"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a Fair Market Value on the date of surrender equal to the aggregate exercise price of the Shares as to which said Option shall be exercised;</w:t>
      </w:r>
    </w:p>
    <w:p>
      <w:pPr>
        <w:spacing w:after="0" w:line="198" w:lineRule="exact"/>
        <w:rPr>
          <w:rFonts w:ascii="Courier New" w:cs="Courier New" w:eastAsia="Courier New" w:hAnsi="Courier New"/>
          <w:sz w:val="17"/>
          <w:szCs w:val="17"/>
          <w:color w:val="auto"/>
        </w:rPr>
      </w:pPr>
    </w:p>
    <w:p>
      <w:pPr>
        <w:ind w:left="2040" w:hanging="505"/>
        <w:spacing w:after="0"/>
        <w:tabs>
          <w:tab w:leader="none" w:pos="2040" w:val="left"/>
        </w:tabs>
        <w:numPr>
          <w:ilvl w:val="3"/>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a properly executed exercise</w:t>
      </w:r>
    </w:p>
    <w:p>
      <w:pPr>
        <w:spacing w:after="0" w:line="4" w:lineRule="exact"/>
        <w:rPr>
          <w:rFonts w:ascii="Courier New" w:cs="Courier New" w:eastAsia="Courier New" w:hAnsi="Courier New"/>
          <w:sz w:val="17"/>
          <w:szCs w:val="17"/>
          <w:color w:val="auto"/>
        </w:rPr>
      </w:pPr>
    </w:p>
    <w:p>
      <w:pPr>
        <w:ind w:right="37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notice together with such other documentation as the Administrator and the broker, if applicable, shall require to effect an exercise of the Option and delivery to the Company of the sale or loan proceeds required to pay the exercise price;</w:t>
      </w:r>
    </w:p>
    <w:p>
      <w:pPr>
        <w:spacing w:after="0" w:line="197" w:lineRule="exact"/>
        <w:rPr>
          <w:rFonts w:ascii="Courier New" w:cs="Courier New" w:eastAsia="Courier New" w:hAnsi="Courier New"/>
          <w:sz w:val="17"/>
          <w:szCs w:val="17"/>
          <w:color w:val="auto"/>
        </w:rPr>
      </w:pPr>
    </w:p>
    <w:p>
      <w:pPr>
        <w:ind w:right="3579" w:firstLine="1535"/>
        <w:spacing w:after="0" w:line="244" w:lineRule="auto"/>
        <w:tabs>
          <w:tab w:leader="none" w:pos="2040" w:val="left"/>
        </w:tabs>
        <w:numPr>
          <w:ilvl w:val="3"/>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in the amount of any Company liability to the Optionee, including any liability attributable to the Optionee's participation in any Company-sponsored deferred compensation program or arrangement;</w:t>
      </w:r>
    </w:p>
    <w:p>
      <w:pPr>
        <w:spacing w:after="0" w:line="197" w:lineRule="exact"/>
        <w:rPr>
          <w:rFonts w:ascii="Courier New" w:cs="Courier New" w:eastAsia="Courier New" w:hAnsi="Courier New"/>
          <w:sz w:val="17"/>
          <w:szCs w:val="17"/>
          <w:color w:val="auto"/>
        </w:rPr>
      </w:pPr>
    </w:p>
    <w:p>
      <w:pPr>
        <w:ind w:left="2560" w:hanging="1025"/>
        <w:spacing w:after="0"/>
        <w:tabs>
          <w:tab w:leader="none" w:pos="2560" w:val="left"/>
        </w:tabs>
        <w:numPr>
          <w:ilvl w:val="3"/>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combination of the foregoing methods</w:t>
      </w:r>
    </w:p>
    <w:p>
      <w:pPr>
        <w:spacing w:after="0" w:line="1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of payment; or</w:t>
      </w:r>
    </w:p>
    <w:p>
      <w:pPr>
        <w:spacing w:after="0" w:line="199" w:lineRule="exact"/>
        <w:rPr>
          <w:rFonts w:ascii="Courier New" w:cs="Courier New" w:eastAsia="Courier New" w:hAnsi="Courier New"/>
          <w:sz w:val="16"/>
          <w:szCs w:val="16"/>
          <w:color w:val="auto"/>
        </w:rPr>
      </w:pPr>
    </w:p>
    <w:p>
      <w:pPr>
        <w:ind w:left="2560" w:hanging="1025"/>
        <w:spacing w:after="0"/>
        <w:tabs>
          <w:tab w:leader="none" w:pos="2560" w:val="left"/>
        </w:tabs>
        <w:numPr>
          <w:ilvl w:val="3"/>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consideration and method of</w:t>
      </w:r>
    </w:p>
    <w:p>
      <w:pPr>
        <w:spacing w:after="0" w:line="4" w:lineRule="exact"/>
        <w:rPr>
          <w:rFonts w:ascii="Courier New" w:cs="Courier New" w:eastAsia="Courier New" w:hAnsi="Courier New"/>
          <w:sz w:val="17"/>
          <w:szCs w:val="17"/>
          <w:color w:val="auto"/>
        </w:rPr>
      </w:pPr>
    </w:p>
    <w:p>
      <w:pPr>
        <w:ind w:right="3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payment for the issuance of Shares to the extent permitted by Applicable Laws.</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200"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2"/>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197"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7"/>
          <w:szCs w:val="17"/>
          <w:color w:val="auto"/>
        </w:rPr>
        <w:t>An Option may not be exercised for a fraction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201" w:lineRule="exact"/>
        <w:rPr>
          <w:sz w:val="20"/>
          <w:szCs w:val="20"/>
          <w:color w:val="auto"/>
        </w:rPr>
      </w:pPr>
    </w:p>
    <w:p>
      <w:pPr>
        <w:ind w:right="3579" w:firstLine="1530"/>
        <w:spacing w:after="0" w:line="244" w:lineRule="auto"/>
        <w:rPr>
          <w:sz w:val="20"/>
          <w:szCs w:val="20"/>
          <w:color w:val="auto"/>
        </w:rPr>
      </w:pPr>
      <w:r>
        <w:rPr>
          <w:rFonts w:ascii="Courier New" w:cs="Courier New" w:eastAsia="Courier New" w:hAnsi="Courier New"/>
          <w:sz w:val="17"/>
          <w:szCs w:val="17"/>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5" w:lineRule="exact"/>
        <w:rPr>
          <w:sz w:val="20"/>
          <w:szCs w:val="20"/>
          <w:color w:val="auto"/>
        </w:rPr>
      </w:pPr>
    </w:p>
    <w:p>
      <w:pPr>
        <w:ind w:right="3679" w:firstLine="1530"/>
        <w:spacing w:after="0" w:line="244" w:lineRule="auto"/>
        <w:rPr>
          <w:sz w:val="20"/>
          <w:szCs w:val="20"/>
          <w:color w:val="auto"/>
        </w:rPr>
      </w:pPr>
      <w:r>
        <w:rPr>
          <w:rFonts w:ascii="Courier New" w:cs="Courier New" w:eastAsia="Courier New" w:hAnsi="Courier New"/>
          <w:sz w:val="17"/>
          <w:szCs w:val="17"/>
          <w:color w:val="auto"/>
        </w:rPr>
        <w:t>Exercising an Option in any manner shall decrease the number of Shares thereafter available, both for purposes of the Plan and for sale under the Option, by the number of Shares as to which the Option is exercised.</w:t>
      </w:r>
    </w:p>
    <w:p>
      <w:pPr>
        <w:spacing w:after="0" w:line="197"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08" w:right="1440" w:bottom="1440" w:gutter="0" w:footer="0" w:header="0"/>
        </w:sectPr>
      </w:pPr>
    </w:p>
    <w:bookmarkStart w:id="38" w:name="page39"/>
    <w:bookmarkEnd w:id="38"/>
    <w:p>
      <w:pPr>
        <w:ind w:right="3579" w:firstLine="1025"/>
        <w:spacing w:after="0" w:line="244" w:lineRule="auto"/>
        <w:tabs>
          <w:tab w:leader="none" w:pos="153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4"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1" w:lineRule="exact"/>
        <w:rPr>
          <w:rFonts w:ascii="Courier New" w:cs="Courier New" w:eastAsia="Courier New" w:hAnsi="Courier New"/>
          <w:sz w:val="17"/>
          <w:szCs w:val="17"/>
          <w:color w:val="auto"/>
        </w:rPr>
      </w:pPr>
    </w:p>
    <w:p>
      <w:pPr>
        <w:ind w:right="3379" w:firstLine="1025"/>
        <w:spacing w:after="0" w:line="244" w:lineRule="auto"/>
        <w:tabs>
          <w:tab w:leader="none" w:pos="153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397" w:lineRule="exact"/>
        <w:rPr>
          <w:rFonts w:ascii="Courier New" w:cs="Courier New" w:eastAsia="Courier New" w:hAnsi="Courier New"/>
          <w:sz w:val="17"/>
          <w:szCs w:val="17"/>
          <w:color w:val="auto"/>
        </w:rPr>
      </w:pPr>
    </w:p>
    <w:p>
      <w:pPr>
        <w:ind w:left="1540" w:hanging="515"/>
        <w:spacing w:after="0"/>
        <w:tabs>
          <w:tab w:leader="none" w:pos="15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Options granted to individuals</w:t>
      </w:r>
    </w:p>
    <w:p>
      <w:pPr>
        <w:spacing w:after="0" w:line="5" w:lineRule="exact"/>
        <w:rPr>
          <w:sz w:val="20"/>
          <w:szCs w:val="20"/>
          <w:color w:val="auto"/>
        </w:rPr>
      </w:pPr>
    </w:p>
    <w:p>
      <w:pPr>
        <w:ind w:right="3579"/>
        <w:spacing w:after="0" w:line="244" w:lineRule="auto"/>
        <w:rPr>
          <w:sz w:val="20"/>
          <w:szCs w:val="20"/>
          <w:color w:val="auto"/>
        </w:rPr>
      </w:pPr>
      <w:r>
        <w:rPr>
          <w:rFonts w:ascii="Courier New" w:cs="Courier New" w:eastAsia="Courier New" w:hAnsi="Courier New"/>
          <w:sz w:val="17"/>
          <w:szCs w:val="17"/>
          <w:color w:val="auto"/>
        </w:rPr>
        <w:t>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98" w:lineRule="exact"/>
        <w:rPr>
          <w:sz w:val="20"/>
          <w:szCs w:val="20"/>
          <w:color w:val="auto"/>
        </w:rPr>
      </w:pPr>
    </w:p>
    <w:p>
      <w:pPr>
        <w:ind w:right="3579" w:firstLine="1025"/>
        <w:spacing w:after="0" w:line="244" w:lineRule="auto"/>
        <w:tabs>
          <w:tab w:leader="none" w:pos="153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4" w:right="1440" w:bottom="1440" w:gutter="0" w:footer="0" w:header="0"/>
        </w:sectPr>
      </w:pPr>
    </w:p>
    <w:bookmarkStart w:id="39" w:name="page40"/>
    <w:bookmarkEnd w:id="39"/>
    <w:p>
      <w:pPr>
        <w:ind w:right="3779"/>
        <w:spacing w:after="0" w:line="243" w:lineRule="auto"/>
        <w:rPr>
          <w:sz w:val="20"/>
          <w:szCs w:val="20"/>
          <w:color w:val="auto"/>
        </w:rPr>
      </w:pPr>
      <w:r>
        <w:rPr>
          <w:rFonts w:ascii="Courier New" w:cs="Courier New" w:eastAsia="Courier New" w:hAnsi="Courier New"/>
          <w:sz w:val="17"/>
          <w:szCs w:val="17"/>
          <w:color w:val="auto"/>
        </w:rPr>
        <w:t>exercise of any Option granted from the date of receipt by that employee of the RAM hardship distribution.</w:t>
      </w:r>
    </w:p>
    <w:p>
      <w:pPr>
        <w:spacing w:after="0" w:line="199" w:lineRule="exact"/>
        <w:rPr>
          <w:sz w:val="20"/>
          <w:szCs w:val="20"/>
          <w:color w:val="auto"/>
        </w:rPr>
      </w:pPr>
    </w:p>
    <w:p>
      <w:pPr>
        <w:ind w:right="3779" w:firstLine="515"/>
        <w:spacing w:after="0" w:line="244" w:lineRule="auto"/>
        <w:tabs>
          <w:tab w:leader="none" w:pos="10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198" w:lineRule="exact"/>
        <w:rPr>
          <w:rFonts w:ascii="Courier New" w:cs="Courier New" w:eastAsia="Courier New" w:hAnsi="Courier New"/>
          <w:sz w:val="17"/>
          <w:szCs w:val="17"/>
          <w:color w:val="auto"/>
        </w:rPr>
      </w:pPr>
    </w:p>
    <w:p>
      <w:pPr>
        <w:ind w:right="4799" w:firstLine="515"/>
        <w:spacing w:after="0" w:line="243" w:lineRule="auto"/>
        <w:tabs>
          <w:tab w:leader="none" w:pos="10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Dissolution, Merger, or Asset Sale.</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06"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0"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considered assumed if, following the merger or</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08" w:right="1440" w:bottom="1440" w:gutter="0" w:footer="0" w:header="0"/>
        </w:sectPr>
      </w:pPr>
    </w:p>
    <w:bookmarkStart w:id="40" w:name="page41"/>
    <w:bookmarkEnd w:id="40"/>
    <w:p>
      <w:pPr>
        <w:ind w:right="3279"/>
        <w:spacing w:after="0" w:line="244" w:lineRule="auto"/>
        <w:rPr>
          <w:sz w:val="20"/>
          <w:szCs w:val="20"/>
          <w:color w:val="auto"/>
        </w:rPr>
      </w:pPr>
      <w:r>
        <w:rPr>
          <w:rFonts w:ascii="Courier New" w:cs="Courier New" w:eastAsia="Courier New" w:hAnsi="Courier New"/>
          <w:sz w:val="17"/>
          <w:szCs w:val="17"/>
          <w:color w:val="auto"/>
        </w:rPr>
        <w:t>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w:t>
      </w:r>
    </w:p>
    <w:p>
      <w:pPr>
        <w:spacing w:after="0" w:line="4" w:lineRule="exact"/>
        <w:rPr>
          <w:sz w:val="20"/>
          <w:szCs w:val="20"/>
          <w:color w:val="auto"/>
        </w:rPr>
      </w:pPr>
    </w:p>
    <w:p>
      <w:pPr>
        <w:ind w:right="3579"/>
        <w:spacing w:after="0" w:line="244" w:lineRule="auto"/>
        <w:rPr>
          <w:sz w:val="20"/>
          <w:szCs w:val="20"/>
          <w:color w:val="auto"/>
        </w:rPr>
      </w:pPr>
      <w:r>
        <w:rPr>
          <w:rFonts w:ascii="Courier New" w:cs="Courier New" w:eastAsia="Courier New" w:hAnsi="Courier New"/>
          <w:sz w:val="17"/>
          <w:szCs w:val="17"/>
          <w:color w:val="auto"/>
        </w:rPr>
        <w:t>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199" w:lineRule="exact"/>
        <w:rPr>
          <w:sz w:val="20"/>
          <w:szCs w:val="20"/>
          <w:color w:val="auto"/>
        </w:rPr>
      </w:pPr>
    </w:p>
    <w:p>
      <w:pPr>
        <w:ind w:right="3579" w:firstLine="1025"/>
        <w:spacing w:after="0" w:line="244" w:lineRule="auto"/>
        <w:tabs>
          <w:tab w:leader="none" w:pos="1530"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98" w:lineRule="exact"/>
        <w:rPr>
          <w:rFonts w:ascii="Courier New" w:cs="Courier New" w:eastAsia="Courier New" w:hAnsi="Courier New"/>
          <w:sz w:val="17"/>
          <w:szCs w:val="17"/>
          <w:color w:val="auto"/>
        </w:rPr>
      </w:pPr>
    </w:p>
    <w:p>
      <w:pPr>
        <w:ind w:right="3679" w:firstLine="515"/>
        <w:spacing w:after="0" w:line="244" w:lineRule="auto"/>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200" w:lineRule="exact"/>
        <w:rPr>
          <w:rFonts w:ascii="Courier New" w:cs="Courier New" w:eastAsia="Courier New" w:hAnsi="Courier New"/>
          <w:sz w:val="17"/>
          <w:szCs w:val="17"/>
          <w:color w:val="auto"/>
        </w:rPr>
      </w:pPr>
    </w:p>
    <w:p>
      <w:pPr>
        <w:ind w:right="3779" w:firstLine="1025"/>
        <w:spacing w:after="0" w:line="243" w:lineRule="auto"/>
        <w:tabs>
          <w:tab w:leader="none" w:pos="153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at any time amend, alter, suspend, or terminate the Plan.</w:t>
      </w:r>
    </w:p>
    <w:p>
      <w:pPr>
        <w:spacing w:after="0" w:line="198"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99"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97"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w:t>
      </w:r>
    </w:p>
    <w:p>
      <w:pPr>
        <w:spacing w:after="0" w:line="200"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w:t>
      </w:r>
    </w:p>
    <w:p>
      <w:pPr>
        <w:spacing w:after="0" w:line="198"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4" w:right="1440" w:bottom="1440" w:gutter="0" w:footer="0" w:header="0"/>
        </w:sectPr>
      </w:pPr>
    </w:p>
    <w:bookmarkStart w:id="41" w:name="page42"/>
    <w:bookmarkEnd w:id="41"/>
    <w:p>
      <w:pPr>
        <w:ind w:right="3279"/>
        <w:spacing w:after="0" w:line="244" w:lineRule="auto"/>
        <w:rPr>
          <w:sz w:val="20"/>
          <w:szCs w:val="20"/>
          <w:color w:val="auto"/>
        </w:rPr>
      </w:pPr>
      <w:r>
        <w:rPr>
          <w:rFonts w:ascii="Courier New" w:cs="Courier New" w:eastAsia="Courier New" w:hAnsi="Courier New"/>
          <w:sz w:val="17"/>
          <w:szCs w:val="17"/>
          <w:color w:val="auto"/>
        </w:rPr>
        <w:t>Applicable Laws, and the requirements of any stock exchange or quotation system upon which the Shares may then be listed or quoted, and shall be further subject to the approval of counsel for the Company with respect to such compliance.</w:t>
      </w:r>
    </w:p>
    <w:p>
      <w:pPr>
        <w:spacing w:after="0" w:line="198" w:lineRule="exact"/>
        <w:rPr>
          <w:sz w:val="20"/>
          <w:szCs w:val="20"/>
          <w:color w:val="auto"/>
        </w:rPr>
      </w:pPr>
    </w:p>
    <w:p>
      <w:pPr>
        <w:ind w:right="3579" w:firstLine="1025"/>
        <w:spacing w:after="0" w:line="244" w:lineRule="auto"/>
        <w:tabs>
          <w:tab w:leader="none" w:pos="153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8" w:lineRule="exact"/>
        <w:rPr>
          <w:rFonts w:ascii="Courier New" w:cs="Courier New" w:eastAsia="Courier New" w:hAnsi="Courier New"/>
          <w:sz w:val="17"/>
          <w:szCs w:val="17"/>
          <w:color w:val="auto"/>
        </w:rPr>
      </w:pPr>
    </w:p>
    <w:p>
      <w:pPr>
        <w:ind w:left="1020" w:hanging="505"/>
        <w:spacing w:after="0"/>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of Company.</w:t>
      </w:r>
    </w:p>
    <w:p>
      <w:pPr>
        <w:spacing w:after="0" w:line="200" w:lineRule="exact"/>
        <w:rPr>
          <w:rFonts w:ascii="Courier New" w:cs="Courier New" w:eastAsia="Courier New" w:hAnsi="Courier New"/>
          <w:sz w:val="17"/>
          <w:szCs w:val="17"/>
          <w:color w:val="auto"/>
        </w:rPr>
      </w:pPr>
    </w:p>
    <w:p>
      <w:pPr>
        <w:ind w:right="3679" w:firstLine="1025"/>
        <w:spacing w:after="0" w:line="244" w:lineRule="auto"/>
        <w:tabs>
          <w:tab w:leader="none" w:pos="153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9" w:lineRule="exact"/>
        <w:rPr>
          <w:rFonts w:ascii="Courier New" w:cs="Courier New" w:eastAsia="Courier New" w:hAnsi="Courier New"/>
          <w:sz w:val="17"/>
          <w:szCs w:val="17"/>
          <w:color w:val="auto"/>
        </w:rPr>
      </w:pPr>
    </w:p>
    <w:p>
      <w:pPr>
        <w:ind w:right="3579" w:firstLine="1025"/>
        <w:spacing w:after="0" w:line="244" w:lineRule="auto"/>
        <w:tabs>
          <w:tab w:leader="none" w:pos="1530"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99" w:lineRule="exact"/>
        <w:rPr>
          <w:rFonts w:ascii="Courier New" w:cs="Courier New" w:eastAsia="Courier New" w:hAnsi="Courier New"/>
          <w:sz w:val="17"/>
          <w:szCs w:val="17"/>
          <w:color w:val="auto"/>
        </w:rPr>
      </w:pPr>
    </w:p>
    <w:p>
      <w:pPr>
        <w:ind w:right="3579" w:firstLine="515"/>
        <w:spacing w:after="0" w:line="244" w:lineRule="auto"/>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 will at all times reserve and keep available such number of Shares as shall be sufficient to satisfy the requirements of the Plan.</w:t>
      </w:r>
    </w:p>
    <w:p>
      <w:pPr>
        <w:spacing w:after="0" w:line="197" w:lineRule="exact"/>
        <w:rPr>
          <w:rFonts w:ascii="Courier New" w:cs="Courier New" w:eastAsia="Courier New" w:hAnsi="Courier New"/>
          <w:sz w:val="17"/>
          <w:szCs w:val="17"/>
          <w:color w:val="auto"/>
        </w:rPr>
      </w:pPr>
    </w:p>
    <w:p>
      <w:pPr>
        <w:ind w:right="3579" w:firstLine="515"/>
        <w:spacing w:after="0" w:line="244" w:lineRule="auto"/>
        <w:tabs>
          <w:tab w:leader="none" w:pos="10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Revised</w:t>
        <w:tab/>
        <w:t>11/14/95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12</w:t>
      </w:r>
    </w:p>
    <w:sectPr>
      <w:pgSz w:w="11900" w:h="16838" w:orient="portrait"/>
      <w:cols w:equalWidth="0" w:num="1">
        <w:col w:w="10219"/>
      </w:cols>
      <w:pgMar w:left="240" w:top="5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lvl w:ilvl="1">
      <w:lvlJc w:val="left"/>
      <w:lvlText w:val="%2)"/>
      <w:numFmt w:val="decimal"/>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lvl w:ilvl="1">
      <w:lvlJc w:val="left"/>
      <w:lvlText w:val="%2."/>
      <w:numFmt w:val="decimal"/>
      <w:start w:val="3"/>
    </w:lvl>
  </w:abstractNum>
  <w:abstractNum w:abstractNumId="7">
    <w:nsid w:val="2901D82"/>
    <w:multiLevelType w:val="hybridMultilevel"/>
    <w:lvl w:ilvl="0">
      <w:lvlJc w:val="left"/>
      <w:lvlText w:val="%1."/>
      <w:numFmt w:val="decimal"/>
      <w:start w:val="4"/>
    </w:lvl>
    <w:lvl w:ilvl="1">
      <w:lvlJc w:val="left"/>
      <w:lvlText w:val="%2"/>
      <w:numFmt w:val="decimal"/>
      <w:start w:val="1"/>
    </w:lvl>
  </w:abstractNum>
  <w:abstractNum w:abstractNumId="8">
    <w:nsid w:val="3A95F874"/>
    <w:multiLevelType w:val="hybridMultilevel"/>
    <w:lvl w:ilvl="0">
      <w:lvlJc w:val="left"/>
      <w:lvlText w:val="(%1)"/>
      <w:numFmt w:val="lowerRoman"/>
      <w:start w:val="3"/>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7"/>
    </w:lvl>
    <w:lvl w:ilvl="1">
      <w:lvlJc w:val="left"/>
      <w:lvlText w:val="(%2)"/>
      <w:numFmt w:val="decimal"/>
      <w:start w:val="3"/>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lowerRoman"/>
      <w:start w:val="1"/>
    </w:lvl>
  </w:abstractNum>
  <w:abstractNum w:abstractNumId="14">
    <w:nsid w:val="22221A70"/>
    <w:multiLevelType w:val="hybridMultilevel"/>
    <w:lvl w:ilvl="0">
      <w:lvlJc w:val="left"/>
      <w:lvlText w:val="(%1)"/>
      <w:numFmt w:val="lowerRoman"/>
      <w:start w:val="6"/>
    </w:lvl>
  </w:abstractNum>
  <w:abstractNum w:abstractNumId="15">
    <w:nsid w:val="4516DDE9"/>
    <w:multiLevelType w:val="hybridMultilevel"/>
    <w:lvl w:ilvl="0">
      <w:lvlJc w:val="left"/>
      <w:lvlText w:val="(%1)"/>
      <w:numFmt w:val="decimal"/>
      <w:start w:val="16"/>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3"/>
    </w:lvl>
    <w:lvl w:ilvl="1">
      <w:lvlJc w:val="left"/>
      <w:lvlText w:val="(%2)"/>
      <w:numFmt w:val="decimal"/>
      <w:start w:val="10"/>
    </w:lvl>
  </w:abstractNum>
  <w:abstractNum w:abstractNumId="18">
    <w:nsid w:val="419AC241"/>
    <w:multiLevelType w:val="hybridMultilevel"/>
    <w:lvl w:ilvl="0">
      <w:lvlJc w:val="left"/>
      <w:lvlText w:val="(%1)"/>
      <w:numFmt w:val="decimal"/>
      <w:start w:val="1"/>
    </w:lvl>
    <w:lvl w:ilvl="1">
      <w:lvlJc w:val="left"/>
      <w:lvlText w:val="(%2)"/>
      <w:numFmt w:val="decimal"/>
      <w:start w:val="5"/>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5"/>
    </w:lvl>
  </w:abstractNum>
  <w:abstractNum w:abstractNumId="22">
    <w:nsid w:val="3804823E"/>
    <w:multiLevelType w:val="hybridMultilevel"/>
    <w:lvl w:ilvl="0">
      <w:lvlJc w:val="left"/>
      <w:lvlText w:val="%1."/>
      <w:numFmt w:val="decimal"/>
      <w:start w:val="2"/>
    </w:lvl>
  </w:abstractNum>
  <w:abstractNum w:abstractNumId="23">
    <w:nsid w:val="77465F01"/>
    <w:multiLevelType w:val="hybridMultilevel"/>
    <w:lvl w:ilvl="0">
      <w:lvlJc w:val="left"/>
      <w:lvlText w:val="%1."/>
      <w:numFmt w:val="decimal"/>
      <w:start w:val="3"/>
    </w:lvl>
  </w:abstractNum>
  <w:abstractNum w:abstractNumId="24">
    <w:nsid w:val="7724C67E"/>
    <w:multiLevelType w:val="hybridMultilevel"/>
    <w:lvl w:ilvl="0">
      <w:lvlJc w:val="left"/>
      <w:lvlText w:val="%1."/>
      <w:numFmt w:val="decimal"/>
      <w:start w:val="4"/>
    </w:lvl>
  </w:abstractNum>
  <w:abstractNum w:abstractNumId="25">
    <w:nsid w:val="5C482A97"/>
    <w:multiLevelType w:val="hybridMultilevel"/>
    <w:lvl w:ilvl="0">
      <w:lvlJc w:val="left"/>
      <w:lvlText w:val="%1."/>
      <w:numFmt w:val="decimal"/>
      <w:start w:val="5"/>
    </w:lvl>
  </w:abstractNum>
  <w:abstractNum w:abstractNumId="26">
    <w:nsid w:val="2463B9EA"/>
    <w:multiLevelType w:val="hybridMultilevel"/>
    <w:lvl w:ilvl="0">
      <w:lvlJc w:val="left"/>
      <w:lvlText w:val="%1."/>
      <w:numFmt w:val="decimal"/>
      <w:start w:val="2"/>
    </w:lvl>
  </w:abstractNum>
  <w:abstractNum w:abstractNumId="27">
    <w:nsid w:val="5E884ADC"/>
    <w:multiLevelType w:val="hybridMultilevel"/>
    <w:lvl w:ilvl="0">
      <w:lvlJc w:val="left"/>
      <w:lvlText w:val="%1."/>
      <w:numFmt w:val="decimal"/>
      <w:start w:val="3"/>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2"/>
    </w:lvl>
    <w:lvl w:ilvl="1">
      <w:lvlJc w:val="left"/>
      <w:lvlText w:val="(%2)"/>
      <w:numFmt w:val="lowerLetter"/>
      <w:start w:val="1"/>
    </w:lvl>
  </w:abstractNum>
  <w:abstractNum w:abstractNumId="32">
    <w:nsid w:val="3855585C"/>
    <w:multiLevelType w:val="hybridMultilevel"/>
    <w:lvl w:ilvl="0">
      <w:lvlJc w:val="left"/>
      <w:lvlText w:val="(%1)"/>
      <w:numFmt w:val="lowerLetter"/>
      <w:start w:val="10"/>
    </w:lvl>
    <w:lvl w:ilvl="1">
      <w:lvlJc w:val="left"/>
      <w:lvlText w:val="(%2)"/>
      <w:numFmt w:val="lowerRoman"/>
      <w:start w:val="1"/>
    </w:lvl>
  </w:abstractNum>
  <w:abstractNum w:abstractNumId="33">
    <w:nsid w:val="70A64E2A"/>
    <w:multiLevelType w:val="hybridMultilevel"/>
    <w:lvl w:ilvl="0">
      <w:lvlJc w:val="left"/>
      <w:lvlText w:val="(%1)"/>
      <w:numFmt w:val="lowerLetter"/>
      <w:start w:val="16"/>
    </w:lvl>
  </w:abstractNum>
  <w:abstractNum w:abstractNumId="34">
    <w:nsid w:val="6A2342EC"/>
    <w:multiLevelType w:val="hybridMultilevel"/>
    <w:lvl w:ilvl="0">
      <w:lvlJc w:val="left"/>
      <w:lvlText w:val="(%1)"/>
      <w:numFmt w:val="lowerLetter"/>
      <w:start w:val="27"/>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9">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7A6D8D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
    <w:nsid w:val="4B588F5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2">
    <w:nsid w:val="542289EC"/>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lvl w:ilvl="3">
      <w:lvlJc w:val="left"/>
      <w:lvlText w:val="(%4)"/>
      <w:numFmt w:val="lowerRoman"/>
      <w:start w:val="5"/>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1)"/>
      <w:numFmt w:val="lowerLetter"/>
      <w:start w:val="6"/>
    </w:lvl>
  </w:abstractNum>
  <w:abstractNum w:abstractNumId="45">
    <w:nsid w:val="7644A45C"/>
    <w:multiLevelType w:val="hybridMultilevel"/>
    <w:lvl w:ilvl="0">
      <w:lvlJc w:val="left"/>
      <w:lvlText w:val="%1."/>
      <w:numFmt w:val="decimal"/>
      <w:start w:val="1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4"/>
    </w:lvl>
  </w:abstractNum>
  <w:abstractNum w:abstractNumId="47">
    <w:nsid w:val="684A481A"/>
    <w:multiLevelType w:val="hybridMultilevel"/>
    <w:lvl w:ilvl="0">
      <w:lvlJc w:val="left"/>
      <w:lvlText w:val="%1."/>
      <w:numFmt w:val="decimal"/>
      <w:start w:val="13"/>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2"/>
    </w:lvl>
  </w:abstractNum>
  <w:abstractNum w:abstractNumId="49">
    <w:nsid w:val="749ABB43"/>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2019-12-13T13:10:14Z</dcterms:created>
  <dcterms:modified xsi:type="dcterms:W3CDTF">2019-12-13T13:10:14Z</dcterms:modified>
</cp:coreProperties>
</file>