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color w:val="0000EE"/>
        </w:rPr>
      </w:pPr>
      <w:hyperlink w:anchor="page37">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159385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137160</wp:posOffset>
            </wp:positionV>
            <wp:extent cx="105029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39" w:lineRule="exact"/>
        <w:rPr>
          <w:sz w:val="24"/>
          <w:szCs w:val="24"/>
          <w:color w:val="auto"/>
        </w:rPr>
      </w:pPr>
    </w:p>
    <w:p>
      <w:pPr>
        <w:ind w:left="1500" w:right="200" w:hanging="1492"/>
        <w:spacing w:after="0" w:line="256" w:lineRule="auto"/>
        <w:tabs>
          <w:tab w:leader="none" w:pos="15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August 29, 2002</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29" w:lineRule="exact"/>
        <w:rPr>
          <w:sz w:val="24"/>
          <w:szCs w:val="24"/>
          <w:color w:val="auto"/>
        </w:rPr>
      </w:pPr>
    </w:p>
    <w:tbl>
      <w:tblPr>
        <w:tblLayout w:type="fixed"/>
        <w:tblInd w:w="0" w:type="dxa"/>
        <w:tblCellMar>
          <w:top w:w="0" w:type="dxa"/>
          <w:left w:w="0" w:type="dxa"/>
          <w:bottom w:w="0" w:type="dxa"/>
          <w:right w:w="0" w:type="dxa"/>
        </w:tblCellMar>
      </w:tblPr>
      <w:tr>
        <w:trPr>
          <w:trHeight w:val="253"/>
        </w:trPr>
        <w:tc>
          <w:tcPr>
            <w:tcW w:w="480" w:type="dxa"/>
            <w:vAlign w:val="bottom"/>
          </w:tcPr>
          <w:p>
            <w:pPr>
              <w:spacing w:after="0"/>
              <w:rPr>
                <w:sz w:val="20"/>
                <w:szCs w:val="20"/>
                <w:color w:val="auto"/>
              </w:rPr>
            </w:pPr>
            <w:r>
              <w:rPr>
                <w:rFonts w:ascii="Arial" w:cs="Arial" w:eastAsia="Arial" w:hAnsi="Arial"/>
                <w:sz w:val="22"/>
                <w:szCs w:val="22"/>
                <w:color w:val="auto"/>
              </w:rPr>
              <w:t>o</w:t>
            </w:r>
          </w:p>
        </w:tc>
        <w:tc>
          <w:tcPr>
            <w:tcW w:w="10660" w:type="dxa"/>
            <w:vAlign w:val="bottom"/>
            <w:gridSpan w:val="6"/>
          </w:tcPr>
          <w:p>
            <w:pPr>
              <w:ind w:left="1020"/>
              <w:spacing w:after="0"/>
              <w:rPr>
                <w:sz w:val="20"/>
                <w:szCs w:val="20"/>
                <w:color w:val="auto"/>
              </w:rPr>
            </w:pPr>
            <w:r>
              <w:rPr>
                <w:rFonts w:ascii="Arial" w:cs="Arial" w:eastAsia="Arial" w:hAnsi="Arial"/>
                <w:sz w:val="22"/>
                <w:szCs w:val="22"/>
                <w:b w:val="1"/>
                <w:bCs w:val="1"/>
                <w:color w:val="auto"/>
                <w:w w:val="97"/>
              </w:rPr>
              <w:t>TRANSITION REPORT PURSUANT TO SECTION 13 OR 15(d) OF THE SECURITIES EXCHANGE</w:t>
            </w:r>
          </w:p>
        </w:tc>
      </w:tr>
      <w:tr>
        <w:trPr>
          <w:trHeight w:val="281"/>
        </w:trPr>
        <w:tc>
          <w:tcPr>
            <w:tcW w:w="480" w:type="dxa"/>
            <w:vAlign w:val="bottom"/>
          </w:tcPr>
          <w:p>
            <w:pPr>
              <w:spacing w:after="0"/>
              <w:rPr>
                <w:sz w:val="24"/>
                <w:szCs w:val="24"/>
                <w:color w:val="auto"/>
              </w:rPr>
            </w:pPr>
          </w:p>
        </w:tc>
        <w:tc>
          <w:tcPr>
            <w:tcW w:w="5860" w:type="dxa"/>
            <w:vAlign w:val="bottom"/>
            <w:gridSpan w:val="2"/>
          </w:tcPr>
          <w:p>
            <w:pPr>
              <w:ind w:left="1020"/>
              <w:spacing w:after="0"/>
              <w:rPr>
                <w:sz w:val="20"/>
                <w:szCs w:val="20"/>
                <w:color w:val="auto"/>
              </w:rPr>
            </w:pPr>
            <w:r>
              <w:rPr>
                <w:rFonts w:ascii="Arial" w:cs="Arial" w:eastAsia="Arial" w:hAnsi="Arial"/>
                <w:sz w:val="22"/>
                <w:szCs w:val="22"/>
                <w:b w:val="1"/>
                <w:bCs w:val="1"/>
                <w:color w:val="auto"/>
              </w:rPr>
              <w:t>ACT OF 1934</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409"/>
        </w:trPr>
        <w:tc>
          <w:tcPr>
            <w:tcW w:w="480" w:type="dxa"/>
            <w:vAlign w:val="bottom"/>
          </w:tcPr>
          <w:p>
            <w:pPr>
              <w:spacing w:after="0"/>
              <w:rPr>
                <w:sz w:val="24"/>
                <w:szCs w:val="24"/>
                <w:color w:val="auto"/>
              </w:rPr>
            </w:pPr>
          </w:p>
        </w:tc>
        <w:tc>
          <w:tcPr>
            <w:tcW w:w="5040" w:type="dxa"/>
            <w:vAlign w:val="bottom"/>
          </w:tcPr>
          <w:p>
            <w:pPr>
              <w:ind w:left="2740"/>
              <w:spacing w:after="0"/>
              <w:rPr>
                <w:sz w:val="20"/>
                <w:szCs w:val="20"/>
                <w:color w:val="auto"/>
              </w:rPr>
            </w:pPr>
            <w:r>
              <w:rPr>
                <w:rFonts w:ascii="Arial" w:cs="Arial" w:eastAsia="Arial" w:hAnsi="Arial"/>
                <w:sz w:val="18"/>
                <w:szCs w:val="18"/>
                <w:b w:val="1"/>
                <w:bCs w:val="1"/>
                <w:color w:val="auto"/>
                <w:w w:val="90"/>
              </w:rPr>
              <w:t>For the transition period from</w:t>
            </w:r>
          </w:p>
        </w:tc>
        <w:tc>
          <w:tcPr>
            <w:tcW w:w="8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0" w:type="dxa"/>
            <w:vAlign w:val="bottom"/>
          </w:tcPr>
          <w:p>
            <w:pPr>
              <w:ind w:left="40"/>
              <w:spacing w:after="0"/>
              <w:rPr>
                <w:sz w:val="20"/>
                <w:szCs w:val="20"/>
                <w:color w:val="auto"/>
              </w:rPr>
            </w:pPr>
            <w:r>
              <w:rPr>
                <w:rFonts w:ascii="Arial" w:cs="Arial" w:eastAsia="Arial" w:hAnsi="Arial"/>
                <w:sz w:val="18"/>
                <w:szCs w:val="18"/>
                <w:b w:val="1"/>
                <w:bCs w:val="1"/>
                <w:color w:val="auto"/>
                <w:w w:val="93"/>
              </w:rPr>
              <w:t>to</w:t>
            </w:r>
          </w:p>
        </w:tc>
        <w:tc>
          <w:tcPr>
            <w:tcW w:w="1240" w:type="dxa"/>
            <w:vAlign w:val="bottom"/>
            <w:tcBorders>
              <w:bottom w:val="single" w:sz="8" w:color="auto"/>
            </w:tcBorders>
          </w:tcPr>
          <w:p>
            <w:pPr>
              <w:spacing w:after="0"/>
              <w:rPr>
                <w:sz w:val="24"/>
                <w:szCs w:val="24"/>
                <w:color w:val="auto"/>
              </w:rPr>
            </w:pPr>
          </w:p>
        </w:tc>
        <w:tc>
          <w:tcPr>
            <w:tcW w:w="2920" w:type="dxa"/>
            <w:vAlign w:val="bottom"/>
          </w:tcPr>
          <w:p>
            <w:pPr>
              <w:spacing w:after="0"/>
              <w:rPr>
                <w:sz w:val="24"/>
                <w:szCs w:val="24"/>
                <w:color w:val="auto"/>
              </w:rPr>
            </w:pPr>
          </w:p>
        </w:tc>
      </w:tr>
      <w:tr>
        <w:trPr>
          <w:trHeight w:val="451"/>
        </w:trPr>
        <w:tc>
          <w:tcPr>
            <w:tcW w:w="480" w:type="dxa"/>
            <w:vAlign w:val="bottom"/>
          </w:tcPr>
          <w:p>
            <w:pPr>
              <w:spacing w:after="0"/>
              <w:rPr>
                <w:sz w:val="24"/>
                <w:szCs w:val="24"/>
                <w:color w:val="auto"/>
              </w:rPr>
            </w:pPr>
          </w:p>
        </w:tc>
        <w:tc>
          <w:tcPr>
            <w:tcW w:w="5860" w:type="dxa"/>
            <w:vAlign w:val="bottom"/>
            <w:gridSpan w:val="2"/>
          </w:tcPr>
          <w:p>
            <w:pPr>
              <w:ind w:left="3940"/>
              <w:spacing w:after="0"/>
              <w:rPr>
                <w:sz w:val="20"/>
                <w:szCs w:val="20"/>
                <w:color w:val="auto"/>
              </w:rPr>
            </w:pPr>
            <w:r>
              <w:rPr>
                <w:rFonts w:ascii="Arial" w:cs="Arial" w:eastAsia="Arial" w:hAnsi="Arial"/>
                <w:sz w:val="18"/>
                <w:szCs w:val="18"/>
                <w:b w:val="1"/>
                <w:bCs w:val="1"/>
                <w:color w:val="auto"/>
                <w:w w:val="90"/>
              </w:rPr>
              <w:t>Commission file number</w:t>
            </w:r>
          </w:p>
        </w:tc>
        <w:tc>
          <w:tcPr>
            <w:tcW w:w="1880" w:type="dxa"/>
            <w:vAlign w:val="bottom"/>
            <w:gridSpan w:val="3"/>
          </w:tcPr>
          <w:p>
            <w:pPr>
              <w:jc w:val="right"/>
              <w:ind w:right="1112"/>
              <w:spacing w:after="0"/>
              <w:rPr>
                <w:sz w:val="20"/>
                <w:szCs w:val="20"/>
                <w:color w:val="auto"/>
              </w:rPr>
            </w:pPr>
            <w:r>
              <w:rPr>
                <w:rFonts w:ascii="Arial" w:cs="Arial" w:eastAsia="Arial" w:hAnsi="Arial"/>
                <w:sz w:val="18"/>
                <w:szCs w:val="18"/>
                <w:b w:val="1"/>
                <w:bCs w:val="1"/>
                <w:color w:val="auto"/>
                <w:w w:val="99"/>
              </w:rPr>
              <w:t>1-10658</w:t>
            </w:r>
          </w:p>
        </w:tc>
        <w:tc>
          <w:tcPr>
            <w:tcW w:w="2920" w:type="dxa"/>
            <w:vAlign w:val="bottom"/>
          </w:tcPr>
          <w:p>
            <w:pPr>
              <w:spacing w:after="0"/>
              <w:rPr>
                <w:sz w:val="24"/>
                <w:szCs w:val="24"/>
                <w:color w:val="auto"/>
              </w:rPr>
            </w:pPr>
          </w:p>
        </w:tc>
      </w:tr>
      <w:tr>
        <w:trPr>
          <w:trHeight w:val="574"/>
        </w:trPr>
        <w:tc>
          <w:tcPr>
            <w:tcW w:w="480" w:type="dxa"/>
            <w:vAlign w:val="bottom"/>
          </w:tcPr>
          <w:p>
            <w:pPr>
              <w:spacing w:after="0"/>
              <w:rPr>
                <w:sz w:val="24"/>
                <w:szCs w:val="24"/>
                <w:color w:val="auto"/>
              </w:rPr>
            </w:pPr>
          </w:p>
        </w:tc>
        <w:tc>
          <w:tcPr>
            <w:tcW w:w="10660" w:type="dxa"/>
            <w:vAlign w:val="bottom"/>
            <w:gridSpan w:val="6"/>
          </w:tcPr>
          <w:p>
            <w:pPr>
              <w:jc w:val="center"/>
              <w:ind w:right="112"/>
              <w:spacing w:after="0"/>
              <w:rPr>
                <w:sz w:val="20"/>
                <w:szCs w:val="20"/>
                <w:color w:val="auto"/>
              </w:rPr>
            </w:pPr>
            <w:r>
              <w:rPr>
                <w:rFonts w:ascii="Arial" w:cs="Arial" w:eastAsia="Arial" w:hAnsi="Arial"/>
                <w:sz w:val="32"/>
                <w:szCs w:val="32"/>
                <w:b w:val="1"/>
                <w:bCs w:val="1"/>
                <w:color w:val="auto"/>
                <w:w w:val="91"/>
              </w:rPr>
              <w:t>Micron Technology, Inc.</w:t>
            </w:r>
          </w:p>
        </w:tc>
      </w:tr>
      <w:tr>
        <w:trPr>
          <w:trHeight w:val="222"/>
        </w:trPr>
        <w:tc>
          <w:tcPr>
            <w:tcW w:w="480" w:type="dxa"/>
            <w:vAlign w:val="bottom"/>
          </w:tcPr>
          <w:p>
            <w:pPr>
              <w:spacing w:after="0"/>
              <w:rPr>
                <w:sz w:val="19"/>
                <w:szCs w:val="19"/>
                <w:color w:val="auto"/>
              </w:rPr>
            </w:pPr>
          </w:p>
        </w:tc>
        <w:tc>
          <w:tcPr>
            <w:tcW w:w="10660" w:type="dxa"/>
            <w:vAlign w:val="bottom"/>
            <w:gridSpan w:val="6"/>
          </w:tcPr>
          <w:p>
            <w:pPr>
              <w:jc w:val="center"/>
              <w:ind w:right="112"/>
              <w:spacing w:after="0"/>
              <w:rPr>
                <w:sz w:val="20"/>
                <w:szCs w:val="20"/>
                <w:color w:val="auto"/>
              </w:rPr>
            </w:pPr>
            <w:r>
              <w:rPr>
                <w:rFonts w:ascii="Arial" w:cs="Arial" w:eastAsia="Arial" w:hAnsi="Arial"/>
                <w:sz w:val="18"/>
                <w:szCs w:val="18"/>
                <w:color w:val="auto"/>
                <w:w w:val="88"/>
              </w:rPr>
              <w:t>(Exact name of registrant as specified in its charter)</w:t>
            </w:r>
          </w:p>
        </w:tc>
      </w:tr>
      <w:tr>
        <w:trPr>
          <w:trHeight w:val="426"/>
        </w:trPr>
        <w:tc>
          <w:tcPr>
            <w:tcW w:w="480" w:type="dxa"/>
            <w:vAlign w:val="bottom"/>
          </w:tcPr>
          <w:p>
            <w:pPr>
              <w:spacing w:after="0"/>
              <w:rPr>
                <w:sz w:val="24"/>
                <w:szCs w:val="24"/>
                <w:color w:val="auto"/>
              </w:rPr>
            </w:pPr>
          </w:p>
        </w:tc>
        <w:tc>
          <w:tcPr>
            <w:tcW w:w="5860" w:type="dxa"/>
            <w:vAlign w:val="bottom"/>
            <w:gridSpan w:val="2"/>
          </w:tcPr>
          <w:p>
            <w:pPr>
              <w:jc w:val="center"/>
              <w:ind w:right="800"/>
              <w:spacing w:after="0"/>
              <w:rPr>
                <w:sz w:val="20"/>
                <w:szCs w:val="20"/>
                <w:color w:val="auto"/>
              </w:rPr>
            </w:pPr>
            <w:r>
              <w:rPr>
                <w:rFonts w:ascii="Arial" w:cs="Arial" w:eastAsia="Arial" w:hAnsi="Arial"/>
                <w:sz w:val="18"/>
                <w:szCs w:val="18"/>
                <w:b w:val="1"/>
                <w:bCs w:val="1"/>
                <w:color w:val="auto"/>
                <w:w w:val="88"/>
              </w:rPr>
              <w:t>Delaware</w:t>
            </w:r>
          </w:p>
        </w:tc>
        <w:tc>
          <w:tcPr>
            <w:tcW w:w="4800" w:type="dxa"/>
            <w:vAlign w:val="bottom"/>
            <w:gridSpan w:val="4"/>
          </w:tcPr>
          <w:p>
            <w:pPr>
              <w:jc w:val="center"/>
              <w:ind w:left="72"/>
              <w:spacing w:after="0"/>
              <w:rPr>
                <w:sz w:val="20"/>
                <w:szCs w:val="20"/>
                <w:color w:val="auto"/>
              </w:rPr>
            </w:pPr>
            <w:r>
              <w:rPr>
                <w:rFonts w:ascii="Arial" w:cs="Arial" w:eastAsia="Arial" w:hAnsi="Arial"/>
                <w:sz w:val="18"/>
                <w:szCs w:val="18"/>
                <w:b w:val="1"/>
                <w:bCs w:val="1"/>
                <w:color w:val="auto"/>
                <w:w w:val="87"/>
              </w:rPr>
              <w:t>75-1618004</w:t>
            </w:r>
          </w:p>
        </w:tc>
      </w:tr>
      <w:tr>
        <w:trPr>
          <w:trHeight w:val="216"/>
        </w:trPr>
        <w:tc>
          <w:tcPr>
            <w:tcW w:w="480" w:type="dxa"/>
            <w:vAlign w:val="bottom"/>
          </w:tcPr>
          <w:p>
            <w:pPr>
              <w:spacing w:after="0"/>
              <w:rPr>
                <w:sz w:val="18"/>
                <w:szCs w:val="18"/>
                <w:color w:val="auto"/>
              </w:rPr>
            </w:pPr>
          </w:p>
        </w:tc>
        <w:tc>
          <w:tcPr>
            <w:tcW w:w="5860" w:type="dxa"/>
            <w:vAlign w:val="bottom"/>
            <w:gridSpan w:val="2"/>
          </w:tcPr>
          <w:p>
            <w:pPr>
              <w:jc w:val="center"/>
              <w:ind w:right="820"/>
              <w:spacing w:after="0"/>
              <w:rPr>
                <w:sz w:val="20"/>
                <w:szCs w:val="20"/>
                <w:color w:val="auto"/>
              </w:rPr>
            </w:pPr>
            <w:r>
              <w:rPr>
                <w:rFonts w:ascii="Arial" w:cs="Arial" w:eastAsia="Arial" w:hAnsi="Arial"/>
                <w:sz w:val="18"/>
                <w:szCs w:val="18"/>
                <w:color w:val="auto"/>
                <w:w w:val="90"/>
              </w:rPr>
              <w:t>(State or other jurisdiction of</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920" w:type="dxa"/>
            <w:vAlign w:val="bottom"/>
          </w:tcPr>
          <w:p>
            <w:pPr>
              <w:jc w:val="center"/>
              <w:ind w:right="1632"/>
              <w:spacing w:after="0"/>
              <w:rPr>
                <w:sz w:val="20"/>
                <w:szCs w:val="20"/>
                <w:color w:val="auto"/>
              </w:rPr>
            </w:pPr>
            <w:r>
              <w:rPr>
                <w:rFonts w:ascii="Arial" w:cs="Arial" w:eastAsia="Arial" w:hAnsi="Arial"/>
                <w:sz w:val="18"/>
                <w:szCs w:val="18"/>
                <w:color w:val="auto"/>
                <w:w w:val="92"/>
              </w:rPr>
              <w:t>(IRS Employer</w:t>
            </w:r>
          </w:p>
        </w:tc>
      </w:tr>
      <w:tr>
        <w:trPr>
          <w:trHeight w:val="222"/>
        </w:trPr>
        <w:tc>
          <w:tcPr>
            <w:tcW w:w="480" w:type="dxa"/>
            <w:vAlign w:val="bottom"/>
          </w:tcPr>
          <w:p>
            <w:pPr>
              <w:spacing w:after="0"/>
              <w:rPr>
                <w:sz w:val="19"/>
                <w:szCs w:val="19"/>
                <w:color w:val="auto"/>
              </w:rPr>
            </w:pPr>
          </w:p>
        </w:tc>
        <w:tc>
          <w:tcPr>
            <w:tcW w:w="5860" w:type="dxa"/>
            <w:vAlign w:val="bottom"/>
            <w:gridSpan w:val="2"/>
          </w:tcPr>
          <w:p>
            <w:pPr>
              <w:jc w:val="center"/>
              <w:ind w:right="820"/>
              <w:spacing w:after="0"/>
              <w:rPr>
                <w:sz w:val="20"/>
                <w:szCs w:val="20"/>
                <w:color w:val="auto"/>
              </w:rPr>
            </w:pPr>
            <w:r>
              <w:rPr>
                <w:rFonts w:ascii="Arial" w:cs="Arial" w:eastAsia="Arial" w:hAnsi="Arial"/>
                <w:sz w:val="18"/>
                <w:szCs w:val="18"/>
                <w:color w:val="auto"/>
                <w:w w:val="90"/>
              </w:rPr>
              <w:t>incorporation or organization)</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160" w:type="dxa"/>
            <w:vAlign w:val="bottom"/>
            <w:gridSpan w:val="2"/>
          </w:tcPr>
          <w:p>
            <w:pPr>
              <w:jc w:val="center"/>
              <w:ind w:right="392"/>
              <w:spacing w:after="0"/>
              <w:rPr>
                <w:sz w:val="20"/>
                <w:szCs w:val="20"/>
                <w:color w:val="auto"/>
              </w:rPr>
            </w:pPr>
            <w:r>
              <w:rPr>
                <w:rFonts w:ascii="Arial" w:cs="Arial" w:eastAsia="Arial" w:hAnsi="Arial"/>
                <w:sz w:val="18"/>
                <w:szCs w:val="18"/>
                <w:color w:val="auto"/>
                <w:w w:val="94"/>
              </w:rPr>
              <w:t>Identification No.)</w:t>
            </w:r>
          </w:p>
        </w:tc>
      </w:tr>
      <w:tr>
        <w:trPr>
          <w:trHeight w:val="453"/>
        </w:trPr>
        <w:tc>
          <w:tcPr>
            <w:tcW w:w="480" w:type="dxa"/>
            <w:vAlign w:val="bottom"/>
          </w:tcPr>
          <w:p>
            <w:pPr>
              <w:spacing w:after="0"/>
              <w:rPr>
                <w:sz w:val="24"/>
                <w:szCs w:val="24"/>
                <w:color w:val="auto"/>
              </w:rPr>
            </w:pPr>
          </w:p>
        </w:tc>
        <w:tc>
          <w:tcPr>
            <w:tcW w:w="5860" w:type="dxa"/>
            <w:vAlign w:val="bottom"/>
            <w:gridSpan w:val="2"/>
          </w:tcPr>
          <w:p>
            <w:pPr>
              <w:jc w:val="center"/>
              <w:ind w:right="800"/>
              <w:spacing w:after="0"/>
              <w:rPr>
                <w:sz w:val="20"/>
                <w:szCs w:val="20"/>
                <w:color w:val="auto"/>
              </w:rPr>
            </w:pPr>
            <w:r>
              <w:rPr>
                <w:rFonts w:ascii="Arial" w:cs="Arial" w:eastAsia="Arial" w:hAnsi="Arial"/>
                <w:sz w:val="18"/>
                <w:szCs w:val="18"/>
                <w:b w:val="1"/>
                <w:bCs w:val="1"/>
                <w:color w:val="auto"/>
                <w:w w:val="87"/>
              </w:rPr>
              <w:t>8000 S. Federal Way, P.O. Box 6, Boise, Idaho</w:t>
            </w:r>
          </w:p>
        </w:tc>
        <w:tc>
          <w:tcPr>
            <w:tcW w:w="4800" w:type="dxa"/>
            <w:vAlign w:val="bottom"/>
            <w:gridSpan w:val="4"/>
          </w:tcPr>
          <w:p>
            <w:pPr>
              <w:jc w:val="center"/>
              <w:ind w:left="72"/>
              <w:spacing w:after="0"/>
              <w:rPr>
                <w:sz w:val="20"/>
                <w:szCs w:val="20"/>
                <w:color w:val="auto"/>
              </w:rPr>
            </w:pPr>
            <w:r>
              <w:rPr>
                <w:rFonts w:ascii="Arial" w:cs="Arial" w:eastAsia="Arial" w:hAnsi="Arial"/>
                <w:sz w:val="18"/>
                <w:szCs w:val="18"/>
                <w:b w:val="1"/>
                <w:bCs w:val="1"/>
                <w:color w:val="auto"/>
                <w:w w:val="87"/>
              </w:rPr>
              <w:t>83707-0006</w:t>
            </w:r>
          </w:p>
        </w:tc>
      </w:tr>
      <w:tr>
        <w:trPr>
          <w:trHeight w:val="222"/>
        </w:trPr>
        <w:tc>
          <w:tcPr>
            <w:tcW w:w="480" w:type="dxa"/>
            <w:vAlign w:val="bottom"/>
          </w:tcPr>
          <w:p>
            <w:pPr>
              <w:spacing w:after="0"/>
              <w:rPr>
                <w:sz w:val="19"/>
                <w:szCs w:val="19"/>
                <w:color w:val="auto"/>
              </w:rPr>
            </w:pPr>
          </w:p>
        </w:tc>
        <w:tc>
          <w:tcPr>
            <w:tcW w:w="5860" w:type="dxa"/>
            <w:vAlign w:val="bottom"/>
            <w:gridSpan w:val="2"/>
          </w:tcPr>
          <w:p>
            <w:pPr>
              <w:jc w:val="center"/>
              <w:ind w:right="800"/>
              <w:spacing w:after="0"/>
              <w:rPr>
                <w:sz w:val="20"/>
                <w:szCs w:val="20"/>
                <w:color w:val="auto"/>
              </w:rPr>
            </w:pPr>
            <w:r>
              <w:rPr>
                <w:rFonts w:ascii="Arial" w:cs="Arial" w:eastAsia="Arial" w:hAnsi="Arial"/>
                <w:sz w:val="18"/>
                <w:szCs w:val="18"/>
                <w:color w:val="auto"/>
                <w:w w:val="90"/>
              </w:rPr>
              <w:t>(Address of principal executive offices)</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920" w:type="dxa"/>
            <w:vAlign w:val="bottom"/>
          </w:tcPr>
          <w:p>
            <w:pPr>
              <w:jc w:val="center"/>
              <w:ind w:right="1632"/>
              <w:spacing w:after="0"/>
              <w:rPr>
                <w:sz w:val="20"/>
                <w:szCs w:val="20"/>
                <w:color w:val="auto"/>
              </w:rPr>
            </w:pPr>
            <w:r>
              <w:rPr>
                <w:rFonts w:ascii="Arial" w:cs="Arial" w:eastAsia="Arial" w:hAnsi="Arial"/>
                <w:sz w:val="18"/>
                <w:szCs w:val="18"/>
                <w:color w:val="auto"/>
                <w:w w:val="89"/>
              </w:rPr>
              <w:t>(Zip Code)</w:t>
            </w:r>
          </w:p>
        </w:tc>
      </w:tr>
      <w:tr>
        <w:trPr>
          <w:trHeight w:val="459"/>
        </w:trPr>
        <w:tc>
          <w:tcPr>
            <w:tcW w:w="480" w:type="dxa"/>
            <w:vAlign w:val="bottom"/>
          </w:tcPr>
          <w:p>
            <w:pPr>
              <w:spacing w:after="0"/>
              <w:rPr>
                <w:sz w:val="24"/>
                <w:szCs w:val="24"/>
                <w:color w:val="auto"/>
              </w:rPr>
            </w:pPr>
          </w:p>
        </w:tc>
        <w:tc>
          <w:tcPr>
            <w:tcW w:w="5860" w:type="dxa"/>
            <w:vAlign w:val="bottom"/>
            <w:gridSpan w:val="2"/>
          </w:tcPr>
          <w:p>
            <w:pPr>
              <w:jc w:val="center"/>
              <w:ind w:right="820"/>
              <w:spacing w:after="0"/>
              <w:rPr>
                <w:sz w:val="20"/>
                <w:szCs w:val="20"/>
                <w:color w:val="auto"/>
              </w:rPr>
            </w:pPr>
            <w:r>
              <w:rPr>
                <w:rFonts w:ascii="Arial" w:cs="Arial" w:eastAsia="Arial" w:hAnsi="Arial"/>
                <w:sz w:val="18"/>
                <w:szCs w:val="18"/>
                <w:b w:val="1"/>
                <w:bCs w:val="1"/>
                <w:color w:val="auto"/>
                <w:w w:val="86"/>
              </w:rPr>
              <w:t>Registrant's telephone number, including area code</w:t>
            </w:r>
          </w:p>
        </w:tc>
        <w:tc>
          <w:tcPr>
            <w:tcW w:w="4800" w:type="dxa"/>
            <w:vAlign w:val="bottom"/>
            <w:gridSpan w:val="4"/>
          </w:tcPr>
          <w:p>
            <w:pPr>
              <w:jc w:val="center"/>
              <w:ind w:left="72"/>
              <w:spacing w:after="0"/>
              <w:rPr>
                <w:sz w:val="20"/>
                <w:szCs w:val="20"/>
                <w:color w:val="auto"/>
              </w:rPr>
            </w:pPr>
            <w:r>
              <w:rPr>
                <w:rFonts w:ascii="Arial" w:cs="Arial" w:eastAsia="Arial" w:hAnsi="Arial"/>
                <w:sz w:val="18"/>
                <w:szCs w:val="18"/>
                <w:b w:val="1"/>
                <w:bCs w:val="1"/>
                <w:color w:val="auto"/>
                <w:w w:val="87"/>
              </w:rPr>
              <w:t>(208) 368-4000</w:t>
            </w:r>
          </w:p>
        </w:tc>
      </w:tr>
      <w:tr>
        <w:trPr>
          <w:trHeight w:val="420"/>
        </w:trPr>
        <w:tc>
          <w:tcPr>
            <w:tcW w:w="480" w:type="dxa"/>
            <w:vAlign w:val="bottom"/>
          </w:tcPr>
          <w:p>
            <w:pPr>
              <w:spacing w:after="0"/>
              <w:rPr>
                <w:sz w:val="24"/>
                <w:szCs w:val="24"/>
                <w:color w:val="auto"/>
              </w:rPr>
            </w:pPr>
          </w:p>
        </w:tc>
        <w:tc>
          <w:tcPr>
            <w:tcW w:w="5860" w:type="dxa"/>
            <w:vAlign w:val="bottom"/>
            <w:gridSpan w:val="2"/>
          </w:tcPr>
          <w:p>
            <w:pPr>
              <w:jc w:val="center"/>
              <w:ind w:right="800"/>
              <w:spacing w:after="0"/>
              <w:rPr>
                <w:sz w:val="20"/>
                <w:szCs w:val="20"/>
                <w:color w:val="auto"/>
              </w:rPr>
            </w:pPr>
            <w:r>
              <w:rPr>
                <w:rFonts w:ascii="Arial" w:cs="Arial" w:eastAsia="Arial" w:hAnsi="Arial"/>
                <w:sz w:val="18"/>
                <w:szCs w:val="18"/>
                <w:b w:val="1"/>
                <w:bCs w:val="1"/>
                <w:color w:val="auto"/>
                <w:w w:val="87"/>
              </w:rPr>
              <w:t>Securities registered pursuant to Section 12(b) of the Act:</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216"/>
        </w:trPr>
        <w:tc>
          <w:tcPr>
            <w:tcW w:w="480" w:type="dxa"/>
            <w:vAlign w:val="bottom"/>
          </w:tcPr>
          <w:p>
            <w:pPr>
              <w:spacing w:after="0"/>
              <w:rPr>
                <w:sz w:val="18"/>
                <w:szCs w:val="18"/>
                <w:color w:val="auto"/>
              </w:rPr>
            </w:pPr>
          </w:p>
        </w:tc>
        <w:tc>
          <w:tcPr>
            <w:tcW w:w="5860" w:type="dxa"/>
            <w:vAlign w:val="bottom"/>
            <w:gridSpan w:val="2"/>
          </w:tcPr>
          <w:p>
            <w:pPr>
              <w:jc w:val="center"/>
              <w:ind w:right="820"/>
              <w:spacing w:after="0"/>
              <w:rPr>
                <w:sz w:val="20"/>
                <w:szCs w:val="20"/>
                <w:color w:val="auto"/>
              </w:rPr>
            </w:pPr>
            <w:r>
              <w:rPr>
                <w:rFonts w:ascii="Arial" w:cs="Arial" w:eastAsia="Arial" w:hAnsi="Arial"/>
                <w:sz w:val="18"/>
                <w:szCs w:val="18"/>
                <w:b w:val="1"/>
                <w:bCs w:val="1"/>
                <w:color w:val="auto"/>
                <w:w w:val="85"/>
              </w:rPr>
              <w:t>Title of each class</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60" w:type="dxa"/>
            <w:vAlign w:val="bottom"/>
            <w:gridSpan w:val="2"/>
          </w:tcPr>
          <w:p>
            <w:pPr>
              <w:jc w:val="center"/>
              <w:ind w:right="392"/>
              <w:spacing w:after="0"/>
              <w:rPr>
                <w:sz w:val="20"/>
                <w:szCs w:val="20"/>
                <w:color w:val="auto"/>
              </w:rPr>
            </w:pPr>
            <w:r>
              <w:rPr>
                <w:rFonts w:ascii="Arial" w:cs="Arial" w:eastAsia="Arial" w:hAnsi="Arial"/>
                <w:sz w:val="18"/>
                <w:szCs w:val="18"/>
                <w:b w:val="1"/>
                <w:bCs w:val="1"/>
                <w:color w:val="auto"/>
                <w:w w:val="86"/>
              </w:rPr>
              <w:t>Name of each exchange on which registered</w:t>
            </w:r>
          </w:p>
        </w:tc>
      </w:tr>
      <w:tr>
        <w:trPr>
          <w:trHeight w:val="228"/>
        </w:trPr>
        <w:tc>
          <w:tcPr>
            <w:tcW w:w="480" w:type="dxa"/>
            <w:vAlign w:val="bottom"/>
          </w:tcPr>
          <w:p>
            <w:pPr>
              <w:spacing w:after="0"/>
              <w:rPr>
                <w:sz w:val="19"/>
                <w:szCs w:val="19"/>
                <w:color w:val="auto"/>
              </w:rPr>
            </w:pPr>
          </w:p>
        </w:tc>
        <w:tc>
          <w:tcPr>
            <w:tcW w:w="5860" w:type="dxa"/>
            <w:vAlign w:val="bottom"/>
            <w:gridSpan w:val="2"/>
          </w:tcPr>
          <w:p>
            <w:pPr>
              <w:jc w:val="center"/>
              <w:ind w:right="800"/>
              <w:spacing w:after="0"/>
              <w:rPr>
                <w:sz w:val="20"/>
                <w:szCs w:val="20"/>
                <w:color w:val="auto"/>
              </w:rPr>
            </w:pPr>
            <w:r>
              <w:rPr>
                <w:rFonts w:ascii="Arial" w:cs="Arial" w:eastAsia="Arial" w:hAnsi="Arial"/>
                <w:sz w:val="18"/>
                <w:szCs w:val="18"/>
                <w:b w:val="1"/>
                <w:bCs w:val="1"/>
                <w:color w:val="auto"/>
                <w:w w:val="88"/>
              </w:rPr>
              <w:t>Common Stock, par value $.10 per share</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160" w:type="dxa"/>
            <w:vAlign w:val="bottom"/>
            <w:gridSpan w:val="2"/>
          </w:tcPr>
          <w:p>
            <w:pPr>
              <w:jc w:val="center"/>
              <w:ind w:right="392"/>
              <w:spacing w:after="0"/>
              <w:rPr>
                <w:sz w:val="20"/>
                <w:szCs w:val="20"/>
                <w:color w:val="auto"/>
              </w:rPr>
            </w:pPr>
            <w:r>
              <w:rPr>
                <w:rFonts w:ascii="Arial" w:cs="Arial" w:eastAsia="Arial" w:hAnsi="Arial"/>
                <w:sz w:val="18"/>
                <w:szCs w:val="18"/>
                <w:b w:val="1"/>
                <w:bCs w:val="1"/>
                <w:color w:val="auto"/>
                <w:w w:val="88"/>
              </w:rPr>
              <w:t>New York Stock Exchange</w:t>
            </w:r>
          </w:p>
        </w:tc>
      </w:tr>
    </w:tbl>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None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w:t>
      </w:r>
    </w:p>
    <w:p>
      <w:pPr>
        <w:spacing w:after="0" w:line="219" w:lineRule="exact"/>
        <w:rPr>
          <w:sz w:val="24"/>
          <w:szCs w:val="24"/>
          <w:color w:val="auto"/>
        </w:rPr>
      </w:pPr>
    </w:p>
    <w:p>
      <w:pPr>
        <w:ind w:right="360" w:firstLine="351"/>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4"/>
          <w:szCs w:val="24"/>
          <w:color w:val="auto"/>
        </w:rPr>
      </w:pPr>
    </w:p>
    <w:p>
      <w:pPr>
        <w:ind w:firstLine="351"/>
        <w:spacing w:after="0" w:line="286" w:lineRule="auto"/>
        <w:rPr>
          <w:sz w:val="20"/>
          <w:szCs w:val="20"/>
          <w:color w:val="auto"/>
        </w:rPr>
      </w:pPr>
      <w:r>
        <w:rPr>
          <w:rFonts w:ascii="Arial" w:cs="Arial" w:eastAsia="Arial" w:hAnsi="Arial"/>
          <w:sz w:val="16"/>
          <w:szCs w:val="16"/>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w:t>
      </w:r>
    </w:p>
    <w:p>
      <w:pPr>
        <w:ind w:left="220" w:hanging="212"/>
        <w:spacing w:after="0" w:line="207" w:lineRule="exact"/>
        <w:tabs>
          <w:tab w:leader="none" w:pos="22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19" w:lineRule="exact"/>
        <w:rPr>
          <w:sz w:val="24"/>
          <w:szCs w:val="24"/>
          <w:color w:val="auto"/>
        </w:rPr>
      </w:pPr>
    </w:p>
    <w:p>
      <w:pPr>
        <w:ind w:right="80" w:firstLine="348"/>
        <w:spacing w:after="0" w:line="256" w:lineRule="auto"/>
        <w:rPr>
          <w:sz w:val="20"/>
          <w:szCs w:val="20"/>
          <w:color w:val="auto"/>
        </w:rPr>
      </w:pPr>
      <w:r>
        <w:rPr>
          <w:rFonts w:ascii="Arial" w:cs="Arial" w:eastAsia="Arial" w:hAnsi="Arial"/>
          <w:sz w:val="18"/>
          <w:szCs w:val="18"/>
          <w:color w:val="auto"/>
        </w:rPr>
        <w:t>The aggregate market value of the voting stock held by nonaffiliates of the registrant, based upon the closing price of such stock on September 27, 2002, as reported by the New York Stock Exchange, was approximately $5.3 billion. Shares of common stock held by each officer and director and by each person who owns 5% or more of the outstanding common stock have been excluded in that such persons may be deemed to be affiliates. This determination of affiliate status is not necessarily a conclusive determination for other purposes.</w:t>
      </w:r>
    </w:p>
    <w:p>
      <w:pPr>
        <w:spacing w:after="0" w:line="197" w:lineRule="exact"/>
        <w:rPr>
          <w:sz w:val="24"/>
          <w:szCs w:val="24"/>
          <w:color w:val="auto"/>
        </w:rPr>
      </w:pPr>
    </w:p>
    <w:p>
      <w:pPr>
        <w:ind w:left="360"/>
        <w:spacing w:after="0"/>
        <w:rPr>
          <w:sz w:val="20"/>
          <w:szCs w:val="20"/>
          <w:color w:val="auto"/>
        </w:rPr>
      </w:pPr>
      <w:r>
        <w:rPr>
          <w:rFonts w:ascii="Arial" w:cs="Arial" w:eastAsia="Arial" w:hAnsi="Arial"/>
          <w:sz w:val="18"/>
          <w:szCs w:val="18"/>
          <w:color w:val="auto"/>
        </w:rPr>
        <w:t>The number of outstanding shares of the registrant's common stock as of October 10, 2002, was 605,060,962.</w:t>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31" w:lineRule="exact"/>
        <w:rPr>
          <w:sz w:val="24"/>
          <w:szCs w:val="24"/>
          <w:color w:val="auto"/>
        </w:rPr>
      </w:pPr>
    </w:p>
    <w:p>
      <w:pPr>
        <w:ind w:right="140" w:firstLine="351"/>
        <w:spacing w:after="0" w:line="268" w:lineRule="auto"/>
        <w:rPr>
          <w:sz w:val="20"/>
          <w:szCs w:val="20"/>
          <w:color w:val="auto"/>
        </w:rPr>
      </w:pPr>
      <w:r>
        <w:rPr>
          <w:rFonts w:ascii="Arial" w:cs="Arial" w:eastAsia="Arial" w:hAnsi="Arial"/>
          <w:sz w:val="18"/>
          <w:szCs w:val="18"/>
          <w:color w:val="auto"/>
        </w:rPr>
        <w:t>Portions of the Proxy Statement for registrant's 2002 Annual Meeting of Shareholders to be held on November 26, 2002,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207010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292735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69" w:right="25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PART I</w:t>
      </w:r>
    </w:p>
    <w:p>
      <w:pPr>
        <w:sectPr>
          <w:pgSz w:w="11900" w:h="16838" w:orient="portrait"/>
          <w:cols w:equalWidth="0" w:num="1">
            <w:col w:w="11400"/>
          </w:cols>
          <w:pgMar w:left="240" w:top="469" w:right="259" w:bottom="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i w:val="1"/>
          <w:iCs w:val="1"/>
          <w:color w:val="auto"/>
        </w:rPr>
        <w:t>The following discussion contains trend information and other forward-looking statements that involve a number of risks and uncertainties. Forward-looking statements include, but are not limited to, statements such as those made in "Products" regarding the Company's expectation that DDR SDRAMs will be its primary product type in 2003, that demand for SDRAM is expected to continue for many consumer and communications applications, that the Company expects to begin shipping commercial volumes of 512 Meg DDR SDRAMs in 2003 and that the CMOS imaging market is expected to grow significantly, and in "Manufacturing" regarding the Company's transition to its .13µ and ..11µ line-width process technology and the possible outcomes of TECH's financing efforts. The Company's actual results could differ materially from the Company's historical results and those discussed in the forward-looking statements. Factors that could cause actual results to differ materially include, but are not limited to, those identified in "Item 7. Management's Discussion and Analysis of Financial Condition and Results of Operations—Certain Factors." All period references are to the Company's fiscal periods unless otherwise indicated.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Micron Technology, Inc., and its subsidiaries (hereinafter referred to collectively as the "Company") principally design, develop, manufacture and market semiconductor products. Micron Technology, Inc., a Delaware corporation, was incorporated in 1978. The Company's executive offices are located at 8000 South Federal Way, Boise, Idaho 83716-9632 and its telephone number is (208) 368-4000. Information about the Company is available on the internet at www.micron.com.</w:t>
      </w:r>
    </w:p>
    <w:p>
      <w:pPr>
        <w:spacing w:after="0" w:line="197"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On April 22, 2002, the Company acquired substantially all of the assets of Toshiba Corporation's ("Toshiba") DRAM operations at Dominion Semiconductor L.L.C. in Virginia. The total purchase price of $328 million included cash and 1.5 million shares of the Company's common stock. (See "Item 8. Financial Statements and Supplementary Data—Notes to Consolidated Financial Statements—Acquisitions—Toshiba Corporation DRAM Assets.")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231"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The Company designs, develops, manufactures and markets semiconductor products. The Company offers products with a wide variety of packaging and configuration options, architectures and performance characteristics to meet particular customer needs.</w:t>
      </w:r>
    </w:p>
    <w:p>
      <w:pPr>
        <w:spacing w:after="0" w:line="186"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b w:val="1"/>
          <w:bCs w:val="1"/>
          <w:i w:val="1"/>
          <w:iCs w:val="1"/>
          <w:color w:val="auto"/>
        </w:rPr>
        <w:t xml:space="preserve">Dynamic Random Access Memory ("DRAM"). </w:t>
      </w:r>
      <w:r>
        <w:rPr>
          <w:rFonts w:ascii="Arial" w:cs="Arial" w:eastAsia="Arial" w:hAnsi="Arial"/>
          <w:sz w:val="18"/>
          <w:szCs w:val="18"/>
          <w:color w:val="auto"/>
        </w:rPr>
        <w:t>DRAM is the Company's primary semiconductor product. DRAMs are high density, low-cost-per-bit,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random access memory components that store digital information and provide high-speed storage and retrieval of data. DRAMs are the most widely used semiconductor memory component in computer systems. DRAM sales represented approximately 95%, 87% and 94% of the Company's net sales in 2002, 2001 and 2000 respectively.</w:t>
      </w:r>
    </w:p>
    <w:p>
      <w:pPr>
        <w:spacing w:after="0" w:line="197"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In the fourth quarter of 2002, the Company transitioned from the 256 Meg synchronous DRAM ("SDRAM") to the 256 Meg Double Data Rate ("DDR") SDRAM as its primary product in production. DDR SDRAMs accounted for 21% of the Company's DRAM sales in 2002 and 1% of the Company's DRAM sales in 2001. Computer and networking manufacturers are transitioning from using SDRAM to DDR SDRAM as their primary DRAM products and the Company expects DDR SDRAMs to be its primary product type in 2003. The Company offers 128 Meg and 256 Meg DDR SDRAMs and SDRAMs in multiple configurations, speeds and package types.</w:t>
      </w:r>
    </w:p>
    <w:p>
      <w:pPr>
        <w:spacing w:after="0" w:line="197" w:lineRule="exact"/>
        <w:rPr>
          <w:sz w:val="20"/>
          <w:szCs w:val="20"/>
          <w:color w:val="auto"/>
        </w:rPr>
      </w:pPr>
    </w:p>
    <w:p>
      <w:pPr>
        <w:jc w:val="both"/>
        <w:ind w:right="400" w:firstLine="351"/>
        <w:spacing w:after="0" w:line="259" w:lineRule="auto"/>
        <w:rPr>
          <w:sz w:val="20"/>
          <w:szCs w:val="20"/>
          <w:color w:val="auto"/>
        </w:rPr>
      </w:pPr>
      <w:r>
        <w:rPr>
          <w:rFonts w:ascii="Arial" w:cs="Arial" w:eastAsia="Arial" w:hAnsi="Arial"/>
          <w:sz w:val="18"/>
          <w:szCs w:val="18"/>
          <w:color w:val="auto"/>
        </w:rPr>
        <w:t>SDRAMs were the Company's highest volume type of semiconductor memory sold by the Company throughout most of 2002. The Company's overall primary product sold in 2002 was the 128 Meg SDRAM, while the 256 Meg SDRAM was the Company's primary product in the third and fourth quarters of 2002. Although market demand has shifted from SDRAM to DDR devices for computing</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color w:val="auto"/>
        </w:rPr>
        <w:t>and other applications, demand for SDRAM is expected to continue for many consumer applications such as cell phones and hand held devices and for communications equipment.</w:t>
      </w:r>
    </w:p>
    <w:p>
      <w:pPr>
        <w:spacing w:after="0" w:line="186"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The Company is sampling 512 Meg and is developing 1 Gig DDR SDRAMs and expects to begin shipping commercial volumes of 512 Meg DDR SDRAMs in 2003. The Company continues to design and develop other DRAM products, including DDRII, DDRIII, reduced latency DRAM ("RLDRAM") and CellularRAM. The Company continues to provide key customers with legacy DRAM products such as extended data out ("EDO") and fast page mode ("FPM") and lower density products such as the 64 Meg and 16 Meg DRAM.</w:t>
      </w:r>
    </w:p>
    <w:p>
      <w:pPr>
        <w:spacing w:after="0" w:line="197"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b w:val="1"/>
          <w:bCs w:val="1"/>
          <w:i w:val="1"/>
          <w:iCs w:val="1"/>
          <w:color w:val="auto"/>
        </w:rPr>
        <w:t xml:space="preserve">Static Random Access Memory ("SRAM"). </w:t>
      </w:r>
      <w:r>
        <w:rPr>
          <w:rFonts w:ascii="Arial" w:cs="Arial" w:eastAsia="Arial" w:hAnsi="Arial"/>
          <w:sz w:val="16"/>
          <w:szCs w:val="16"/>
          <w:color w:val="auto"/>
        </w:rPr>
        <w:t>SRAMs are semiconductor devices that perform memory functions similar to DRAMs. SRAMs utilize a more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complex memory cell and do not require the memory array to be periodically refreshed. This simplifies system design for memory applications utilizing SRAM and allows SRAM to operate faster than DRAM, although SRAM has a higher cost-per-bit than DRAM. SRAMs are a key component in leading-edge telecommunications and networking applications where low latency is a critical system parameter. Sales of SRAM products represented approximately 2%, 4%, and 2% of the Company's net sales in 2002, 2001 and 2000, respectively.</w:t>
      </w:r>
    </w:p>
    <w:p>
      <w:pPr>
        <w:spacing w:after="0" w:line="170"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b w:val="1"/>
          <w:bCs w:val="1"/>
          <w:i w:val="1"/>
          <w:iCs w:val="1"/>
          <w:color w:val="auto"/>
        </w:rPr>
        <w:t xml:space="preserve">Flash Memory. </w:t>
      </w:r>
      <w:r>
        <w:rPr>
          <w:rFonts w:ascii="Arial" w:cs="Arial" w:eastAsia="Arial" w:hAnsi="Arial"/>
          <w:sz w:val="18"/>
          <w:szCs w:val="18"/>
          <w:color w:val="auto"/>
        </w:rPr>
        <w:t>Flash products are non-volatile semiconductor devices that retain memory content when the power is turned off, and are electrically re-writeable. Flash is used in networking applications, workstations, servers, PCs, and handheld electronic devices such as digital cellular phones, digital cameras, and digital music players. Sales of Flash devices represented approximately 2%, 3% and 1% of the Company's net sales in 2002, 2001 and 2000, respectively. Currently, the Company's Flash offerings are comprised of NOR-based products.</w:t>
      </w:r>
    </w:p>
    <w:p>
      <w:pPr>
        <w:spacing w:after="0" w:line="197"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b w:val="1"/>
          <w:bCs w:val="1"/>
          <w:i w:val="1"/>
          <w:iCs w:val="1"/>
          <w:color w:val="auto"/>
        </w:rPr>
        <w:t xml:space="preserve">Complementary Metal-Oxide Semiconductor ("CMOS") Imaging Sensors. </w:t>
      </w:r>
      <w:r>
        <w:rPr>
          <w:rFonts w:ascii="Arial" w:cs="Arial" w:eastAsia="Arial" w:hAnsi="Arial"/>
          <w:sz w:val="18"/>
          <w:szCs w:val="18"/>
          <w:color w:val="auto"/>
        </w:rPr>
        <w:t>Image sensors are semiconductor devices that capture images and process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them into pictures or video for a variety of consumer and industrial applications. The Company's CMOS imaging sensors are used in products such as miniature cellular phone cameras, digital cameras, consumable pill cameras for medical use, automotive headlight dimming and motion tracking systems. CMOS imaging is a new market for the Company and is expected to grow significantly over the next several years. Sales for CMOS imaging sensors accounted for less than 1% of the Company's net sales in 2002.</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31" w:lineRule="exact"/>
        <w:rPr>
          <w:sz w:val="20"/>
          <w:szCs w:val="20"/>
          <w:color w:val="auto"/>
        </w:rPr>
      </w:pPr>
    </w:p>
    <w:p>
      <w:pPr>
        <w:ind w:right="60" w:firstLine="348"/>
        <w:spacing w:after="0" w:line="332" w:lineRule="auto"/>
        <w:rPr>
          <w:sz w:val="20"/>
          <w:szCs w:val="20"/>
          <w:color w:val="auto"/>
        </w:rPr>
      </w:pPr>
      <w:r>
        <w:rPr>
          <w:rFonts w:ascii="Arial" w:cs="Arial" w:eastAsia="Arial" w:hAnsi="Arial"/>
          <w:sz w:val="16"/>
          <w:szCs w:val="16"/>
          <w:color w:val="auto"/>
        </w:rPr>
        <w:t>The Company is a leading global manufacturer of semiconductor products with manufacturing facilities located in the United States, Italy, Japan, Singapore, and Scotland. The Company's manufacturing facilities operate 24 hours per day, 7 days per week. The Company develops leading edge manufacturing process</w:t>
      </w:r>
    </w:p>
    <w:p>
      <w:pPr>
        <w:sectPr>
          <w:pgSz w:w="11900" w:h="16838" w:orient="portrait"/>
          <w:cols w:equalWidth="0" w:num="1">
            <w:col w:w="11420"/>
          </w:cols>
          <w:pgMar w:left="240" w:top="125" w:right="239" w:bottom="0" w:gutter="0" w:footer="0" w:header="0"/>
        </w:sectPr>
      </w:pPr>
    </w:p>
    <w:bookmarkStart w:id="2" w:name="page3"/>
    <w:bookmarkEnd w:id="2"/>
    <w:p>
      <w:pPr>
        <w:spacing w:after="0" w:line="123" w:lineRule="exact"/>
        <w:rPr>
          <w:sz w:val="20"/>
          <w:szCs w:val="20"/>
          <w:color w:val="auto"/>
        </w:rPr>
      </w:pPr>
    </w:p>
    <w:p>
      <w:pPr>
        <w:ind w:right="600"/>
        <w:spacing w:after="0" w:line="332" w:lineRule="auto"/>
        <w:rPr>
          <w:sz w:val="20"/>
          <w:szCs w:val="20"/>
          <w:color w:val="auto"/>
        </w:rPr>
      </w:pPr>
      <w:r>
        <w:rPr>
          <w:rFonts w:ascii="Arial" w:cs="Arial" w:eastAsia="Arial" w:hAnsi="Arial"/>
          <w:sz w:val="16"/>
          <w:szCs w:val="16"/>
          <w:color w:val="auto"/>
        </w:rPr>
        <w:t>technology primarily at its research and development wafer fabrication facility in Boise, Idaho. The Company's manufacturing process technology is then deployed to its various fabrication facilities, including its joint venture, TECH Semiconductor Singapore Pte. Ltd. ("TECH").</w:t>
      </w:r>
    </w:p>
    <w:p>
      <w:pPr>
        <w:spacing w:after="0" w:line="139"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The Company's process for manufacturing semiconductor products is complex, involving a number of precise steps, including wafer fabrication, assembly, burn-in and final test. Efficient production of semiconductor products requires utilization of advanced semiconductor manufacturing techniques and effective deployment of these techniques across multiple facilities. The primary determinants of manufacturing cost are die size, number of mask layers and yield of acceptable die produced on each wafer. Other factors that contribute to manufacturing costs are wafer size, number of fabrication steps, cost and sophistication of manufacturing equipment, equipment utilization, process complexity, cost of raw materials, labor productivity, package type and cleanliness of the manufacturing environment. The Company is continuously enhancing production processes, reducing the die size of existing products and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color w:val="auto"/>
        </w:rPr>
        <w:t>transitioning to higher density products. The Company expects to substantially complete the transition of its manufacturing operations to its .13µ line-width process technology in 2003 and to move a portion of its manufacturing operations to its .11µ line-width process technology in calendar 2003.</w:t>
      </w:r>
    </w:p>
    <w:p>
      <w:pPr>
        <w:spacing w:after="0" w:line="139"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Wafer fabrication occurs in a highly controlled, clean environment to minimize dust and other yield-and quality-limiting contaminants. Despite stringent manufacturing controls, dust particles, equipment errors, minute impurities in materials, defects in photomasks and circuit design marginalities or other problems cause wafers to be scrapped or individual circuits to be nonfunctional. Success of the Company's manufacturing operations depends largely on minimizing defects and thereby maximizing yield of high-quality circuits. In this regard, the Company employs rigorous quality controls throughout the manufacturing, screening and testing processes. The Company is able to recover many nonstandard devices by testing and grading them to their highest level of functionality.</w:t>
      </w:r>
    </w:p>
    <w:p>
      <w:pPr>
        <w:spacing w:after="0" w:line="170" w:lineRule="exact"/>
        <w:rPr>
          <w:sz w:val="20"/>
          <w:szCs w:val="20"/>
          <w:color w:val="auto"/>
        </w:rPr>
      </w:pPr>
    </w:p>
    <w:p>
      <w:pPr>
        <w:ind w:right="20" w:firstLine="341"/>
        <w:spacing w:after="0" w:line="294" w:lineRule="auto"/>
        <w:rPr>
          <w:sz w:val="20"/>
          <w:szCs w:val="20"/>
          <w:color w:val="auto"/>
        </w:rPr>
      </w:pPr>
      <w:r>
        <w:rPr>
          <w:rFonts w:ascii="Arial" w:cs="Arial" w:eastAsia="Arial" w:hAnsi="Arial"/>
          <w:sz w:val="16"/>
          <w:szCs w:val="16"/>
          <w:color w:val="auto"/>
        </w:rPr>
        <w:t>After fabrication, silicon wafers are separated into individual die. Functional die are sorted, connected to external leads and encapsulated in plastic packages. Each completed package is then inspected and tested. The Company also sells semiconductor products in die and wafer form. The Company tests its products at various stages in the manufacturing process, performs high temperature burn-in on finished products and conducts numerous quality control inspections throughout the entire production flow. In addition, the Company uses its proprietary AMBYX™ line of intelligent test and burn-in systems to perform simultaneous circuit tests of all die during the burn-in process, capturing quality and reliability data and reducing testing time and cost.</w:t>
      </w:r>
    </w:p>
    <w:p>
      <w:pPr>
        <w:spacing w:after="0" w:line="170" w:lineRule="exact"/>
        <w:rPr>
          <w:sz w:val="20"/>
          <w:szCs w:val="20"/>
          <w:color w:val="auto"/>
        </w:rPr>
      </w:pPr>
    </w:p>
    <w:p>
      <w:pPr>
        <w:ind w:right="60" w:firstLine="341"/>
        <w:spacing w:after="0" w:line="256" w:lineRule="auto"/>
        <w:rPr>
          <w:sz w:val="20"/>
          <w:szCs w:val="20"/>
          <w:color w:val="auto"/>
        </w:rPr>
      </w:pPr>
      <w:r>
        <w:rPr>
          <w:rFonts w:ascii="Arial" w:cs="Arial" w:eastAsia="Arial" w:hAnsi="Arial"/>
          <w:sz w:val="18"/>
          <w:szCs w:val="18"/>
          <w:color w:val="auto"/>
        </w:rPr>
        <w:t>A significant portion of the Company's memory products are assembled into memory modules for sale to customers. Memory modules consist of an array of memory components attached to printed circuit boards ("PCBs") that connect to computer systems or other electronic devices. Memory components are attached to PCBs in a soldering process performed by screen printing machines and high speed automated pick and place machines. Completed modules are tested by custom equipment and visual inspection.</w:t>
      </w:r>
    </w:p>
    <w:p>
      <w:pPr>
        <w:spacing w:after="0" w:line="197" w:lineRule="exact"/>
        <w:rPr>
          <w:sz w:val="20"/>
          <w:szCs w:val="20"/>
          <w:color w:val="auto"/>
        </w:rPr>
      </w:pPr>
    </w:p>
    <w:p>
      <w:pPr>
        <w:ind w:right="180" w:firstLine="348"/>
        <w:spacing w:after="0" w:line="332" w:lineRule="auto"/>
        <w:rPr>
          <w:sz w:val="20"/>
          <w:szCs w:val="20"/>
          <w:color w:val="auto"/>
        </w:rPr>
      </w:pPr>
      <w:r>
        <w:rPr>
          <w:rFonts w:ascii="Arial" w:cs="Arial" w:eastAsia="Arial" w:hAnsi="Arial"/>
          <w:sz w:val="16"/>
          <w:szCs w:val="16"/>
          <w:color w:val="auto"/>
        </w:rPr>
        <w:t>The recently acquired wafer fabrication facility in Virginia presently manufactures memory devices utilizing Toshiba's 200mm wafer process, for purchase solely by Toshiba. The Company expects to transition its product and process technology into this facility over the next three to six months.</w:t>
      </w:r>
    </w:p>
    <w:p>
      <w:pPr>
        <w:spacing w:after="0" w:line="139"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b w:val="1"/>
          <w:bCs w:val="1"/>
          <w:i w:val="1"/>
          <w:iCs w:val="1"/>
          <w:color w:val="auto"/>
        </w:rPr>
        <w:t xml:space="preserve">TECH Semiconductor Singapore Pte. Ltd. </w:t>
      </w:r>
      <w:r>
        <w:rPr>
          <w:rFonts w:ascii="Arial" w:cs="Arial" w:eastAsia="Arial" w:hAnsi="Arial"/>
          <w:sz w:val="18"/>
          <w:szCs w:val="18"/>
          <w:color w:val="auto"/>
        </w:rPr>
        <w:t>TECH is a memory manufacturing joint venture in Singapore among Micron Technology, Inc., the Singapore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Economic Development Board, Canon Inc. and Hewlett-Packard Company. TECH's semiconductor manufacturing facilities use the Company's product and process technology.</w:t>
      </w:r>
    </w:p>
    <w:p>
      <w:pPr>
        <w:spacing w:after="0" w:line="194" w:lineRule="exact"/>
        <w:rPr>
          <w:sz w:val="20"/>
          <w:szCs w:val="20"/>
          <w:color w:val="auto"/>
        </w:rPr>
      </w:pPr>
    </w:p>
    <w:p>
      <w:pPr>
        <w:ind w:right="280" w:firstLine="351"/>
        <w:spacing w:after="0" w:line="254" w:lineRule="auto"/>
        <w:rPr>
          <w:sz w:val="20"/>
          <w:szCs w:val="20"/>
          <w:color w:val="auto"/>
        </w:rPr>
      </w:pPr>
      <w:r>
        <w:rPr>
          <w:rFonts w:ascii="Arial" w:cs="Arial" w:eastAsia="Arial" w:hAnsi="Arial"/>
          <w:sz w:val="18"/>
          <w:szCs w:val="18"/>
          <w:color w:val="auto"/>
        </w:rPr>
        <w:t>Subject to specific terms and conditions, the Company has agreed to purchase all of the products manufactured by TECH. TECH supplied approximately 20%, 25% and 20% of the total megabits of memory produced by the Company in 2002, 2001 and 2000, respectively. The Company generally purchases semiconductor memory products from TECH at prices determined quarterly, based on a discount from average selling prices realized by the Company for the immediately preceding quarter. The Company performs assembly and test services on product manufactured by TECH. The Company also provides certain technology, engineering, and training to support TECH. All of these transactions with TECH are recognized as part of the net cost of products purchased from TECH.</w:t>
      </w:r>
    </w:p>
    <w:p>
      <w:pPr>
        <w:spacing w:after="0" w:line="198" w:lineRule="exact"/>
        <w:rPr>
          <w:sz w:val="20"/>
          <w:szCs w:val="20"/>
          <w:color w:val="auto"/>
        </w:rPr>
      </w:pPr>
    </w:p>
    <w:p>
      <w:pPr>
        <w:ind w:right="100" w:firstLine="348"/>
        <w:spacing w:after="0" w:line="255" w:lineRule="auto"/>
        <w:rPr>
          <w:sz w:val="20"/>
          <w:szCs w:val="20"/>
          <w:color w:val="auto"/>
        </w:rPr>
      </w:pPr>
      <w:r>
        <w:rPr>
          <w:rFonts w:ascii="Arial" w:cs="Arial" w:eastAsia="Arial" w:hAnsi="Arial"/>
          <w:sz w:val="18"/>
          <w:szCs w:val="18"/>
          <w:color w:val="auto"/>
        </w:rPr>
        <w:t>TECH's existing credit facility expires in December 2003, and TECH is currently seeking external financing to replace its maturing loans and fund ongoing operations. If TECH's financing efforts are unsuccessful, the Company and other TECH shareholders may be requested to invest additional capital in TECH. If TECH is unable to obtain new financing or additional capital from its shareholders, it would likely have to discontinue its capital spending and may have to alter its operations. The Company's source of supply from TECH could be reduced or eliminated if TECH is unable to obtain required financing. The Company has pledged $50 million as cash collateral for TECH's fully-drawn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540"/>
        <w:spacing w:after="0" w:line="306" w:lineRule="auto"/>
        <w:rPr>
          <w:sz w:val="20"/>
          <w:szCs w:val="20"/>
          <w:color w:val="auto"/>
        </w:rPr>
      </w:pPr>
      <w:r>
        <w:rPr>
          <w:rFonts w:ascii="Arial" w:cs="Arial" w:eastAsia="Arial" w:hAnsi="Arial"/>
          <w:sz w:val="16"/>
          <w:szCs w:val="16"/>
          <w:color w:val="auto"/>
        </w:rPr>
        <w:t>line of credit. As of August 29, 2002, the Company had remaining unamortized costs of $77 million included in intangible assets relating to the supply arrangement to purchase product from TECH. In the event that the Company's supply of semiconductor products from TECH is reduced or eliminated, the Company may be required to write off part or all of these assets and the Company's results of operations could be adversely affected.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Availability of Raw Materials</w:t>
      </w:r>
    </w:p>
    <w:p>
      <w:pPr>
        <w:spacing w:after="0" w:line="231"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The Company requires raw materials that meet exacting standards. The Company generally has multiple sources of supply; however, only a limited number of suppliers are capable of delivering certain raw materials that meet the Company's standards. Various factors could reduce the availability of raw materials such as silicon wafers, photomasks, chemicals, gases, lead frames and molding compound. In addition, any transportation problems could delay the Company's receipt of raw materials. Although raw materials shortages or transportation problems have not interrupted the Company's operations in the past, shortages may occur from time to time in the future. Also, lead times for the supply of raw materials have been extended in the past. If the Company's supply of raw materials is interrupted, or lead times are extended, results of operations could be adversely affected.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Customers</w:t>
      </w:r>
    </w:p>
    <w:p>
      <w:pPr>
        <w:spacing w:after="0" w:line="231" w:lineRule="exact"/>
        <w:rPr>
          <w:sz w:val="20"/>
          <w:szCs w:val="20"/>
          <w:color w:val="auto"/>
        </w:rPr>
      </w:pPr>
    </w:p>
    <w:p>
      <w:pPr>
        <w:ind w:firstLine="348"/>
        <w:spacing w:after="0" w:line="370" w:lineRule="auto"/>
        <w:rPr>
          <w:sz w:val="20"/>
          <w:szCs w:val="20"/>
          <w:color w:val="auto"/>
        </w:rPr>
      </w:pPr>
      <w:r>
        <w:rPr>
          <w:rFonts w:ascii="Arial" w:cs="Arial" w:eastAsia="Arial" w:hAnsi="Arial"/>
          <w:sz w:val="15"/>
          <w:szCs w:val="15"/>
          <w:color w:val="auto"/>
        </w:rPr>
        <w:t>The Company's products are sold primarily through computing, networking and telecommunications, and imaging groups. Approximately 80% of the Company's sales of semiconductor products for 2002 were to the computer market. Sales to Dell Computer Corporation exceeded 10% of the Company's net sales</w:t>
      </w:r>
    </w:p>
    <w:p>
      <w:pPr>
        <w:sectPr>
          <w:pgSz w:w="11900" w:h="16962" w:orient="portrait"/>
          <w:cols w:equalWidth="0" w:num="1">
            <w:col w:w="11400"/>
          </w:cols>
          <w:pgMar w:left="240" w:top="131" w:right="259" w:bottom="0" w:gutter="0" w:footer="0" w:header="0"/>
        </w:sectPr>
      </w:pPr>
    </w:p>
    <w:bookmarkStart w:id="3" w:name="page4"/>
    <w:bookmarkEnd w:id="3"/>
    <w:p>
      <w:pPr>
        <w:spacing w:after="0" w:line="10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2002, 2001 and 2000. Aggregate sales to Hewlett-Packard Company and Compaq Computer Corporation (which merged on May 3, 2002) exceeded 10% of the Company's net sales in 2002, 2001 and 2000.</w:t>
      </w:r>
    </w:p>
    <w:p>
      <w:pPr>
        <w:spacing w:after="0" w:line="186" w:lineRule="exact"/>
        <w:rPr>
          <w:sz w:val="20"/>
          <w:szCs w:val="20"/>
          <w:color w:val="auto"/>
        </w:rPr>
      </w:pPr>
    </w:p>
    <w:p>
      <w:pPr>
        <w:ind w:right="180" w:firstLine="348"/>
        <w:spacing w:after="0" w:line="290" w:lineRule="auto"/>
        <w:rPr>
          <w:sz w:val="20"/>
          <w:szCs w:val="20"/>
          <w:color w:val="auto"/>
        </w:rPr>
      </w:pPr>
      <w:r>
        <w:rPr>
          <w:rFonts w:ascii="Arial" w:cs="Arial" w:eastAsia="Arial" w:hAnsi="Arial"/>
          <w:sz w:val="16"/>
          <w:szCs w:val="16"/>
          <w:color w:val="auto"/>
        </w:rPr>
        <w:t>The Company markets its semiconductor products primarily through its own direct sales force. The Company maintains inventory at locations in close proximity to certain key customers to facilitate rapid delivery of product shipments. The Company's products are also offered through independent sales representatives, distributors and its retail sales division, Crucial Technology. The Company's products are offered under the Micron, SpecTek and Crucial brand names, and under other private labels. The Company maintains semiconductor sales offices in North America, Europe, Asia and Japan. Sales representatives obtain orders subject to final acceptance by the Company and are compensated on a commission basis. The Company makes shipments against these orders directly to the customer. Distributors carry the Company's products in inventory and typically sell a variety of other semiconductor products, including competitors' products. The Company's products are also offered through Crucial Technology's website.</w:t>
      </w:r>
    </w:p>
    <w:p>
      <w:pPr>
        <w:spacing w:after="0" w:line="172"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The semiconductor memory industry is characterized by volatile market conditions, declining average selling prices, rapid technological change, frequent product introductions and enhancements, difficult product transitions and relatively short product life cycles. In 2002, the semiconductor market experienced a transition from synchronous DRAMs to DDR SDRAMs as the most popular type of semiconductor memory. Technology transitions, resulting from changing market demand, can make it very difficult to optimize product mix. In addition, diversification of the DRAM market continues, with diverse memory needs being driven by the different requirements of desktop and notebook PC's, servers, workstations, handheld devices, and communications, industrial and other applications that demand specific memory solutions. Many of the Company's customers require a thorough review or "qualification" of semiconductor products, which may take several months. As the Company further diversifies its product lines and reduces the die sizes of existing memory products, more products become subject to qualification. There can be no assurance that new products will be qualified for purchase by existing or potential customers.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31"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Volatile industry conditions make it difficult for many customers to enter into long-term, fixed-price contracts. Accordingly, new order volumes for the Company's semiconductor products fluctuate significantly. Orders are typically accepted with acknowledgment that the terms may be adjusted to reflect market conditions at the shipping date. Customers can change delivery schedules or cancel orders without significant penalty. For these reasons, the Company does not believe that its order backlog as of any particular date is a reliable indicator of actual sales for any succeeding period.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Warranty</w:t>
      </w:r>
    </w:p>
    <w:p>
      <w:pPr>
        <w:spacing w:after="0" w:line="231"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Because the design and production process for semiconductor products is highly complex, it is possible that the Company may produce products that do not comply with customer specifications, contain defects or are otherwise incompatible with end uses. In accordance with industry practice, the Company generally provides a limited warranty that its semiconductor products are in compliance with Company specifications existing at the time of delivery. Under the Company's general terms and conditions of sale, liability for certain failures of product during a stated warranty period is usually limited to repair or replacement of defective items or return of, or a credit with respect to, amounts paid for such items. Under certain circumstances the Company may provide more extensive limited warranty coverage and general legal principles may, under certain circumstances, impose upon the Company more extensive liability than that provided under the Company's general terms and conditions.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1"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Company faces intense competition from a number of companies, some of which are large corporations or conglomerates (e.g. Samsung Semiconductor, Inc.) that may have greater resources or government support to withstand downturns in the semiconductor memory market, invest in technology and capitalize on growth opportunities. These competitors seek to improve yields, reduce die size and decrease mask levels in their product designs. These factors have significantly increased worldwide supply and put downward pressures on prices.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31" w:lineRule="exact"/>
        <w:rPr>
          <w:sz w:val="20"/>
          <w:szCs w:val="20"/>
          <w:color w:val="auto"/>
        </w:rPr>
      </w:pPr>
    </w:p>
    <w:p>
      <w:pPr>
        <w:jc w:val="both"/>
        <w:ind w:right="40" w:firstLine="348"/>
        <w:spacing w:after="0" w:line="306" w:lineRule="auto"/>
        <w:rPr>
          <w:sz w:val="20"/>
          <w:szCs w:val="20"/>
          <w:color w:val="auto"/>
        </w:rPr>
      </w:pPr>
      <w:r>
        <w:rPr>
          <w:rFonts w:ascii="Arial" w:cs="Arial" w:eastAsia="Arial" w:hAnsi="Arial"/>
          <w:sz w:val="16"/>
          <w:szCs w:val="16"/>
          <w:color w:val="auto"/>
        </w:rPr>
        <w:t>To compete in the semiconductor memory industry, the Company must continue to develop technologically advanced products and processes. The Company believes that expansion of its semiconductor product offerings is necessary to meet expected market demand for specific memory solutions. The Company's total research and development expenses were $561 million, $490 million and $427 million in 2002, 2001 and 2000, respectively.</w:t>
      </w:r>
    </w:p>
    <w:p>
      <w:pPr>
        <w:spacing w:after="0" w:line="161" w:lineRule="exact"/>
        <w:rPr>
          <w:sz w:val="20"/>
          <w:szCs w:val="20"/>
          <w:color w:val="auto"/>
        </w:rPr>
      </w:pPr>
    </w:p>
    <w:p>
      <w:pPr>
        <w:ind w:right="80" w:firstLine="351"/>
        <w:spacing w:after="0" w:line="335" w:lineRule="auto"/>
        <w:rPr>
          <w:sz w:val="20"/>
          <w:szCs w:val="20"/>
          <w:color w:val="auto"/>
        </w:rPr>
      </w:pPr>
      <w:r>
        <w:rPr>
          <w:rFonts w:ascii="Arial" w:cs="Arial" w:eastAsia="Arial" w:hAnsi="Arial"/>
          <w:sz w:val="15"/>
          <w:szCs w:val="15"/>
          <w:color w:val="auto"/>
        </w:rPr>
        <w:t>Research and development expenses vary primarily with the number of development wafers processed, the cost of advanced equipment dedicated to new product and process development, and personnel costs. Product development costs are recorded as research and development expense. Development of a product is deemed complete once the product has been thoroughly reviewed and tested for performance and reliability and is internally qualified for sale to customers.</w:t>
      </w:r>
    </w:p>
    <w:p>
      <w:pPr>
        <w:spacing w:after="0" w:line="142" w:lineRule="exact"/>
        <w:rPr>
          <w:sz w:val="20"/>
          <w:szCs w:val="20"/>
          <w:color w:val="auto"/>
        </w:rPr>
      </w:pPr>
    </w:p>
    <w:p>
      <w:pPr>
        <w:ind w:right="100" w:firstLine="348"/>
        <w:spacing w:after="0" w:line="254" w:lineRule="auto"/>
        <w:rPr>
          <w:sz w:val="20"/>
          <w:szCs w:val="20"/>
          <w:color w:val="auto"/>
        </w:rPr>
      </w:pPr>
      <w:r>
        <w:rPr>
          <w:rFonts w:ascii="Arial" w:cs="Arial" w:eastAsia="Arial" w:hAnsi="Arial"/>
          <w:sz w:val="18"/>
          <w:szCs w:val="18"/>
          <w:color w:val="auto"/>
        </w:rPr>
        <w:t>The Company's DRAM process technology research and development efforts are focused on its .11µ and .095µ process technologies, which are designed to facilitate the Company's transition to next generation products. Additional process development work includes processes to support Flash, SRAM, CMOS imagers, Content Addressable Memory ("CAM"), embedded memory and new memory materials. In addition to its process technology efforts, the Company continues to emphasize product designs that utilize advanced process technology. Efforts towards the design and development of new products are concentrated on the Company's 512 Meg and 1 Gig DDR SDRAMs, DDRII and DDRIII SDRAMs, Flash and SRAM memory products, CellularRAM, embedded memory, CAM, CMOS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imagers and advanced DRAM technology products. The Company is establishing a pilot line to process limited volumes of 300-millimeter ("300mm") wafers.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Sales</w:t>
      </w:r>
    </w:p>
    <w:p>
      <w:pPr>
        <w:spacing w:after="0" w:line="231" w:lineRule="exact"/>
        <w:rPr>
          <w:sz w:val="20"/>
          <w:szCs w:val="20"/>
          <w:color w:val="auto"/>
        </w:rPr>
      </w:pPr>
    </w:p>
    <w:p>
      <w:pPr>
        <w:jc w:val="both"/>
        <w:ind w:right="540" w:firstLine="351"/>
        <w:spacing w:after="0" w:line="332" w:lineRule="auto"/>
        <w:rPr>
          <w:sz w:val="20"/>
          <w:szCs w:val="20"/>
          <w:color w:val="auto"/>
        </w:rPr>
      </w:pPr>
      <w:r>
        <w:rPr>
          <w:rFonts w:ascii="Arial" w:cs="Arial" w:eastAsia="Arial" w:hAnsi="Arial"/>
          <w:sz w:val="16"/>
          <w:szCs w:val="16"/>
          <w:color w:val="auto"/>
        </w:rPr>
        <w:t>Sales to customers outside the United States totaled $1.4 billion for 2002 and included approximately $544 million in sales to the Asia Pacific region, $461 million in sales to Europe and $264 million in sales to Japan. International sales totaled $1.8 billion for 2001 and $2.8 billion for 2000. (See "Item 8.</w:t>
      </w:r>
    </w:p>
    <w:p>
      <w:pPr>
        <w:sectPr>
          <w:pgSz w:w="11900" w:h="16939" w:orient="portrait"/>
          <w:cols w:equalWidth="0" w:num="1">
            <w:col w:w="11400"/>
          </w:cols>
          <w:pgMar w:left="240" w:top="131" w:right="259" w:bottom="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Financial Statements and Supplementary Data—Notes to Consolidated Financial Statements—Geographic Information.")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Licenses</w:t>
      </w:r>
    </w:p>
    <w:p>
      <w:pPr>
        <w:spacing w:after="0" w:line="231" w:lineRule="exact"/>
        <w:rPr>
          <w:sz w:val="20"/>
          <w:szCs w:val="20"/>
          <w:color w:val="auto"/>
        </w:rPr>
      </w:pPr>
    </w:p>
    <w:p>
      <w:pPr>
        <w:ind w:right="760" w:firstLine="348"/>
        <w:spacing w:after="0" w:line="268" w:lineRule="auto"/>
        <w:rPr>
          <w:sz w:val="20"/>
          <w:szCs w:val="20"/>
          <w:color w:val="auto"/>
        </w:rPr>
      </w:pPr>
      <w:r>
        <w:rPr>
          <w:rFonts w:ascii="Arial" w:cs="Arial" w:eastAsia="Arial" w:hAnsi="Arial"/>
          <w:sz w:val="18"/>
          <w:szCs w:val="18"/>
          <w:color w:val="auto"/>
        </w:rPr>
        <w:t>The Company owns approximately 8,200 United States patents and 560 foreign patents. In addition, the Company has numerous United States and international patent applications pending. The Company's patents have terms expiring from 2002 through 2021.</w:t>
      </w:r>
    </w:p>
    <w:p>
      <w:pPr>
        <w:spacing w:after="0" w:line="186" w:lineRule="exact"/>
        <w:rPr>
          <w:sz w:val="20"/>
          <w:szCs w:val="20"/>
          <w:color w:val="auto"/>
        </w:rPr>
      </w:pPr>
    </w:p>
    <w:p>
      <w:pPr>
        <w:ind w:right="20" w:firstLine="351"/>
        <w:spacing w:after="0" w:line="302" w:lineRule="auto"/>
        <w:rPr>
          <w:sz w:val="20"/>
          <w:szCs w:val="20"/>
          <w:color w:val="auto"/>
        </w:rPr>
      </w:pPr>
      <w:r>
        <w:rPr>
          <w:rFonts w:ascii="Arial" w:cs="Arial" w:eastAsia="Arial" w:hAnsi="Arial"/>
          <w:sz w:val="15"/>
          <w:szCs w:val="15"/>
          <w:color w:val="auto"/>
        </w:rPr>
        <w:t>From time to time, others have asserted, and may in the future assert, that the Company's products or processes infringe their product or process technology rights. In this regard, the Company is currently engaged in litigation with Rambus, Inc. ("Rambus") relating to certain of Rambus' patents and certain of the Company's claims and defenses. Lawsuits between Rambus and the Company are pending in the United States, Germany, France, the United Kingdom and Italy. On August 28, 2000, the Company filed a declaratory judgment action against Rambus in the U.S. District Court for the District of Delaware. On February 1, 2001, the Company amended its complaint. Pursuant to its amended complaint, the Company is seeking (1) relief under the federal antitrust laws for violations by Rambus of Section 2 of the Sherman Act; (2) a declaratory judgment that (a) certain Rambus patents are not infringed, are invalid and/or are unenforceable,</w:t>
      </w:r>
    </w:p>
    <w:p>
      <w:pPr>
        <w:spacing w:after="0" w:line="1" w:lineRule="exact"/>
        <w:rPr>
          <w:sz w:val="20"/>
          <w:szCs w:val="20"/>
          <w:color w:val="auto"/>
        </w:rPr>
      </w:pPr>
    </w:p>
    <w:p>
      <w:pPr>
        <w:ind w:right="60" w:firstLine="8"/>
        <w:spacing w:after="0" w:line="288" w:lineRule="auto"/>
        <w:tabs>
          <w:tab w:leader="none" w:pos="249"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Company has an implied license to Rambus' patents, and (c) Rambus is estopped from enforcing its patents against the Company because of its conduct in the Joint Electron Device Engineering Council standards setting body; and (3) damages and declaratory relief for Rambus' breach of contract, fraud, deceptive trade practices, negligent misrepresentation, and conduct requiring the application of equitable estoppel. On February 15, 2001, Rambus filed an Answer and Counterclaim. Rambus denies that the Company is entitled to relief and has alleged willful infringement by the Company of eight Rambus patents. The Company is unable to predict the outcome of these suits. A court determination that the Company's manufacturing processes or products infringe the product or process rights of others could result in significant liability and/or require the Company to make material changes to its products and/or manufacturing processes. Any of the foregoing results could have a material adverse effect on the Company's business, results of operations or financial condition.</w:t>
      </w:r>
    </w:p>
    <w:p>
      <w:pPr>
        <w:spacing w:after="0" w:line="177"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The Company has a number of patent and intellectual property license agreements. Some of these license agreements require the Company to make one time or periodic payments. The Company may need to obtain additional patent licenses or renew existing license agreements in the future. The Company is unable to predict whether these license agreements can be obtained or renewed on acceptable terms.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ind w:right="180" w:firstLine="341"/>
        <w:spacing w:after="0" w:line="298" w:lineRule="auto"/>
        <w:rPr>
          <w:sz w:val="20"/>
          <w:szCs w:val="20"/>
          <w:color w:val="auto"/>
        </w:rPr>
      </w:pPr>
      <w:r>
        <w:rPr>
          <w:rFonts w:ascii="Arial" w:cs="Arial" w:eastAsia="Arial" w:hAnsi="Arial"/>
          <w:sz w:val="16"/>
          <w:szCs w:val="16"/>
          <w:color w:val="auto"/>
        </w:rPr>
        <w:t>As of August 29, 2002, the Company had approximately 18,700 employees, including approximately 2,900 in the Asia Pacific region, 1,900 in Europe and 1,000 in Japan. The Company's employees in Italy are represented by labor organizations that have entered into national and local labor contracts with the Company. The Company's employment levels can vary depending on market conditions and the level of the Company's production, research and product and process development. Many of the Company's employees are highly skilled, and the Company's continued success depends in part upon its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ability to attract and retain such employees. The loss of key Company personnel could have an adverse effect on the Company's results of operations.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Compliance</w:t>
      </w:r>
    </w:p>
    <w:p>
      <w:pPr>
        <w:spacing w:after="0" w:line="231"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Government regulations impose various environmental controls on discharges, emissions and solid wastes from the Company's manufacturing processes. In 2002, the Company's wafer fabrication facilities continued to conform to the requirements of ISO 14001 certification. To continue certification, the Company met requirements in environmental policy, compliance, planning, management, structure and responsibility, training, communication, document control, operational control, emergency preparedness and response, record keeping and management review. While the Company has not experienced any materially adverse effects on its operations from environmental or other government regulations, changes in the regulations could necessitate additional capital expenditures, modification of operations or other compliance actions.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Officers and Directors of the Registrant</w:t>
      </w:r>
    </w:p>
    <w:p>
      <w:pPr>
        <w:spacing w:after="0" w:line="231" w:lineRule="exact"/>
        <w:rPr>
          <w:sz w:val="20"/>
          <w:szCs w:val="20"/>
          <w:color w:val="auto"/>
        </w:rPr>
      </w:pPr>
    </w:p>
    <w:p>
      <w:pPr>
        <w:ind w:right="440" w:firstLine="351"/>
        <w:spacing w:after="0" w:line="306" w:lineRule="auto"/>
        <w:rPr>
          <w:sz w:val="20"/>
          <w:szCs w:val="20"/>
          <w:color w:val="auto"/>
        </w:rPr>
      </w:pPr>
      <w:r>
        <w:rPr>
          <w:rFonts w:ascii="Arial" w:cs="Arial" w:eastAsia="Arial" w:hAnsi="Arial"/>
          <w:sz w:val="16"/>
          <w:szCs w:val="16"/>
          <w:color w:val="auto"/>
        </w:rPr>
        <w:t>Officers of the Company are appointed annually by the Board of Directors. Directors of the Company are elected annually by the shareholders of the Company. Any directors appointed by the Board of Directors to fill vacancies on the Board serve until the next election by the shareholders. All officers and directors serve until their successors are duly chosen or elected and qualified, except in the case of earlier death, resignation or removal.</w:t>
      </w:r>
    </w:p>
    <w:p>
      <w:pPr>
        <w:spacing w:after="0" w:line="161" w:lineRule="exact"/>
        <w:rPr>
          <w:sz w:val="20"/>
          <w:szCs w:val="20"/>
          <w:color w:val="auto"/>
        </w:rPr>
      </w:pPr>
    </w:p>
    <w:p>
      <w:pPr>
        <w:ind w:right="380" w:firstLine="341"/>
        <w:spacing w:after="0" w:line="268" w:lineRule="auto"/>
        <w:rPr>
          <w:sz w:val="20"/>
          <w:szCs w:val="20"/>
          <w:color w:val="auto"/>
        </w:rPr>
      </w:pPr>
      <w:r>
        <w:rPr>
          <w:rFonts w:ascii="Arial" w:cs="Arial" w:eastAsia="Arial" w:hAnsi="Arial"/>
          <w:sz w:val="18"/>
          <w:szCs w:val="18"/>
          <w:color w:val="auto"/>
        </w:rPr>
        <w:t>As of August 29, 2002, the following executive officers and directors of the Company were subject to the reporting requirements of Section 16(a) of the Securities Exchange Act of 1934, as amended.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1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40" w:type="dxa"/>
            <w:vAlign w:val="bottom"/>
          </w:tcPr>
          <w:p>
            <w:pPr>
              <w:spacing w:after="0"/>
              <w:rPr>
                <w:sz w:val="15"/>
                <w:szCs w:val="15"/>
                <w:color w:val="auto"/>
              </w:rPr>
            </w:pPr>
          </w:p>
        </w:tc>
        <w:tc>
          <w:tcPr>
            <w:tcW w:w="740" w:type="dxa"/>
            <w:vAlign w:val="bottom"/>
            <w:gridSpan w:val="2"/>
          </w:tcPr>
          <w:p>
            <w:pPr>
              <w:ind w:left="180"/>
              <w:spacing w:after="0"/>
              <w:rPr>
                <w:sz w:val="20"/>
                <w:szCs w:val="20"/>
                <w:color w:val="auto"/>
              </w:rPr>
            </w:pPr>
            <w:r>
              <w:rPr>
                <w:rFonts w:ascii="Arial" w:cs="Arial" w:eastAsia="Arial" w:hAnsi="Arial"/>
                <w:sz w:val="14"/>
                <w:szCs w:val="14"/>
                <w:b w:val="1"/>
                <w:bCs w:val="1"/>
                <w:color w:val="auto"/>
              </w:rPr>
              <w:t>Age</w:t>
            </w:r>
          </w:p>
        </w:tc>
        <w:tc>
          <w:tcPr>
            <w:tcW w:w="160" w:type="dxa"/>
            <w:vAlign w:val="bottom"/>
          </w:tcPr>
          <w:p>
            <w:pPr>
              <w:spacing w:after="0"/>
              <w:rPr>
                <w:sz w:val="15"/>
                <w:szCs w:val="15"/>
                <w:color w:val="auto"/>
              </w:rPr>
            </w:pPr>
          </w:p>
        </w:tc>
        <w:tc>
          <w:tcPr>
            <w:tcW w:w="6060" w:type="dxa"/>
            <w:vAlign w:val="bottom"/>
          </w:tcPr>
          <w:p>
            <w:pPr>
              <w:ind w:left="280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Steven R. Appleton</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42</w:t>
            </w:r>
          </w:p>
        </w:tc>
        <w:tc>
          <w:tcPr>
            <w:tcW w:w="6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Chairman, Chief Executive Officer and President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Kipp A. Bedard</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43</w:t>
            </w:r>
          </w:p>
        </w:tc>
        <w:tc>
          <w:tcPr>
            <w:tcW w:w="6220" w:type="dxa"/>
            <w:vAlign w:val="bottom"/>
            <w:gridSpan w:val="2"/>
          </w:tcPr>
          <w:p>
            <w:pPr>
              <w:ind w:left="160"/>
              <w:spacing w:after="0"/>
              <w:rPr>
                <w:sz w:val="20"/>
                <w:szCs w:val="20"/>
                <w:color w:val="auto"/>
              </w:rPr>
            </w:pPr>
            <w:r>
              <w:rPr>
                <w:rFonts w:ascii="Arial" w:cs="Arial" w:eastAsia="Arial" w:hAnsi="Arial"/>
                <w:sz w:val="18"/>
                <w:szCs w:val="18"/>
                <w:color w:val="auto"/>
              </w:rPr>
              <w:t>Vice President of Corporate Affairs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Robert M. Donnelly</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63</w:t>
            </w:r>
          </w:p>
        </w:tc>
        <w:tc>
          <w:tcPr>
            <w:tcW w:w="6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Vice President of Computing and Consumer Group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Jan du Preez</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45</w:t>
            </w:r>
          </w:p>
        </w:tc>
        <w:tc>
          <w:tcPr>
            <w:tcW w:w="6220" w:type="dxa"/>
            <w:vAlign w:val="bottom"/>
            <w:gridSpan w:val="2"/>
          </w:tcPr>
          <w:p>
            <w:pPr>
              <w:ind w:left="160"/>
              <w:spacing w:after="0"/>
              <w:rPr>
                <w:sz w:val="20"/>
                <w:szCs w:val="20"/>
                <w:color w:val="auto"/>
              </w:rPr>
            </w:pPr>
            <w:r>
              <w:rPr>
                <w:rFonts w:ascii="Arial" w:cs="Arial" w:eastAsia="Arial" w:hAnsi="Arial"/>
                <w:sz w:val="18"/>
                <w:szCs w:val="18"/>
                <w:color w:val="auto"/>
              </w:rPr>
              <w:t>Vice President of Networking and Communications Group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D. Mark Durcan</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41</w:t>
            </w:r>
          </w:p>
        </w:tc>
        <w:tc>
          <w:tcPr>
            <w:tcW w:w="6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Chief Technical Officer and Vice President of Research and Development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Robert J. Gove</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48</w:t>
            </w:r>
          </w:p>
        </w:tc>
        <w:tc>
          <w:tcPr>
            <w:tcW w:w="6220" w:type="dxa"/>
            <w:vAlign w:val="bottom"/>
            <w:gridSpan w:val="2"/>
          </w:tcPr>
          <w:p>
            <w:pPr>
              <w:ind w:left="160"/>
              <w:spacing w:after="0"/>
              <w:rPr>
                <w:sz w:val="20"/>
                <w:szCs w:val="20"/>
                <w:color w:val="auto"/>
              </w:rPr>
            </w:pPr>
            <w:r>
              <w:rPr>
                <w:rFonts w:ascii="Arial" w:cs="Arial" w:eastAsia="Arial" w:hAnsi="Arial"/>
                <w:sz w:val="18"/>
                <w:szCs w:val="18"/>
                <w:color w:val="auto"/>
              </w:rPr>
              <w:t>Vice President of Imaging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Jay L. Hawkins</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42</w:t>
            </w:r>
          </w:p>
        </w:tc>
        <w:tc>
          <w:tcPr>
            <w:tcW w:w="6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Vice President of Operations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Roderic W. Lewis</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47</w:t>
            </w:r>
          </w:p>
        </w:tc>
        <w:tc>
          <w:tcPr>
            <w:tcW w:w="6220" w:type="dxa"/>
            <w:vAlign w:val="bottom"/>
            <w:gridSpan w:val="2"/>
          </w:tcPr>
          <w:p>
            <w:pPr>
              <w:ind w:left="160"/>
              <w:spacing w:after="0"/>
              <w:rPr>
                <w:sz w:val="20"/>
                <w:szCs w:val="20"/>
                <w:color w:val="auto"/>
              </w:rPr>
            </w:pPr>
            <w:r>
              <w:rPr>
                <w:rFonts w:ascii="Arial" w:cs="Arial" w:eastAsia="Arial" w:hAnsi="Arial"/>
                <w:sz w:val="18"/>
                <w:szCs w:val="18"/>
                <w:color w:val="auto"/>
              </w:rPr>
              <w:t>Vice President of Legal Affairs, General Counsel and Corporate Secretary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Michael W. Sadler</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44</w:t>
            </w:r>
          </w:p>
        </w:tc>
        <w:tc>
          <w:tcPr>
            <w:tcW w:w="6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Vice President of Worldwide Sales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Wilbur G. Stover, Jr.</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49</w:t>
            </w:r>
          </w:p>
        </w:tc>
        <w:tc>
          <w:tcPr>
            <w:tcW w:w="6220" w:type="dxa"/>
            <w:vAlign w:val="bottom"/>
            <w:gridSpan w:val="2"/>
          </w:tcPr>
          <w:p>
            <w:pPr>
              <w:ind w:left="160"/>
              <w:spacing w:after="0"/>
              <w:rPr>
                <w:sz w:val="20"/>
                <w:szCs w:val="20"/>
                <w:color w:val="auto"/>
              </w:rPr>
            </w:pPr>
            <w:r>
              <w:rPr>
                <w:rFonts w:ascii="Arial" w:cs="Arial" w:eastAsia="Arial" w:hAnsi="Arial"/>
                <w:sz w:val="18"/>
                <w:szCs w:val="18"/>
                <w:color w:val="auto"/>
              </w:rPr>
              <w:t>Vice President of Finance and Chief Financial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James W. Bagley</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63</w:t>
            </w:r>
          </w:p>
        </w:tc>
        <w:tc>
          <w:tcPr>
            <w:tcW w:w="6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Robert A. Lothrop</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76</w:t>
            </w:r>
          </w:p>
        </w:tc>
        <w:tc>
          <w:tcPr>
            <w:tcW w:w="6220" w:type="dxa"/>
            <w:vAlign w:val="bottom"/>
            <w:gridSpan w:val="2"/>
          </w:tcPr>
          <w:p>
            <w:pPr>
              <w:ind w:left="1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Thomas T. Nicholson</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66</w:t>
            </w:r>
          </w:p>
        </w:tc>
        <w:tc>
          <w:tcPr>
            <w:tcW w:w="6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Don J. Simplot</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67</w:t>
            </w:r>
          </w:p>
        </w:tc>
        <w:tc>
          <w:tcPr>
            <w:tcW w:w="6220" w:type="dxa"/>
            <w:vAlign w:val="bottom"/>
            <w:gridSpan w:val="2"/>
          </w:tcPr>
          <w:p>
            <w:pPr>
              <w:ind w:left="1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Gordon C. Smith</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73</w:t>
            </w:r>
          </w:p>
        </w:tc>
        <w:tc>
          <w:tcPr>
            <w:tcW w:w="6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William P. Weber</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62</w:t>
            </w:r>
          </w:p>
        </w:tc>
        <w:tc>
          <w:tcPr>
            <w:tcW w:w="6220" w:type="dxa"/>
            <w:vAlign w:val="bottom"/>
            <w:gridSpan w:val="2"/>
          </w:tcPr>
          <w:p>
            <w:pPr>
              <w:ind w:left="1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2609850</wp:posOffset>
            </wp:positionH>
            <wp:positionV relativeFrom="paragraph">
              <wp:posOffset>-2280285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-2280285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3184525</wp:posOffset>
            </wp:positionH>
            <wp:positionV relativeFrom="paragraph">
              <wp:posOffset>-2280285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-2280285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-2280285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-2280285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6" w:gutter="0" w:footer="0" w:header="0"/>
        </w:sectPr>
      </w:pPr>
    </w:p>
    <w:bookmarkStart w:id="5" w:name="page6"/>
    <w:bookmarkEnd w:id="5"/>
    <w:p>
      <w:pPr>
        <w:ind w:right="60" w:firstLine="351"/>
        <w:spacing w:after="0" w:line="256" w:lineRule="auto"/>
        <w:rPr>
          <w:sz w:val="20"/>
          <w:szCs w:val="20"/>
          <w:color w:val="auto"/>
        </w:rPr>
      </w:pPr>
      <w:r>
        <w:rPr>
          <w:rFonts w:ascii="Arial" w:cs="Arial" w:eastAsia="Arial" w:hAnsi="Arial"/>
          <w:sz w:val="18"/>
          <w:szCs w:val="18"/>
          <w:i w:val="1"/>
          <w:iCs w:val="1"/>
          <w:color w:val="auto"/>
        </w:rPr>
        <w:t xml:space="preserve">Steven R. Appleton </w:t>
      </w:r>
      <w:r>
        <w:rPr>
          <w:rFonts w:ascii="Arial" w:cs="Arial" w:eastAsia="Arial" w:hAnsi="Arial"/>
          <w:sz w:val="18"/>
          <w:szCs w:val="18"/>
          <w:color w:val="auto"/>
        </w:rPr>
        <w:t>joined the Company in February 1983 and has served in various capacities with the Company and its subsidiaries. Mr. Appleton first</w:t>
      </w:r>
      <w:r>
        <w:rPr>
          <w:rFonts w:ascii="Arial" w:cs="Arial" w:eastAsia="Arial" w:hAnsi="Arial"/>
          <w:sz w:val="18"/>
          <w:szCs w:val="18"/>
          <w:i w:val="1"/>
          <w:iCs w:val="1"/>
          <w:color w:val="auto"/>
        </w:rPr>
        <w:t xml:space="preserve"> </w:t>
      </w:r>
      <w:r>
        <w:rPr>
          <w:rFonts w:ascii="Arial" w:cs="Arial" w:eastAsia="Arial" w:hAnsi="Arial"/>
          <w:sz w:val="18"/>
          <w:szCs w:val="18"/>
          <w:color w:val="auto"/>
        </w:rPr>
        <w:t>became an officer of the Company in August 1989 and has served in various officer positions with the Company since that time. From April 1991 until July 1992 and since May 1994, Mr. Appleton has served on the Company's Board of Directors. Since September 1994, Mr. Appleton has served as the Chief Executive Officer, President and Chairman of</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of the Company. Mr. Appleton holds a BA in Business Management from Boise State University.</w:t>
      </w:r>
    </w:p>
    <w:p>
      <w:pPr>
        <w:spacing w:after="0" w:line="225" w:lineRule="exact"/>
        <w:rPr>
          <w:sz w:val="20"/>
          <w:szCs w:val="20"/>
          <w:color w:val="auto"/>
        </w:rPr>
      </w:pPr>
    </w:p>
    <w:p>
      <w:pPr>
        <w:jc w:val="both"/>
        <w:ind w:right="80" w:firstLine="351"/>
        <w:spacing w:after="0" w:line="306" w:lineRule="auto"/>
        <w:rPr>
          <w:sz w:val="20"/>
          <w:szCs w:val="20"/>
          <w:color w:val="auto"/>
        </w:rPr>
      </w:pPr>
      <w:r>
        <w:rPr>
          <w:rFonts w:ascii="Arial" w:cs="Arial" w:eastAsia="Arial" w:hAnsi="Arial"/>
          <w:sz w:val="16"/>
          <w:szCs w:val="16"/>
          <w:i w:val="1"/>
          <w:iCs w:val="1"/>
          <w:color w:val="auto"/>
        </w:rPr>
        <w:t xml:space="preserve">Kipp A. Bedard </w:t>
      </w:r>
      <w:r>
        <w:rPr>
          <w:rFonts w:ascii="Arial" w:cs="Arial" w:eastAsia="Arial" w:hAnsi="Arial"/>
          <w:sz w:val="16"/>
          <w:szCs w:val="16"/>
          <w:color w:val="auto"/>
        </w:rPr>
        <w:t>joined the Company in November 1983 and has served in various capacities with the Company and its subsidiaries. Mr. Bedard first became</w:t>
      </w:r>
      <w:r>
        <w:rPr>
          <w:rFonts w:ascii="Arial" w:cs="Arial" w:eastAsia="Arial" w:hAnsi="Arial"/>
          <w:sz w:val="16"/>
          <w:szCs w:val="16"/>
          <w:i w:val="1"/>
          <w:iCs w:val="1"/>
          <w:color w:val="auto"/>
        </w:rPr>
        <w:t xml:space="preserve"> </w:t>
      </w:r>
      <w:r>
        <w:rPr>
          <w:rFonts w:ascii="Arial" w:cs="Arial" w:eastAsia="Arial" w:hAnsi="Arial"/>
          <w:sz w:val="16"/>
          <w:szCs w:val="16"/>
          <w:color w:val="auto"/>
        </w:rPr>
        <w:t>an officer of the Company in April 1990 and has served in various officer positions since that time. Since January 1994, Mr. Bedard has served as Vice President of Corporate Affairs for the Company. Mr. Bedard holds a BBA in Accounting from Boise State University.</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 xml:space="preserve">Robert M. Donnelly </w:t>
      </w:r>
      <w:r>
        <w:rPr>
          <w:rFonts w:ascii="Arial" w:cs="Arial" w:eastAsia="Arial" w:hAnsi="Arial"/>
          <w:sz w:val="16"/>
          <w:szCs w:val="16"/>
          <w:color w:val="auto"/>
        </w:rPr>
        <w:t>joined the Company in September 1988 and has served in various technical positions with the Company and its subsidiaries.</w:t>
      </w:r>
    </w:p>
    <w:p>
      <w:pPr>
        <w:spacing w:after="0" w:line="38"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Mr. Donnelly first became an officer of the Company in August 1989 and has served in various officer positions since that time. Mr. Donnelly holds a BS in Electrical Engineering from the University of Louisville.</w:t>
      </w:r>
    </w:p>
    <w:p>
      <w:pPr>
        <w:spacing w:after="0" w:line="192"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i w:val="1"/>
          <w:iCs w:val="1"/>
          <w:color w:val="auto"/>
        </w:rPr>
        <w:t xml:space="preserve">Jan du Preez </w:t>
      </w:r>
      <w:r>
        <w:rPr>
          <w:rFonts w:ascii="Arial" w:cs="Arial" w:eastAsia="Arial" w:hAnsi="Arial"/>
          <w:sz w:val="18"/>
          <w:szCs w:val="18"/>
          <w:color w:val="auto"/>
        </w:rPr>
        <w:t>joined the Company in June 2002 as Vice President of Networking and Communications Group. Mr. du Preez served as the President of</w:t>
      </w:r>
      <w:r>
        <w:rPr>
          <w:rFonts w:ascii="Arial" w:cs="Arial" w:eastAsia="Arial" w:hAnsi="Arial"/>
          <w:sz w:val="18"/>
          <w:szCs w:val="18"/>
          <w:i w:val="1"/>
          <w:iCs w:val="1"/>
          <w:color w:val="auto"/>
        </w:rPr>
        <w:t xml:space="preserve"> </w:t>
      </w:r>
      <w:r>
        <w:rPr>
          <w:rFonts w:ascii="Arial" w:cs="Arial" w:eastAsia="Arial" w:hAnsi="Arial"/>
          <w:sz w:val="18"/>
          <w:szCs w:val="18"/>
          <w:color w:val="auto"/>
        </w:rPr>
        <w:t>Infineon Technologies North America Corporation from August 2000 until he joined the Company in June 2002. From October 1996 through July 2000, Mr. du Preez served as the Vice President of Memory Products Group for Infineon Technologies North America Corporation (formerly Siemens Semiconductors). Mr. du Preez holds Bachelors Degrees in Public Administration and Business Economics from the University of Pretoria and a Masters Degree in Commerce from Rand University.</w:t>
      </w:r>
    </w:p>
    <w:p>
      <w:pPr>
        <w:spacing w:after="0" w:line="197" w:lineRule="exact"/>
        <w:rPr>
          <w:sz w:val="20"/>
          <w:szCs w:val="20"/>
          <w:color w:val="auto"/>
        </w:rPr>
      </w:pPr>
    </w:p>
    <w:p>
      <w:pPr>
        <w:ind w:right="220" w:firstLine="351"/>
        <w:spacing w:after="0" w:line="306" w:lineRule="auto"/>
        <w:rPr>
          <w:sz w:val="20"/>
          <w:szCs w:val="20"/>
          <w:color w:val="auto"/>
        </w:rPr>
      </w:pPr>
      <w:r>
        <w:rPr>
          <w:rFonts w:ascii="Arial" w:cs="Arial" w:eastAsia="Arial" w:hAnsi="Arial"/>
          <w:sz w:val="16"/>
          <w:szCs w:val="16"/>
          <w:i w:val="1"/>
          <w:iCs w:val="1"/>
          <w:color w:val="auto"/>
        </w:rPr>
        <w:t xml:space="preserve">D. Mark Durcan </w:t>
      </w:r>
      <w:r>
        <w:rPr>
          <w:rFonts w:ascii="Arial" w:cs="Arial" w:eastAsia="Arial" w:hAnsi="Arial"/>
          <w:sz w:val="16"/>
          <w:szCs w:val="16"/>
          <w:color w:val="auto"/>
        </w:rPr>
        <w:t>joined the Company in June 1984 and has served in various technical positions with the Company and its subsidiaries since that time.</w:t>
      </w:r>
      <w:r>
        <w:rPr>
          <w:rFonts w:ascii="Arial" w:cs="Arial" w:eastAsia="Arial" w:hAnsi="Arial"/>
          <w:sz w:val="16"/>
          <w:szCs w:val="16"/>
          <w:i w:val="1"/>
          <w:iCs w:val="1"/>
          <w:color w:val="auto"/>
        </w:rPr>
        <w:t xml:space="preserve"> </w:t>
      </w:r>
      <w:r>
        <w:rPr>
          <w:rFonts w:ascii="Arial" w:cs="Arial" w:eastAsia="Arial" w:hAnsi="Arial"/>
          <w:sz w:val="16"/>
          <w:szCs w:val="16"/>
          <w:color w:val="auto"/>
        </w:rPr>
        <w:t>Mr. Durcan served as Vice President, Process Research and Development from June 1996 through June 1997, at which time he became Chief Technical Officer and Vice President of Research and Development. Mr. Durcan holds a BS and MChE in Chemical Engineering from Rice University.</w:t>
      </w:r>
    </w:p>
    <w:p>
      <w:pPr>
        <w:spacing w:after="0" w:line="161" w:lineRule="exact"/>
        <w:rPr>
          <w:sz w:val="20"/>
          <w:szCs w:val="20"/>
          <w:color w:val="auto"/>
        </w:rPr>
      </w:pPr>
    </w:p>
    <w:p>
      <w:pPr>
        <w:ind w:right="40" w:firstLine="351"/>
        <w:spacing w:after="0" w:line="286" w:lineRule="auto"/>
        <w:rPr>
          <w:sz w:val="20"/>
          <w:szCs w:val="20"/>
          <w:color w:val="auto"/>
        </w:rPr>
      </w:pPr>
      <w:r>
        <w:rPr>
          <w:rFonts w:ascii="Arial" w:cs="Arial" w:eastAsia="Arial" w:hAnsi="Arial"/>
          <w:sz w:val="16"/>
          <w:szCs w:val="16"/>
          <w:i w:val="1"/>
          <w:iCs w:val="1"/>
          <w:color w:val="auto"/>
        </w:rPr>
        <w:t xml:space="preserve">Robert J. Gove </w:t>
      </w:r>
      <w:r>
        <w:rPr>
          <w:rFonts w:ascii="Arial" w:cs="Arial" w:eastAsia="Arial" w:hAnsi="Arial"/>
          <w:sz w:val="16"/>
          <w:szCs w:val="16"/>
          <w:color w:val="auto"/>
        </w:rPr>
        <w:t>joined the Company in March 1999 as Senior Director of Engineering and has served in various positions with the Company. In March 2002,</w:t>
      </w:r>
      <w:r>
        <w:rPr>
          <w:rFonts w:ascii="Arial" w:cs="Arial" w:eastAsia="Arial" w:hAnsi="Arial"/>
          <w:sz w:val="16"/>
          <w:szCs w:val="16"/>
          <w:i w:val="1"/>
          <w:iCs w:val="1"/>
          <w:color w:val="auto"/>
        </w:rPr>
        <w:t xml:space="preserve"> </w:t>
      </w:r>
      <w:r>
        <w:rPr>
          <w:rFonts w:ascii="Arial" w:cs="Arial" w:eastAsia="Arial" w:hAnsi="Arial"/>
          <w:sz w:val="16"/>
          <w:szCs w:val="16"/>
          <w:color w:val="auto"/>
        </w:rPr>
        <w:t>he was appointed Vice President of Imaging. Prior to joining the Company, Mr. Gove served as Vice President, Engineering, of Equator Technologies, Inc.</w:t>
      </w:r>
    </w:p>
    <w:p>
      <w:pPr>
        <w:ind w:right="100"/>
        <w:spacing w:after="0" w:line="261" w:lineRule="auto"/>
        <w:rPr>
          <w:sz w:val="20"/>
          <w:szCs w:val="20"/>
          <w:color w:val="auto"/>
        </w:rPr>
      </w:pPr>
      <w:r>
        <w:rPr>
          <w:rFonts w:ascii="Arial" w:cs="Arial" w:eastAsia="Arial" w:hAnsi="Arial"/>
          <w:sz w:val="18"/>
          <w:szCs w:val="18"/>
          <w:color w:val="auto"/>
        </w:rPr>
        <w:t>Mr. Gove holds a BS in Electrical Engineering from the University of Washington and an MS in Electrical Engineering and Ph.D. in Electrical Engineering from Southern Methodist University.</w:t>
      </w:r>
    </w:p>
    <w:p>
      <w:pPr>
        <w:spacing w:after="0" w:line="192"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i w:val="1"/>
          <w:iCs w:val="1"/>
          <w:color w:val="auto"/>
        </w:rPr>
        <w:t xml:space="preserve">Jay L. Hawkins </w:t>
      </w:r>
      <w:r>
        <w:rPr>
          <w:rFonts w:ascii="Arial" w:cs="Arial" w:eastAsia="Arial" w:hAnsi="Arial"/>
          <w:sz w:val="18"/>
          <w:szCs w:val="18"/>
          <w:color w:val="auto"/>
        </w:rPr>
        <w:t>joined the Company in March 1984 and has served in various manufacturing positions for the Company and its subsidiaries. Mr. Hawkins</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Vice President, Manufacturing Administration from February 1996 through June 1997, at which time he became Vice President of Operations. Mr. Hawkins holds a BBA in Marketing from Boise State University.</w:t>
      </w:r>
    </w:p>
    <w:p>
      <w:pPr>
        <w:spacing w:after="0" w:line="194"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i w:val="1"/>
          <w:iCs w:val="1"/>
          <w:color w:val="auto"/>
        </w:rPr>
        <w:t xml:space="preserve">Roderic W. Lewis </w:t>
      </w:r>
      <w:r>
        <w:rPr>
          <w:rFonts w:ascii="Arial" w:cs="Arial" w:eastAsia="Arial" w:hAnsi="Arial"/>
          <w:sz w:val="18"/>
          <w:szCs w:val="18"/>
          <w:color w:val="auto"/>
        </w:rPr>
        <w:t>joined the Company in August 1991 and has served in various capacities with the Company and its subsidiaries. Mr. Lewis served as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General Counsel and Corporate Secretary for the Company from July 1996 until November 1996, at which time he became Vice President of Legal Affairs, General Counsel and Corporate Secretary. Mr. Lewis holds a BA in Economics and Asian Studies from Brigham Young University and a JD from Columbia University School of Law.</w:t>
      </w:r>
    </w:p>
    <w:p>
      <w:pPr>
        <w:spacing w:after="0" w:line="197"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i w:val="1"/>
          <w:iCs w:val="1"/>
          <w:color w:val="auto"/>
        </w:rPr>
        <w:t xml:space="preserve">Michael W. Sadler </w:t>
      </w:r>
      <w:r>
        <w:rPr>
          <w:rFonts w:ascii="Arial" w:cs="Arial" w:eastAsia="Arial" w:hAnsi="Arial"/>
          <w:sz w:val="18"/>
          <w:szCs w:val="18"/>
          <w:color w:val="auto"/>
        </w:rPr>
        <w:t>joined the Company in September 1992 as a Regional Sales Manager and has held various sales and marketing positions since that time.</w:t>
      </w:r>
      <w:r>
        <w:rPr>
          <w:rFonts w:ascii="Arial" w:cs="Arial" w:eastAsia="Arial" w:hAnsi="Arial"/>
          <w:sz w:val="18"/>
          <w:szCs w:val="18"/>
          <w:i w:val="1"/>
          <w:iCs w:val="1"/>
          <w:color w:val="auto"/>
        </w:rPr>
        <w:t xml:space="preserve"> </w:t>
      </w:r>
      <w:r>
        <w:rPr>
          <w:rFonts w:ascii="Arial" w:cs="Arial" w:eastAsia="Arial" w:hAnsi="Arial"/>
          <w:sz w:val="18"/>
          <w:szCs w:val="18"/>
          <w:color w:val="auto"/>
        </w:rPr>
        <w:t>Mr. Sadler first became an officer of the Company in July 1997 and has served as Vice President of Worldwide Sales since November 2001. Mr. Sadler holds a BS in Information Systems and an MBA from the University of Santa Clara.</w:t>
      </w:r>
    </w:p>
    <w:p>
      <w:pPr>
        <w:spacing w:after="0" w:line="194" w:lineRule="exact"/>
        <w:rPr>
          <w:sz w:val="20"/>
          <w:szCs w:val="20"/>
          <w:color w:val="auto"/>
        </w:rPr>
      </w:pPr>
    </w:p>
    <w:p>
      <w:pPr>
        <w:ind w:right="880" w:firstLine="351"/>
        <w:spacing w:after="0" w:line="268" w:lineRule="auto"/>
        <w:rPr>
          <w:sz w:val="20"/>
          <w:szCs w:val="20"/>
          <w:color w:val="auto"/>
        </w:rPr>
      </w:pPr>
      <w:r>
        <w:rPr>
          <w:rFonts w:ascii="Arial" w:cs="Arial" w:eastAsia="Arial" w:hAnsi="Arial"/>
          <w:sz w:val="18"/>
          <w:szCs w:val="18"/>
          <w:i w:val="1"/>
          <w:iCs w:val="1"/>
          <w:color w:val="auto"/>
        </w:rPr>
        <w:t xml:space="preserve">Wilbur G. Stover, Jr. </w:t>
      </w:r>
      <w:r>
        <w:rPr>
          <w:rFonts w:ascii="Arial" w:cs="Arial" w:eastAsia="Arial" w:hAnsi="Arial"/>
          <w:sz w:val="18"/>
          <w:szCs w:val="18"/>
          <w:color w:val="auto"/>
        </w:rPr>
        <w:t>joined the Company in June 1989 and has served in various financial positions with the Company and its subsidiaries. Since</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1994, Mr. Stover has served as the Company's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of Finance and Chief Financial Officer. Mr. Stover holds a BA in Business Administration from Washington State University.</w:t>
      </w:r>
    </w:p>
    <w:p>
      <w:pPr>
        <w:spacing w:after="0" w:line="225"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i w:val="1"/>
          <w:iCs w:val="1"/>
          <w:color w:val="auto"/>
        </w:rPr>
        <w:t xml:space="preserve">James W. Bagley </w:t>
      </w:r>
      <w:r>
        <w:rPr>
          <w:rFonts w:ascii="Arial" w:cs="Arial" w:eastAsia="Arial" w:hAnsi="Arial"/>
          <w:sz w:val="18"/>
          <w:szCs w:val="18"/>
          <w:color w:val="auto"/>
        </w:rPr>
        <w:t>became the Chairman and Chief Executive Officer of Lam Research Corporation ("Lam"), a supplier of semiconductor manufacturing</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 in August 1997, upon consummation of a merger of OnTrak Systems, Inc. into Lam. Mr. Bagley is a member of the Board of Directors of Teradyne, Inc. and Wind River Systems, Inc. He has served on the Company's Board of Directors since June 1997. Mr. Bagley holds a BS and MS in Electrical Engineering from Mississippi State University.</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 xml:space="preserve">Robert A. Lothrop </w:t>
      </w:r>
      <w:r>
        <w:rPr>
          <w:rFonts w:ascii="Arial" w:cs="Arial" w:eastAsia="Arial" w:hAnsi="Arial"/>
          <w:sz w:val="16"/>
          <w:szCs w:val="16"/>
          <w:color w:val="auto"/>
        </w:rPr>
        <w:t>served as Senior Vice President of J.R. Simplot Company, an agribusiness company, from January 1986 until his retirement in</w:t>
      </w:r>
    </w:p>
    <w:p>
      <w:pPr>
        <w:spacing w:after="0" w:line="38"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January 1991. From August 1986 until July 1992 and since May 1994, Mr. Lothrop has served on the Board of Directors of the Company. Mr. Lothrop holds a BS in Engineering from the University of Idaho.</w:t>
      </w:r>
    </w:p>
    <w:p>
      <w:pPr>
        <w:spacing w:after="0" w:line="192"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i w:val="1"/>
          <w:iCs w:val="1"/>
          <w:color w:val="auto"/>
        </w:rPr>
        <w:t xml:space="preserve">Thomas T. Nicholson </w:t>
      </w:r>
      <w:r>
        <w:rPr>
          <w:rFonts w:ascii="Arial" w:cs="Arial" w:eastAsia="Arial" w:hAnsi="Arial"/>
          <w:sz w:val="18"/>
          <w:szCs w:val="18"/>
          <w:color w:val="auto"/>
        </w:rPr>
        <w:t>has served as Vice President and a Director of Honda of Seattle and Toyota of Seattle since 1988. Mr. Nicholson served from 1982 to</w:t>
      </w:r>
      <w:r>
        <w:rPr>
          <w:rFonts w:ascii="Arial" w:cs="Arial" w:eastAsia="Arial" w:hAnsi="Arial"/>
          <w:sz w:val="18"/>
          <w:szCs w:val="18"/>
          <w:i w:val="1"/>
          <w:iCs w:val="1"/>
          <w:color w:val="auto"/>
        </w:rPr>
        <w:t xml:space="preserve"> </w:t>
      </w:r>
      <w:r>
        <w:rPr>
          <w:rFonts w:ascii="Arial" w:cs="Arial" w:eastAsia="Arial" w:hAnsi="Arial"/>
          <w:sz w:val="18"/>
          <w:szCs w:val="18"/>
          <w:color w:val="auto"/>
        </w:rPr>
        <w:t>May 2000 as President, and since May 2000 as Vice President, of Mountain View Equipment Company. He has served on the Company's Board of Directors since May 1980. Mr. Nicholson holds a BS in Agriculture from the University of Idaho.</w:t>
      </w:r>
    </w:p>
    <w:p>
      <w:pPr>
        <w:spacing w:after="0" w:line="194"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i w:val="1"/>
          <w:iCs w:val="1"/>
          <w:color w:val="auto"/>
        </w:rPr>
        <w:t xml:space="preserve">Don J. Simplot </w:t>
      </w:r>
      <w:r>
        <w:rPr>
          <w:rFonts w:ascii="Arial" w:cs="Arial" w:eastAsia="Arial" w:hAnsi="Arial"/>
          <w:sz w:val="18"/>
          <w:szCs w:val="18"/>
          <w:color w:val="auto"/>
        </w:rPr>
        <w:t>served as the President of Simplot Financial Corporation, a wholly-owned subsidiary of the J.R. Simplot Company, from February 1985 until</w:t>
      </w:r>
      <w:r>
        <w:rPr>
          <w:rFonts w:ascii="Arial" w:cs="Arial" w:eastAsia="Arial" w:hAnsi="Arial"/>
          <w:sz w:val="18"/>
          <w:szCs w:val="18"/>
          <w:i w:val="1"/>
          <w:iCs w:val="1"/>
          <w:color w:val="auto"/>
        </w:rPr>
        <w:t xml:space="preserve"> </w:t>
      </w:r>
      <w:r>
        <w:rPr>
          <w:rFonts w:ascii="Arial" w:cs="Arial" w:eastAsia="Arial" w:hAnsi="Arial"/>
          <w:sz w:val="18"/>
          <w:szCs w:val="18"/>
          <w:color w:val="auto"/>
        </w:rPr>
        <w:t>January 1992. Since 1955, Mr. Simplot has served in various capacities with J.R. Simplot Company, including Director. He is a member of the Executive Committee of the J.R. Simplot Company. He is a member of the Board of Directors of IMPCO Technologies, Inc. Mr. Simplot has served on the Company's Board of Directors since February 1982.</w:t>
      </w:r>
    </w:p>
    <w:p>
      <w:pPr>
        <w:sectPr>
          <w:pgSz w:w="11900" w:h="16838" w:orient="portrait"/>
          <w:cols w:equalWidth="0" w:num="1">
            <w:col w:w="11420"/>
          </w:cols>
          <w:pgMar w:left="240" w:top="131" w:right="239" w:bottom="25" w:gutter="0" w:footer="0" w:header="0"/>
        </w:sectPr>
      </w:pPr>
    </w:p>
    <w:bookmarkStart w:id="6" w:name="page7"/>
    <w:bookmarkEnd w:id="6"/>
    <w:p>
      <w:pPr>
        <w:ind w:firstLine="351"/>
        <w:spacing w:after="0" w:line="291" w:lineRule="auto"/>
        <w:rPr>
          <w:sz w:val="20"/>
          <w:szCs w:val="20"/>
          <w:color w:val="auto"/>
        </w:rPr>
      </w:pPr>
      <w:r>
        <w:rPr>
          <w:rFonts w:ascii="Arial" w:cs="Arial" w:eastAsia="Arial" w:hAnsi="Arial"/>
          <w:sz w:val="16"/>
          <w:szCs w:val="16"/>
          <w:i w:val="1"/>
          <w:iCs w:val="1"/>
          <w:color w:val="auto"/>
        </w:rPr>
        <w:t xml:space="preserve">Gordon C. Smith </w:t>
      </w:r>
      <w:r>
        <w:rPr>
          <w:rFonts w:ascii="Arial" w:cs="Arial" w:eastAsia="Arial" w:hAnsi="Arial"/>
          <w:sz w:val="16"/>
          <w:szCs w:val="16"/>
          <w:color w:val="auto"/>
        </w:rPr>
        <w:t>has served as Chairman and Chief Executive Officer of G.C. Smith L.L.C., a holding company for ranch operations and other investments,</w:t>
      </w:r>
      <w:r>
        <w:rPr>
          <w:rFonts w:ascii="Arial" w:cs="Arial" w:eastAsia="Arial" w:hAnsi="Arial"/>
          <w:sz w:val="16"/>
          <w:szCs w:val="16"/>
          <w:i w:val="1"/>
          <w:iCs w:val="1"/>
          <w:color w:val="auto"/>
        </w:rPr>
        <w:t xml:space="preserve"> </w:t>
      </w:r>
      <w:r>
        <w:rPr>
          <w:rFonts w:ascii="Arial" w:cs="Arial" w:eastAsia="Arial" w:hAnsi="Arial"/>
          <w:sz w:val="16"/>
          <w:szCs w:val="16"/>
          <w:color w:val="auto"/>
        </w:rPr>
        <w:t>since May 2000. Mr. Smith served in various management positions from July 1980 until May 1988 for the J.R. Simplot Company. From May 1988 until his retirement in March 1994, Mr. Smith served as the President and Chief Executive Officer of J.R. Simplot Company. Prior to becoming Chief Executive Officer of J.R. Simplot Company, Mr. Smith served as its Chief Financial Officer for seven years. From September 1996 until September 1999, he served as President of Wesmar, Inc., a food service company. From February 1982 until February 1984 and since September 1990, he has served on the Company's Board of Directors. Mr. Smith holds a BS in Accounting from Idaho State University.</w:t>
      </w:r>
    </w:p>
    <w:p>
      <w:pPr>
        <w:spacing w:after="0" w:line="174"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i w:val="1"/>
          <w:iCs w:val="1"/>
          <w:color w:val="auto"/>
        </w:rPr>
        <w:t xml:space="preserve">William P. Weber </w:t>
      </w:r>
      <w:r>
        <w:rPr>
          <w:rFonts w:ascii="Arial" w:cs="Arial" w:eastAsia="Arial" w:hAnsi="Arial"/>
          <w:sz w:val="16"/>
          <w:szCs w:val="16"/>
          <w:color w:val="auto"/>
        </w:rPr>
        <w:t>served in various capacities with Texas Instruments Incorporated, a semiconductor manufacturing company, and its subsidiaries from 1962</w:t>
      </w:r>
      <w:r>
        <w:rPr>
          <w:rFonts w:ascii="Arial" w:cs="Arial" w:eastAsia="Arial" w:hAnsi="Arial"/>
          <w:sz w:val="16"/>
          <w:szCs w:val="16"/>
          <w:i w:val="1"/>
          <w:iCs w:val="1"/>
          <w:color w:val="auto"/>
        </w:rPr>
        <w:t xml:space="preserve"> </w:t>
      </w:r>
      <w:r>
        <w:rPr>
          <w:rFonts w:ascii="Arial" w:cs="Arial" w:eastAsia="Arial" w:hAnsi="Arial"/>
          <w:sz w:val="16"/>
          <w:szCs w:val="16"/>
          <w:color w:val="auto"/>
        </w:rPr>
        <w:t>until April 1998. From December 1986 until December 1993 he served as the President of Texas Instruments' worldwide semiconductor operations and from December 1993 until his retirement in April 1998, he served as Vice Chairman of Texas Instruments Incorporated. He has served on the Company's Board of Directors since July 1998. Mr. Weber holds a BS in Engineering from Lamar University and a MS in Engineering from Southern Methodist University.</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There is no family relationship between any director or executive officer of the Company.</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231" w:lineRule="exact"/>
        <w:rPr>
          <w:sz w:val="20"/>
          <w:szCs w:val="20"/>
          <w:color w:val="auto"/>
        </w:rPr>
      </w:pPr>
    </w:p>
    <w:p>
      <w:pPr>
        <w:ind w:right="360" w:firstLine="348"/>
        <w:spacing w:after="0" w:line="268" w:lineRule="auto"/>
        <w:rPr>
          <w:sz w:val="20"/>
          <w:szCs w:val="20"/>
          <w:color w:val="auto"/>
        </w:rPr>
      </w:pPr>
      <w:r>
        <w:rPr>
          <w:rFonts w:ascii="Arial" w:cs="Arial" w:eastAsia="Arial" w:hAnsi="Arial"/>
          <w:sz w:val="18"/>
          <w:szCs w:val="18"/>
          <w:color w:val="auto"/>
        </w:rPr>
        <w:t>The Company's corporate headquarters and principal semiconductor manufacturing, engineering, research and development, administrative and support facilities are located in Boise, Idaho.</w:t>
      </w:r>
    </w:p>
    <w:p>
      <w:pPr>
        <w:spacing w:after="0" w:line="186"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The Company also has a number of other properties including wafer fabrication facilities located in Avezzano, Italy, Nishiwaki-City, Japan, and Manassas, Virginia; an assembly and test facility located in Singapore; a test facility located in Nampa, Idaho; and a module assembly and test facility located in East Kilbride, Scotland. The Company has a partially completed, semiconductor manufacturing facility</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located in Lehi, Utah, being used to perform test operations. Timing for completion of the Lehi facility is dependent upon market conditions, including, but not limited to, worldwide market supply of, and demand for, semiconductor products and the Company's operations, cash flows and alternative capacity expansion opportunities.</w:t>
      </w:r>
    </w:p>
    <w:p>
      <w:pPr>
        <w:spacing w:after="0" w:line="194"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Company also owns and leases a number of smaller facilities in locations throughout the world that are used for design, research and development, and sales and marketing activities.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231" w:lineRule="exact"/>
        <w:rPr>
          <w:sz w:val="20"/>
          <w:szCs w:val="20"/>
          <w:color w:val="auto"/>
        </w:rPr>
      </w:pPr>
    </w:p>
    <w:p>
      <w:pPr>
        <w:ind w:firstLine="351"/>
        <w:spacing w:after="0" w:line="283" w:lineRule="auto"/>
        <w:rPr>
          <w:sz w:val="20"/>
          <w:szCs w:val="20"/>
          <w:color w:val="auto"/>
        </w:rPr>
      </w:pPr>
      <w:r>
        <w:rPr>
          <w:rFonts w:ascii="Arial" w:cs="Arial" w:eastAsia="Arial" w:hAnsi="Arial"/>
          <w:sz w:val="16"/>
          <w:szCs w:val="16"/>
          <w:color w:val="auto"/>
        </w:rPr>
        <w:t>On August 28, 2000, the Company filed a declaratory judgment action against Rambus, Inc. ("Rambus") in U.S. District Court for the District of Delaware. On February 1, 2001, the Company amended its complaint. Pursuant to its amended complaint, the Company is seeking (1) relief under the federal antitrust laws for violations by Rambus of Section 2 of the Sherman Act; (2) a declaratory judgment (a) that certain Rambus patents are not infringed by the Company, are invalid, and/or are unenforceable due to, among other reasons, Rambus' fraudulent conduct in misusing and enforcing those patents, (b) that the Company has an implied license to those patents and (c) that Rambus is estopped from enforcing those patents against the Company because of its conduct in the Joint Electron Device Engineering Council, and (3) damages and declaratory relief for Rambus' breach of contract, fraud, deceptive trade practices, negligent misrepresentation, and conduct requiring the application of equitable estoppel. On February 15, 2001, Rambus filed an answer and counterclaim against the Company in Delaware denying the Company is entitled to relief and alleging infringement of eight Rambus patents subject to the Company's declaratory judgment action. On September 1, 2000, Rambus filed suit against Micron Semiconductor GmbH in the District Court of Mannheim, Germany, alleging that certain SDRAM and DDR SDRAM products infringe German patent and utility model counterparts to European patent 525 068. On September 13, 2000, Rambus filed suit against Micron Europe Limited in the High Court of Justice, Chancery Division in London, England, alleging that certain SDRAM and DDR SDRAM products infringe the U.K. counterpart to European patent 525 068. On September 22, 2000, Rambus filed a complaint against the Company and Reptronic (a distributor of the Company's products) in Court of First Instance of Paris, France, alleging that certain SDRAM and DDR SDRAM products infringe the French counterpart to European patent 525 068. In its suits against the Company, Rambus is seeking monetary damages and injunctive relief. On September 29, 2000, the Company filed suit against Rambus in the Civil Court of Milan, Italy, alleging invalidity and non-infringement of the Italian counterpart to European patent 525 068. On September 29, 2000, Rambus filed a preliminary proceeding against the Company and EBV (a distributor of the Company's products) in the Civil Court of Monza, Italy, alleging that certain SDRAM products infringe the Italian counterpart to European patent 525 068, and seeking the seizure of certain materials and the entry of a preliminary injunction as to products manufactured at the Company's Avezzano, Italy, site. On December 21, 2000, an appeals panel of the Court of Monza held that the Monza trial court had no jurisdiction to adjudicate the seizure matter. The Monza trial court ordered that technical review proceedings continue with respect to the issue of preliminary injunction. On May 24, 2001, the trial court rejected Rambus' assertions of infringement and denied its request for a preliminary injunction. Rambus' appeal from the trial judge's ruling was rejected by the Monza appeals panel on July 18, 2001. On December 29, 2000, the Company filed suit against Rambus in the Civil Court of Avezzano, Italy, alleging invalidity and non-infringement of the Italian counterpart to European patent 1 004 956. On August 10, 2001, Rambus filed suit against the Company and Assitec (an electronics retailer) in the Civil Court of Pavia, Italy, alleging that certain DDR SDRAM products infringe the Italian counterpart to European patent 1 022 642. The Company is unable to predict the outcome of these suits. A court determination that the Company's manufacturing processes or products infringe the product or process rights of others could result in significant liability and/or require the Company to make material changes to its products and/or manufacturing processes. Any of the</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foregoing results could have a material adverse effect on the Company's business, results of operations or financial condition.</w:t>
      </w:r>
    </w:p>
    <w:p>
      <w:pPr>
        <w:spacing w:after="0" w:line="225"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On June 17, 2002, the Company received a grand jury subpoena from the U.S. District Court for the Northern District of California as part of an investigation by the Antitrust Division of the U.S. Department of Justice ("DOJ") regarding possible antitrust violations in the semiconductor memory market known as the "Dynamic Random Access Memory" or "DRAM" industry. The Company is cooperating fully with the DOJ in its investigation. Subsequent to the commencement of the DOJ investigation, a number of purported class action lawsuits were filed against the Company and other DRAM suppliers. Sixteen cases were filed between June 21, 2002 and September 19, 2002 in the following federal district courts: one in the Southern District of New York, five in the District of</w:t>
      </w:r>
    </w:p>
    <w:p>
      <w:pPr>
        <w:sectPr>
          <w:pgSz w:w="11900" w:h="16838" w:orient="portrait"/>
          <w:cols w:equalWidth="0" w:num="1">
            <w:col w:w="11380"/>
          </w:cols>
          <w:pgMar w:left="240" w:top="131" w:right="279" w:bottom="0" w:gutter="0" w:footer="0" w:header="0"/>
        </w:sectPr>
      </w:pPr>
    </w:p>
    <w:bookmarkStart w:id="7" w:name="page8"/>
    <w:bookmarkEnd w:id="7"/>
    <w:p>
      <w:pPr>
        <w:spacing w:after="0" w:line="6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Idaho, and ten in the Northern District of California. Each of the federal district court cases purports to be on behalf of a class of individuals and entities who purchased DRAM directly from the various DRAM suppliers during a specified time period commencing on or after October 1, 2001. The complaints allege price-fixing in violation of the Sherman Act and seek treble damages in unspecified amounts, costs, attorneys' fees, and an injunction against the allegedly unlawful conduct. On September 26, 2002, the Judicial Panel on Multi-District Litigation ("JPML") held a hearing to determine a single federal district court to conduct coordinated or consolidated pretrial proceedings in the foregoing federal cases. The JPML took the matter under submission, and the Company is awaiting a decision. Five additional cases were filed between August 2, 2002 and September 23, 2002 in the following California state courts: three in San Francisco County, one in Santa Clara County, and one in Los Angeles County. Each of the California state cases purports to be on behalf of a class of individuals and entities who indirectly purchased DRAM during a specified time period commencing December 1, 2001. The complaints allege violations of California's Cartwright Act and Unfair Competition Law and unjust enrichment and seek treble damages in unspecified amounts, restitution, costs, attorneys' fees, and an injunction against the allegedly unlawful conduct. In response to a petition filed by one of the plaintiffs, the Judicial Council of California will determine a single state court for coordination of the foregoing state cases. The Company is unable to predict the outcome of these suits. A court determination that the Company has violated federal or state antitrust laws could result in significant liability and could have a material adverse effect on the Company's results of operations or financial condition.</w:t>
      </w:r>
    </w:p>
    <w:p>
      <w:pPr>
        <w:spacing w:after="0" w:line="17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"Item 7. Management's Discussion and Analysis of Financial Condition and Results of Operations—Certain Factors.")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Submission of Matters to a Vote of Security Holders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There were no matters submitted to a vote of security holders during the fourth quarter of 2002.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and Related Stockholder Matters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Market for Common Stock</w:t>
      </w:r>
    </w:p>
    <w:p>
      <w:pPr>
        <w:spacing w:after="0" w:line="225" w:lineRule="exact"/>
        <w:rPr>
          <w:sz w:val="20"/>
          <w:szCs w:val="20"/>
          <w:color w:val="auto"/>
        </w:rPr>
      </w:pPr>
    </w:p>
    <w:p>
      <w:pPr>
        <w:ind w:right="80" w:firstLine="348"/>
        <w:spacing w:after="0" w:line="332" w:lineRule="auto"/>
        <w:rPr>
          <w:sz w:val="20"/>
          <w:szCs w:val="20"/>
          <w:color w:val="auto"/>
        </w:rPr>
      </w:pPr>
      <w:r>
        <w:rPr>
          <w:rFonts w:ascii="Arial" w:cs="Arial" w:eastAsia="Arial" w:hAnsi="Arial"/>
          <w:sz w:val="16"/>
          <w:szCs w:val="16"/>
          <w:color w:val="auto"/>
        </w:rPr>
        <w:t>The Company's common stock is listed on the New York Stock Exchange and is traded under the symbol "MU." The following table represents the high and low closing sales prices for the Company's common stock for each quarter of 2002 and 2001, as reported by Bloomberg L.P.</w:t>
      </w:r>
    </w:p>
    <w:p>
      <w:pPr>
        <w:spacing w:after="0" w:line="135"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tcPr>
          <w:p>
            <w:pPr>
              <w:ind w:left="140"/>
              <w:spacing w:after="0"/>
              <w:rPr>
                <w:sz w:val="20"/>
                <w:szCs w:val="20"/>
                <w:color w:val="auto"/>
              </w:rPr>
            </w:pPr>
            <w:r>
              <w:rPr>
                <w:rFonts w:ascii="Arial" w:cs="Arial" w:eastAsia="Arial" w:hAnsi="Arial"/>
                <w:sz w:val="14"/>
                <w:szCs w:val="14"/>
                <w:b w:val="1"/>
                <w:bCs w:val="1"/>
                <w:color w:val="auto"/>
              </w:rPr>
              <w:t>High</w:t>
            </w:r>
          </w:p>
        </w:tc>
        <w:tc>
          <w:tcPr>
            <w:tcW w:w="220" w:type="dxa"/>
            <w:vAlign w:val="bottom"/>
          </w:tcPr>
          <w:p>
            <w:pPr>
              <w:spacing w:after="0"/>
              <w:rPr>
                <w:sz w:val="15"/>
                <w:szCs w:val="15"/>
                <w:color w:val="auto"/>
              </w:rPr>
            </w:pPr>
          </w:p>
        </w:tc>
        <w:tc>
          <w:tcPr>
            <w:tcW w:w="760" w:type="dxa"/>
            <w:vAlign w:val="bottom"/>
            <w:gridSpan w:val="2"/>
          </w:tcPr>
          <w:p>
            <w:pPr>
              <w:ind w:left="140"/>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7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2002:</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40" w:type="dxa"/>
            <w:vAlign w:val="bottom"/>
          </w:tcPr>
          <w:p>
            <w:pPr>
              <w:ind w:left="220"/>
              <w:spacing w:after="0"/>
              <w:rPr>
                <w:sz w:val="20"/>
                <w:szCs w:val="20"/>
                <w:color w:val="auto"/>
              </w:rPr>
            </w:pPr>
            <w:r>
              <w:rPr>
                <w:rFonts w:ascii="Arial" w:cs="Arial" w:eastAsia="Arial" w:hAnsi="Arial"/>
                <w:sz w:val="18"/>
                <w:szCs w:val="18"/>
                <w:color w:val="auto"/>
              </w:rPr>
              <w:t>4th quarter</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24.450</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17.250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3rd quarter</w:t>
            </w:r>
          </w:p>
        </w:tc>
        <w:tc>
          <w:tcPr>
            <w:tcW w:w="2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39.500</w:t>
            </w:r>
          </w:p>
        </w:tc>
        <w:tc>
          <w:tcPr>
            <w:tcW w:w="2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22.470</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40" w:type="dxa"/>
            <w:vAlign w:val="bottom"/>
          </w:tcPr>
          <w:p>
            <w:pPr>
              <w:ind w:left="220"/>
              <w:spacing w:after="0"/>
              <w:rPr>
                <w:sz w:val="20"/>
                <w:szCs w:val="20"/>
                <w:color w:val="auto"/>
              </w:rPr>
            </w:pPr>
            <w:r>
              <w:rPr>
                <w:rFonts w:ascii="Arial" w:cs="Arial" w:eastAsia="Arial" w:hAnsi="Arial"/>
                <w:sz w:val="18"/>
                <w:szCs w:val="18"/>
                <w:color w:val="auto"/>
              </w:rPr>
              <w:t>2nd quarter</w:t>
            </w:r>
          </w:p>
        </w:tc>
        <w:tc>
          <w:tcPr>
            <w:tcW w:w="24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39.010</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27.160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1st quarter</w:t>
            </w:r>
          </w:p>
        </w:tc>
        <w:tc>
          <w:tcPr>
            <w:tcW w:w="2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37.610</w:t>
            </w:r>
          </w:p>
        </w:tc>
        <w:tc>
          <w:tcPr>
            <w:tcW w:w="2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17.250</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2001:</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4th quarter</w:t>
            </w:r>
          </w:p>
        </w:tc>
        <w:tc>
          <w:tcPr>
            <w:tcW w:w="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44.900</w:t>
            </w: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40" w:type="dxa"/>
            <w:vAlign w:val="bottom"/>
          </w:tcPr>
          <w:p>
            <w:pPr>
              <w:ind w:left="220"/>
              <w:spacing w:after="0"/>
              <w:rPr>
                <w:sz w:val="20"/>
                <w:szCs w:val="20"/>
                <w:color w:val="auto"/>
              </w:rPr>
            </w:pPr>
            <w:r>
              <w:rPr>
                <w:rFonts w:ascii="Arial" w:cs="Arial" w:eastAsia="Arial" w:hAnsi="Arial"/>
                <w:sz w:val="18"/>
                <w:szCs w:val="18"/>
                <w:color w:val="auto"/>
              </w:rPr>
              <w:t>3rd quarter</w:t>
            </w:r>
          </w:p>
        </w:tc>
        <w:tc>
          <w:tcPr>
            <w:tcW w:w="24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48.830</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34.600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2nd quarter</w:t>
            </w:r>
          </w:p>
        </w:tc>
        <w:tc>
          <w:tcPr>
            <w:tcW w:w="2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46.850</w:t>
            </w:r>
          </w:p>
        </w:tc>
        <w:tc>
          <w:tcPr>
            <w:tcW w:w="2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29.938</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40" w:type="dxa"/>
            <w:vAlign w:val="bottom"/>
          </w:tcPr>
          <w:p>
            <w:pPr>
              <w:ind w:left="220"/>
              <w:spacing w:after="0"/>
              <w:rPr>
                <w:sz w:val="20"/>
                <w:szCs w:val="20"/>
                <w:color w:val="auto"/>
              </w:rPr>
            </w:pPr>
            <w:r>
              <w:rPr>
                <w:rFonts w:ascii="Arial" w:cs="Arial" w:eastAsia="Arial" w:hAnsi="Arial"/>
                <w:sz w:val="18"/>
                <w:szCs w:val="18"/>
                <w:color w:val="auto"/>
              </w:rPr>
              <w:t>1st quarter</w:t>
            </w:r>
          </w:p>
        </w:tc>
        <w:tc>
          <w:tcPr>
            <w:tcW w:w="24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78.375</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28.563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5397500</wp:posOffset>
            </wp:positionH>
            <wp:positionV relativeFrom="paragraph">
              <wp:posOffset>-1577340</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-1577340</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-1577340</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-1577340</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Holders of Record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October 10, 2002, there were 3,841 shareholders of record of the Company's common stock.</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does not intend to pay cash dividends on its common stock for the foreseeable future.</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334"/>
              <w:spacing w:after="0"/>
              <w:rPr>
                <w:sz w:val="20"/>
                <w:szCs w:val="20"/>
                <w:color w:val="auto"/>
              </w:rPr>
            </w:pPr>
            <w:r>
              <w:rPr>
                <w:rFonts w:ascii="Arial" w:cs="Arial" w:eastAsia="Arial" w:hAnsi="Arial"/>
                <w:sz w:val="14"/>
                <w:szCs w:val="14"/>
                <w:b w:val="1"/>
                <w:bCs w:val="1"/>
                <w:color w:val="auto"/>
              </w:rPr>
              <w:t>2002</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ind w:right="336"/>
              <w:spacing w:after="0"/>
              <w:rPr>
                <w:sz w:val="20"/>
                <w:szCs w:val="20"/>
                <w:color w:val="auto"/>
              </w:rPr>
            </w:pPr>
            <w:r>
              <w:rPr>
                <w:rFonts w:ascii="Arial" w:cs="Arial" w:eastAsia="Arial" w:hAnsi="Arial"/>
                <w:sz w:val="14"/>
                <w:szCs w:val="14"/>
                <w:b w:val="1"/>
                <w:bCs w:val="1"/>
                <w:color w:val="auto"/>
              </w:rPr>
              <w:t>2001</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ind w:right="334"/>
              <w:spacing w:after="0"/>
              <w:rPr>
                <w:sz w:val="20"/>
                <w:szCs w:val="20"/>
                <w:color w:val="auto"/>
              </w:rPr>
            </w:pPr>
            <w:r>
              <w:rPr>
                <w:rFonts w:ascii="Arial" w:cs="Arial" w:eastAsia="Arial" w:hAnsi="Arial"/>
                <w:sz w:val="14"/>
                <w:szCs w:val="14"/>
                <w:b w:val="1"/>
                <w:bCs w:val="1"/>
                <w:color w:val="auto"/>
              </w:rPr>
              <w:t>2000</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ind w:right="314"/>
              <w:spacing w:after="0"/>
              <w:rPr>
                <w:sz w:val="20"/>
                <w:szCs w:val="20"/>
                <w:color w:val="auto"/>
              </w:rPr>
            </w:pPr>
            <w:r>
              <w:rPr>
                <w:rFonts w:ascii="Arial" w:cs="Arial" w:eastAsia="Arial" w:hAnsi="Arial"/>
                <w:sz w:val="14"/>
                <w:szCs w:val="14"/>
                <w:b w:val="1"/>
                <w:bCs w:val="1"/>
                <w:color w:val="auto"/>
              </w:rPr>
              <w:t>1999</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354"/>
              <w:spacing w:after="0"/>
              <w:rPr>
                <w:sz w:val="20"/>
                <w:szCs w:val="20"/>
                <w:color w:val="auto"/>
              </w:rPr>
            </w:pPr>
            <w:r>
              <w:rPr>
                <w:rFonts w:ascii="Arial" w:cs="Arial" w:eastAsia="Arial" w:hAnsi="Arial"/>
                <w:sz w:val="14"/>
                <w:szCs w:val="14"/>
                <w:b w:val="1"/>
                <w:bCs w:val="1"/>
                <w:color w:val="auto"/>
              </w:rPr>
              <w:t>1998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4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Borders>
              <w:bottom w:val="single" w:sz="8" w:color="808080"/>
            </w:tcBorders>
            <w:gridSpan w:val="2"/>
          </w:tcPr>
          <w:p>
            <w:pPr>
              <w:spacing w:after="0"/>
              <w:rPr>
                <w:sz w:val="9"/>
                <w:szCs w:val="9"/>
                <w:color w:val="auto"/>
              </w:rPr>
            </w:pPr>
          </w:p>
        </w:tc>
        <w:tc>
          <w:tcPr>
            <w:tcW w:w="220" w:type="dxa"/>
            <w:vAlign w:val="bottom"/>
            <w:gridSpan w:val="2"/>
          </w:tcPr>
          <w:p>
            <w:pPr>
              <w:spacing w:after="0"/>
              <w:rPr>
                <w:sz w:val="9"/>
                <w:szCs w:val="9"/>
                <w:color w:val="auto"/>
              </w:rPr>
            </w:pPr>
          </w:p>
        </w:tc>
        <w:tc>
          <w:tcPr>
            <w:tcW w:w="1100" w:type="dxa"/>
            <w:vAlign w:val="bottom"/>
            <w:tcBorders>
              <w:bottom w:val="single" w:sz="8" w:color="808080"/>
            </w:tcBorders>
            <w:gridSpan w:val="2"/>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700" w:type="dxa"/>
            <w:vAlign w:val="bottom"/>
            <w:gridSpan w:val="9"/>
          </w:tcPr>
          <w:p>
            <w:pPr>
              <w:jc w:val="right"/>
              <w:ind w:right="700"/>
              <w:spacing w:after="0"/>
              <w:rPr>
                <w:sz w:val="20"/>
                <w:szCs w:val="20"/>
                <w:color w:val="auto"/>
              </w:rPr>
            </w:pPr>
            <w:r>
              <w:rPr>
                <w:rFonts w:ascii="Arial" w:cs="Arial" w:eastAsia="Arial" w:hAnsi="Arial"/>
                <w:sz w:val="14"/>
                <w:szCs w:val="14"/>
                <w:b w:val="1"/>
                <w:bCs w:val="1"/>
                <w:color w:val="auto"/>
                <w:w w:val="93"/>
              </w:rPr>
              <w:t>(amounts in millions except per share amounts)</w:t>
            </w: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4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2,589.0</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3,935.9</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6,362.4</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2,575.1</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Gross margin</w:t>
            </w: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(110.6)</w:t>
            </w: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110.7</w:t>
            </w:r>
          </w:p>
        </w:tc>
        <w:tc>
          <w:tcPr>
            <w:tcW w:w="2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3,248.1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628.1</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(1,025.3)</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(976.5)</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2,392.7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(19.6)</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Income (loss) from continuing operations</w:t>
            </w: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(907.0)</w:t>
            </w:r>
          </w:p>
        </w:tc>
        <w:tc>
          <w:tcPr>
            <w:tcW w:w="2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(521.2)</w:t>
            </w:r>
          </w:p>
        </w:tc>
        <w:tc>
          <w:tcPr>
            <w:tcW w:w="2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1,547.7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(59.0)</w:t>
            </w:r>
          </w:p>
        </w:tc>
        <w:tc>
          <w:tcPr>
            <w:tcW w:w="26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(224.5)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PC Operations, net of</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taxes and minority interest</w:t>
            </w: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(103.8)</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Net income (loss)</w:t>
            </w: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(907.0)</w:t>
            </w:r>
          </w:p>
        </w:tc>
        <w:tc>
          <w:tcPr>
            <w:tcW w:w="2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(625.0)</w:t>
            </w:r>
          </w:p>
        </w:tc>
        <w:tc>
          <w:tcPr>
            <w:tcW w:w="2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1,504.2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(68.9)</w:t>
            </w:r>
          </w:p>
        </w:tc>
        <w:tc>
          <w:tcPr>
            <w:tcW w:w="26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(247.1)</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(loss) per share:</w:t>
            </w: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Continuing operations</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(1.51)</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(0.88)</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2.63</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(0.11)</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Discontinued operations</w:t>
            </w:r>
          </w:p>
        </w:tc>
        <w:tc>
          <w:tcPr>
            <w:tcW w:w="2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(0.18)</w:t>
            </w:r>
          </w:p>
        </w:tc>
        <w:tc>
          <w:tcPr>
            <w:tcW w:w="2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(0.07)</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(0.02)</w:t>
            </w:r>
          </w:p>
        </w:tc>
        <w:tc>
          <w:tcPr>
            <w:tcW w:w="2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4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Net income (loss)</w:t>
            </w:r>
          </w:p>
        </w:tc>
        <w:tc>
          <w:tcPr>
            <w:tcW w:w="24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(1.51)</w:t>
            </w:r>
          </w:p>
        </w:tc>
        <w:tc>
          <w:tcPr>
            <w:tcW w:w="26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(1.05)</w:t>
            </w:r>
          </w:p>
        </w:tc>
        <w:tc>
          <w:tcPr>
            <w:tcW w:w="260" w:type="dxa"/>
            <w:vAlign w:val="bottom"/>
            <w:tcBorders>
              <w:bottom w:val="single" w:sz="8" w:color="CCEEFF"/>
            </w:tcBorders>
          </w:tcPr>
          <w:p>
            <w:pPr>
              <w:spacing w:after="0"/>
              <w:rPr>
                <w:sz w:val="21"/>
                <w:szCs w:val="21"/>
                <w:color w:val="auto"/>
              </w:rPr>
            </w:pPr>
          </w:p>
        </w:tc>
        <w:tc>
          <w:tcPr>
            <w:tcW w:w="98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2.56</w:t>
            </w: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(0.13)</w:t>
            </w:r>
          </w:p>
        </w:tc>
        <w:tc>
          <w:tcPr>
            <w:tcW w:w="26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3502025</wp:posOffset>
            </wp:positionH>
            <wp:positionV relativeFrom="paragraph">
              <wp:posOffset>-2037715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2816225</wp:posOffset>
            </wp:positionH>
            <wp:positionV relativeFrom="paragraph">
              <wp:posOffset>-2037715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-2037715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-2037715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-2037715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-2037715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-2037715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-2037715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-2037715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-2037715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131" w:right="239" w:bottom="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432"/>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Cash and short-term investments</w:t>
            </w:r>
          </w:p>
        </w:tc>
        <w:tc>
          <w:tcPr>
            <w:tcW w:w="13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985.7</w:t>
            </w:r>
          </w:p>
        </w:tc>
        <w:tc>
          <w:tcPr>
            <w:tcW w:w="5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1,678.3</w:t>
            </w:r>
          </w:p>
        </w:tc>
        <w:tc>
          <w:tcPr>
            <w:tcW w:w="4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2,466.4</w:t>
            </w:r>
          </w:p>
        </w:tc>
        <w:tc>
          <w:tcPr>
            <w:tcW w:w="4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1,613.5</w:t>
            </w:r>
          </w:p>
        </w:tc>
        <w:tc>
          <w:tcPr>
            <w:tcW w:w="4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649.6</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Current assets</w:t>
            </w:r>
          </w:p>
        </w:tc>
        <w:tc>
          <w:tcPr>
            <w:tcW w:w="1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2,118.8</w:t>
            </w:r>
          </w:p>
        </w:tc>
        <w:tc>
          <w:tcPr>
            <w:tcW w:w="50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3,137.7</w:t>
            </w:r>
          </w:p>
        </w:tc>
        <w:tc>
          <w:tcPr>
            <w:tcW w:w="460" w:type="dxa"/>
            <w:vAlign w:val="bottom"/>
          </w:tcPr>
          <w:p>
            <w:pPr>
              <w:spacing w:after="0"/>
              <w:rPr>
                <w:sz w:val="18"/>
                <w:szCs w:val="18"/>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4,720.1</w:t>
            </w:r>
          </w:p>
        </w:tc>
        <w:tc>
          <w:tcPr>
            <w:tcW w:w="440" w:type="dxa"/>
            <w:vAlign w:val="bottom"/>
          </w:tcPr>
          <w:p>
            <w:pPr>
              <w:spacing w:after="0"/>
              <w:rPr>
                <w:sz w:val="18"/>
                <w:szCs w:val="18"/>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2,689.6</w:t>
            </w:r>
          </w:p>
        </w:tc>
        <w:tc>
          <w:tcPr>
            <w:tcW w:w="46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1,367.7</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4,699.5</w:t>
            </w: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4,704.1</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4,171.7</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3,749.1</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3,005.4</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Total assets</w:t>
            </w:r>
          </w:p>
        </w:tc>
        <w:tc>
          <w:tcPr>
            <w:tcW w:w="1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7,555.4</w:t>
            </w:r>
          </w:p>
        </w:tc>
        <w:tc>
          <w:tcPr>
            <w:tcW w:w="50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8,363.2</w:t>
            </w:r>
          </w:p>
        </w:tc>
        <w:tc>
          <w:tcPr>
            <w:tcW w:w="460" w:type="dxa"/>
            <w:vAlign w:val="bottom"/>
          </w:tcPr>
          <w:p>
            <w:pPr>
              <w:spacing w:after="0"/>
              <w:rPr>
                <w:sz w:val="18"/>
                <w:szCs w:val="18"/>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9,391.9</w:t>
            </w:r>
          </w:p>
        </w:tc>
        <w:tc>
          <w:tcPr>
            <w:tcW w:w="440" w:type="dxa"/>
            <w:vAlign w:val="bottom"/>
          </w:tcPr>
          <w:p>
            <w:pPr>
              <w:spacing w:after="0"/>
              <w:rPr>
                <w:sz w:val="18"/>
                <w:szCs w:val="18"/>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6,773.5</w:t>
            </w:r>
          </w:p>
        </w:tc>
        <w:tc>
          <w:tcPr>
            <w:tcW w:w="46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4,539.8</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752.7</w:t>
            </w: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687.0</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1,447.1</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731.2</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540.5</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Long-term debt</w:t>
            </w:r>
          </w:p>
        </w:tc>
        <w:tc>
          <w:tcPr>
            <w:tcW w:w="1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360.8</w:t>
            </w:r>
          </w:p>
        </w:tc>
        <w:tc>
          <w:tcPr>
            <w:tcW w:w="500" w:type="dxa"/>
            <w:vAlign w:val="bottom"/>
          </w:tcPr>
          <w:p>
            <w:pPr>
              <w:spacing w:after="0"/>
              <w:rPr>
                <w:sz w:val="18"/>
                <w:szCs w:val="18"/>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445.0</w:t>
            </w:r>
          </w:p>
        </w:tc>
        <w:tc>
          <w:tcPr>
            <w:tcW w:w="460" w:type="dxa"/>
            <w:vAlign w:val="bottom"/>
          </w:tcPr>
          <w:p>
            <w:pPr>
              <w:spacing w:after="0"/>
              <w:rPr>
                <w:sz w:val="18"/>
                <w:szCs w:val="18"/>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931.4</w:t>
            </w:r>
          </w:p>
        </w:tc>
        <w:tc>
          <w:tcPr>
            <w:tcW w:w="440" w:type="dxa"/>
            <w:vAlign w:val="bottom"/>
          </w:tcPr>
          <w:p>
            <w:pPr>
              <w:spacing w:after="0"/>
              <w:rPr>
                <w:sz w:val="18"/>
                <w:szCs w:val="18"/>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1,527.5</w:t>
            </w:r>
          </w:p>
        </w:tc>
        <w:tc>
          <w:tcPr>
            <w:tcW w:w="46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756.8</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6,306.4</w:t>
            </w: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7,134.8</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6,432.0</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3,964.1</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2,701.3</w:t>
            </w:r>
          </w:p>
        </w:tc>
      </w:tr>
      <w:tr>
        <w:trPr>
          <w:trHeight w:val="430"/>
        </w:trPr>
        <w:tc>
          <w:tcPr>
            <w:tcW w:w="3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jc w:val="right"/>
              <w:ind w:right="192"/>
              <w:spacing w:after="0"/>
              <w:rPr>
                <w:sz w:val="20"/>
                <w:szCs w:val="20"/>
                <w:color w:val="auto"/>
              </w:rPr>
            </w:pPr>
            <w:r>
              <w:rPr>
                <w:rFonts w:ascii="Arial" w:cs="Arial" w:eastAsia="Arial" w:hAnsi="Arial"/>
                <w:sz w:val="18"/>
                <w:szCs w:val="18"/>
                <w:color w:val="auto"/>
                <w:w w:val="99"/>
              </w:rPr>
              <w:t>13</w:t>
            </w: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right="540" w:firstLine="351"/>
        <w:spacing w:after="0" w:line="332" w:lineRule="auto"/>
        <w:rPr>
          <w:sz w:val="20"/>
          <w:szCs w:val="20"/>
          <w:color w:val="auto"/>
        </w:rPr>
      </w:pPr>
      <w:r>
        <w:rPr>
          <w:rFonts w:ascii="Arial" w:cs="Arial" w:eastAsia="Arial" w:hAnsi="Arial"/>
          <w:sz w:val="16"/>
          <w:szCs w:val="16"/>
          <w:color w:val="auto"/>
        </w:rPr>
        <w:t>On May 31, 2001, Micron Electronics, Inc. ("MEI"), then a 61% owned subsidiary of the Company, completed the disposition of its PC business. The selected financial data above presents the net effect of discontinued PC Operations separate from the results of the Company's continuing operations.</w:t>
      </w:r>
    </w:p>
    <w:p>
      <w:pPr>
        <w:spacing w:after="0" w:line="139" w:lineRule="exact"/>
        <w:rPr>
          <w:sz w:val="20"/>
          <w:szCs w:val="20"/>
          <w:color w:val="auto"/>
        </w:rPr>
      </w:pPr>
    </w:p>
    <w:p>
      <w:pPr>
        <w:ind w:right="340" w:firstLine="351"/>
        <w:spacing w:after="0" w:line="306" w:lineRule="auto"/>
        <w:rPr>
          <w:sz w:val="20"/>
          <w:szCs w:val="20"/>
          <w:color w:val="auto"/>
        </w:rPr>
      </w:pPr>
      <w:r>
        <w:rPr>
          <w:rFonts w:ascii="Arial" w:cs="Arial" w:eastAsia="Arial" w:hAnsi="Arial"/>
          <w:sz w:val="16"/>
          <w:szCs w:val="16"/>
          <w:color w:val="auto"/>
        </w:rPr>
        <w:t>On August 6, 2001, MEI completed its merger with Interland, Inc., in a stock-for-stock acquisition (the "Interland Merger"). Upon completion of the Interland Merger, MEI changed its name to Interland, Inc. ("Interland") and the Company's ownership interest was reduced from 61% to 43% of Interland's outstanding common stock. On August 30, 2001, the Company contributed all of its shares of Interland common stock to the Micron Technology Foundation.</w:t>
      </w:r>
    </w:p>
    <w:p>
      <w:pPr>
        <w:spacing w:after="0" w:line="161"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In September 1998, the Company acquired substantially all of the memory operations of Texas Instruments Incorporated in a transaction that was accounted for as a business combination using the purchase method of accounting.</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Per share amounts reflect a two-for-one stock dividend on May 1, 2000.</w:t>
      </w:r>
    </w:p>
    <w:p>
      <w:pPr>
        <w:spacing w:after="0" w:line="225"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See "Item 7. Management's Discussion and Analysis of Financial Condition and Results of Operations—Certain Factors" and "Item 8. Financial Statements and Supplementary Data—Notes to Consolidated Financial Statements."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31"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Micron Technology, Inc., and its subsidiaries (hereinafter referred to collectively as the "Company") principally design, develop, manufacture and market semiconductor products.</w:t>
      </w:r>
    </w:p>
    <w:p>
      <w:pPr>
        <w:spacing w:after="0" w:line="186"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i w:val="1"/>
          <w:iCs w:val="1"/>
          <w:color w:val="auto"/>
        </w:rPr>
        <w:t>The following discussion contains trend information and other forward-looking statements that involve a number of risks and uncertainties. Forward-looking statements include, but are not limited to, statements such as those made in "Critical Accounting Policies" and "Income Taxes" regarding the modest levels of foreign taxation that the Company expects to be reflected in the income tax provision in future periods, in "Gross Margin" regarding the estimated amount of write-down remaining in inventory at the end of the first quarter of 2003, the estimated gross margins on TECH products in the first quarter of 2003 and the per megabit cost associated with products manufactured at the Company's Virginia facility, and in "Liquidity and Capital Resources" regarding capital spending in 2003. The Company's actual results could differ materially from the Company's historical results and those discussed in the forward-looking statements. Factors that could cause actual results to differ materially include, but are not limited to, those identified in "Certain Factors." This discussion should be read in conjunction with the Consolidated Financial Statements and accompanying notes. All period references are to the Company's fiscal periods unless otherwise indicated. Per share amounts for 2000 reflect a two-for-one stock split effected in the form of a stock dividend on May 1, 2000. All per share amounts are presented on a diluted basis.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31"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preparation of financial statements and related disclosures in conformity with United States generally accepted accounting principles ("U.S. GAAP") requires management to make estimates and judgments that affect the reported amounts of assets, liabilities, revenues, expenses and related disclosures. Estimates and judgments are based on historical experience, forecasted future events and various other assumptions that the Company believes to be reasonable under the circumstances. Estimates and judgments may differ under different assumptions or conditions. The Company evaluates its estimates and judgments on an ongoing basis. Management believes the critical accounting policies below are the most important to the portrayal of the Company's financial condition and results of operations and require management's most difficult, subjective or complex judgments.</w:t>
      </w:r>
    </w:p>
    <w:p>
      <w:pPr>
        <w:spacing w:after="0" w:line="168" w:lineRule="exact"/>
        <w:rPr>
          <w:sz w:val="20"/>
          <w:szCs w:val="20"/>
          <w:color w:val="auto"/>
        </w:rPr>
      </w:pPr>
    </w:p>
    <w:p>
      <w:pPr>
        <w:ind w:right="120" w:firstLine="351"/>
        <w:spacing w:after="0" w:line="275"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The Company evaluates the realizability of its deferred tax assets on an ongoing basis. The Company currently has significant deferred tax</w:t>
      </w:r>
      <w:r>
        <w:rPr>
          <w:rFonts w:ascii="Arial" w:cs="Arial" w:eastAsia="Arial" w:hAnsi="Arial"/>
          <w:sz w:val="18"/>
          <w:szCs w:val="18"/>
          <w:b w:val="1"/>
          <w:bCs w:val="1"/>
          <w:color w:val="auto"/>
        </w:rPr>
        <w:t xml:space="preserve"> </w:t>
      </w:r>
      <w:r>
        <w:rPr>
          <w:rFonts w:ascii="Arial" w:cs="Arial" w:eastAsia="Arial" w:hAnsi="Arial"/>
          <w:sz w:val="18"/>
          <w:szCs w:val="18"/>
          <w:color w:val="auto"/>
        </w:rPr>
        <w:t>assets resulting from net operating loss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carryforwards which will offset taxable income in future periods. U.S. GAAP requires the assessment of the Company's performance and other relevant factors when determining the need for a valuation allowance with respect to these deferred tax assets. The Company's ability to realize deferred tax assets is dependent on its ability to generate future taxable income sufficient to utilize loss carryforwards or tax credits before their expiration. In the evaluation of realizability of deferred tax assets, factors such as recent losses are given substantially more weight than forecasted future profitability. A valuation allowance was established in the fourth quarter of 2002 for the Company's U.S. deferred tax assets, resulting in a $348 million charge to the provision for income taxes. The Company expects that until it utilizes these operating loss carryforwards the consolidated income tax provision will only reflect modest levels of foreign taxation.</w:t>
      </w:r>
    </w:p>
    <w:p>
      <w:pPr>
        <w:spacing w:after="0" w:line="174" w:lineRule="exact"/>
        <w:rPr>
          <w:sz w:val="20"/>
          <w:szCs w:val="20"/>
          <w:color w:val="auto"/>
        </w:rPr>
      </w:pPr>
    </w:p>
    <w:p>
      <w:pPr>
        <w:jc w:val="both"/>
        <w:ind w:right="100" w:firstLine="348"/>
        <w:spacing w:after="0" w:line="259" w:lineRule="auto"/>
        <w:rPr>
          <w:sz w:val="20"/>
          <w:szCs w:val="20"/>
          <w:color w:val="auto"/>
        </w:rPr>
      </w:pPr>
      <w:r>
        <w:rPr>
          <w:rFonts w:ascii="Arial" w:cs="Arial" w:eastAsia="Arial" w:hAnsi="Arial"/>
          <w:sz w:val="18"/>
          <w:szCs w:val="18"/>
          <w:color w:val="auto"/>
        </w:rPr>
        <w:t>The Company is also required to estimate income tax provisions and amounts ultimately payable or recoverable in numerous jurisdictions around the world. Such estimates involve significant interpretations of regulations and are inherently very complex. Resolution of income tax treatments in individual jurisdictions may not be known for many years after completion of any fiscal year.</w:t>
      </w:r>
    </w:p>
    <w:p>
      <w:pPr>
        <w:spacing w:after="0" w:line="188" w:lineRule="exact"/>
        <w:rPr>
          <w:sz w:val="20"/>
          <w:szCs w:val="20"/>
          <w:color w:val="auto"/>
        </w:rPr>
      </w:pPr>
    </w:p>
    <w:p>
      <w:pPr>
        <w:ind w:right="40" w:firstLine="351"/>
        <w:spacing w:after="0" w:line="301" w:lineRule="auto"/>
        <w:rPr>
          <w:sz w:val="20"/>
          <w:szCs w:val="20"/>
          <w:color w:val="auto"/>
        </w:rPr>
      </w:pPr>
      <w:r>
        <w:rPr>
          <w:rFonts w:ascii="Arial" w:cs="Arial" w:eastAsia="Arial" w:hAnsi="Arial"/>
          <w:sz w:val="16"/>
          <w:szCs w:val="16"/>
          <w:b w:val="1"/>
          <w:bCs w:val="1"/>
          <w:color w:val="auto"/>
        </w:rPr>
        <w:t xml:space="preserve">Inventories: </w:t>
      </w:r>
      <w:r>
        <w:rPr>
          <w:rFonts w:ascii="Arial" w:cs="Arial" w:eastAsia="Arial" w:hAnsi="Arial"/>
          <w:sz w:val="16"/>
          <w:szCs w:val="16"/>
          <w:color w:val="auto"/>
        </w:rPr>
        <w:t>Inventories are stated at the lower of average cost or market value. Cost includes labor, material and overhead costs, including product and</w:t>
      </w:r>
      <w:r>
        <w:rPr>
          <w:rFonts w:ascii="Arial" w:cs="Arial" w:eastAsia="Arial" w:hAnsi="Arial"/>
          <w:sz w:val="16"/>
          <w:szCs w:val="16"/>
          <w:b w:val="1"/>
          <w:bCs w:val="1"/>
          <w:color w:val="auto"/>
        </w:rPr>
        <w:t xml:space="preserve"> </w:t>
      </w:r>
      <w:r>
        <w:rPr>
          <w:rFonts w:ascii="Arial" w:cs="Arial" w:eastAsia="Arial" w:hAnsi="Arial"/>
          <w:sz w:val="16"/>
          <w:szCs w:val="16"/>
          <w:color w:val="auto"/>
        </w:rPr>
        <w:t>process technology costs. Determining market value of inventories requires judgment in that it requires the Company to project unit prices and volumes for future periods in which it expects to sell the inventory. As a result of these analyses, the Company records a charge to cost of goods sold in advance of when the inventory is actually sold to reflect market values that are below the Company's costs. Due to the volatile nature of the semiconductor memory industry, actual</w:t>
      </w:r>
    </w:p>
    <w:p>
      <w:pPr>
        <w:sectPr>
          <w:pgSz w:w="11900" w:h="16838" w:orient="portrait"/>
          <w:cols w:equalWidth="0" w:num="1">
            <w:col w:w="11420"/>
          </w:cols>
          <w:pgMar w:left="240" w:top="140" w:right="239" w:bottom="0" w:gutter="0" w:footer="0" w:header="0"/>
        </w:sectPr>
      </w:pPr>
    </w:p>
    <w:bookmarkStart w:id="9" w:name="page10"/>
    <w:bookmarkEnd w:id="9"/>
    <w:p>
      <w:pPr>
        <w:ind w:right="100"/>
        <w:spacing w:after="0" w:line="268" w:lineRule="auto"/>
        <w:rPr>
          <w:sz w:val="20"/>
          <w:szCs w:val="20"/>
          <w:color w:val="auto"/>
        </w:rPr>
      </w:pPr>
      <w:r>
        <w:rPr>
          <w:rFonts w:ascii="Arial" w:cs="Arial" w:eastAsia="Arial" w:hAnsi="Arial"/>
          <w:sz w:val="18"/>
          <w:szCs w:val="18"/>
          <w:color w:val="auto"/>
        </w:rPr>
        <w:t>selling prices and volumes often vary significantly from projected prices and volumes. As a result, the timing of when product cost are charged to operations can vary significantly.</w:t>
      </w:r>
    </w:p>
    <w:p>
      <w:pPr>
        <w:spacing w:after="0" w:line="186"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U.S. GAAP provides for inventory to be grouped into categories in order to compare costs to market values. The amount of any inventory write-down can vary significantly depending on the determination of inventory categories. The majority of the Company's inventory has been categorized as volatile (DRAM and SRAM) or non-volatile (Flash). The major characteristics the Company considers in determining inventory categories are product type and markets.</w:t>
      </w:r>
    </w:p>
    <w:p>
      <w:pPr>
        <w:spacing w:after="0" w:line="155" w:lineRule="exact"/>
        <w:rPr>
          <w:sz w:val="20"/>
          <w:szCs w:val="20"/>
          <w:color w:val="auto"/>
        </w:rPr>
      </w:pPr>
    </w:p>
    <w:p>
      <w:pPr>
        <w:ind w:right="120" w:firstLine="351"/>
        <w:spacing w:after="0" w:line="326" w:lineRule="auto"/>
        <w:rPr>
          <w:sz w:val="20"/>
          <w:szCs w:val="20"/>
          <w:color w:val="auto"/>
        </w:rPr>
      </w:pPr>
      <w:r>
        <w:rPr>
          <w:rFonts w:ascii="Arial" w:cs="Arial" w:eastAsia="Arial" w:hAnsi="Arial"/>
          <w:sz w:val="15"/>
          <w:szCs w:val="15"/>
          <w:b w:val="1"/>
          <w:bCs w:val="1"/>
          <w:color w:val="auto"/>
        </w:rPr>
        <w:t xml:space="preserve">Product and process technology: </w:t>
      </w:r>
      <w:r>
        <w:rPr>
          <w:rFonts w:ascii="Arial" w:cs="Arial" w:eastAsia="Arial" w:hAnsi="Arial"/>
          <w:sz w:val="15"/>
          <w:szCs w:val="15"/>
          <w:color w:val="auto"/>
        </w:rPr>
        <w:t>Costs incurred to acquire product and process technology or to patent technology developed by the Company are</w:t>
      </w:r>
      <w:r>
        <w:rPr>
          <w:rFonts w:ascii="Arial" w:cs="Arial" w:eastAsia="Arial" w:hAnsi="Arial"/>
          <w:sz w:val="15"/>
          <w:szCs w:val="15"/>
          <w:b w:val="1"/>
          <w:bCs w:val="1"/>
          <w:color w:val="auto"/>
        </w:rPr>
        <w:t xml:space="preserve"> </w:t>
      </w:r>
      <w:r>
        <w:rPr>
          <w:rFonts w:ascii="Arial" w:cs="Arial" w:eastAsia="Arial" w:hAnsi="Arial"/>
          <w:sz w:val="15"/>
          <w:szCs w:val="15"/>
          <w:color w:val="auto"/>
        </w:rPr>
        <w:t>capitalized and amortized on a straight-line basis over periods currently ranging up to 10 years. The Company capitalizes a portion of costs incurred based on its analysis of historical and projected patent issuance rates. Capitalized product and process technology costs are amortized over the shorter of (i) the estimated useful life of the technology (the determination of which requires judgment by the Company), (ii) the patent term or (iii) the term of the technology agreement.</w:t>
      </w:r>
    </w:p>
    <w:p>
      <w:pPr>
        <w:spacing w:after="0" w:line="149" w:lineRule="exact"/>
        <w:rPr>
          <w:sz w:val="20"/>
          <w:szCs w:val="20"/>
          <w:color w:val="auto"/>
        </w:rPr>
      </w:pPr>
    </w:p>
    <w:p>
      <w:pPr>
        <w:jc w:val="both"/>
        <w:ind w:right="120" w:firstLine="351"/>
        <w:spacing w:after="0" w:line="306" w:lineRule="auto"/>
        <w:rPr>
          <w:sz w:val="20"/>
          <w:szCs w:val="20"/>
          <w:color w:val="auto"/>
        </w:rPr>
      </w:pPr>
      <w:r>
        <w:rPr>
          <w:rFonts w:ascii="Arial" w:cs="Arial" w:eastAsia="Arial" w:hAnsi="Arial"/>
          <w:sz w:val="16"/>
          <w:szCs w:val="16"/>
          <w:color w:val="auto"/>
        </w:rPr>
        <w:t>From time to time, others have asserted, and may in the future assert, that the Company's products or processes infringe their product or process technology rights. The Company accrues a liability and charges operations for the estimated costs of settlement or adjudication of asserted and unasserted claims for alleged infringement prior to the balance sheet date. However, it is difficult to predict the actual costs of settlement or adjudication.</w:t>
      </w:r>
    </w:p>
    <w:p>
      <w:pPr>
        <w:spacing w:after="0" w:line="155" w:lineRule="exact"/>
        <w:rPr>
          <w:sz w:val="20"/>
          <w:szCs w:val="20"/>
          <w:color w:val="auto"/>
        </w:rPr>
      </w:pPr>
    </w:p>
    <w:p>
      <w:pPr>
        <w:ind w:firstLine="351"/>
        <w:spacing w:after="0" w:line="296" w:lineRule="auto"/>
        <w:rPr>
          <w:sz w:val="20"/>
          <w:szCs w:val="20"/>
          <w:color w:val="auto"/>
        </w:rPr>
      </w:pPr>
      <w:r>
        <w:rPr>
          <w:rFonts w:ascii="Arial" w:cs="Arial" w:eastAsia="Arial" w:hAnsi="Arial"/>
          <w:sz w:val="16"/>
          <w:szCs w:val="16"/>
          <w:b w:val="1"/>
          <w:bCs w:val="1"/>
          <w:color w:val="auto"/>
        </w:rPr>
        <w:t xml:space="preserve">Property, plant and equipment: </w:t>
      </w:r>
      <w:r>
        <w:rPr>
          <w:rFonts w:ascii="Arial" w:cs="Arial" w:eastAsia="Arial" w:hAnsi="Arial"/>
          <w:sz w:val="16"/>
          <w:szCs w:val="16"/>
          <w:color w:val="auto"/>
        </w:rPr>
        <w:t>The Company reviews the carrying value of property, plant and equipment for impairment when events and</w:t>
      </w:r>
      <w:r>
        <w:rPr>
          <w:rFonts w:ascii="Arial" w:cs="Arial" w:eastAsia="Arial" w:hAnsi="Arial"/>
          <w:sz w:val="16"/>
          <w:szCs w:val="16"/>
          <w:b w:val="1"/>
          <w:bCs w:val="1"/>
          <w:color w:val="auto"/>
        </w:rPr>
        <w:t xml:space="preserve"> </w:t>
      </w:r>
      <w:r>
        <w:rPr>
          <w:rFonts w:ascii="Arial" w:cs="Arial" w:eastAsia="Arial" w:hAnsi="Arial"/>
          <w:sz w:val="16"/>
          <w:szCs w:val="16"/>
          <w:color w:val="auto"/>
        </w:rPr>
        <w:t>circumstances indicate that the carrying value of an asset may not be recoverable from the estimated future cash flows expected to result from its use and/or eventual disposition. In cases where undiscounted expected future cash flows are less than the carrying value, an impairment loss would be recognized equal to an amount by which the carrying value exceeds the indicated fair value of the assets. The estimation of future cash flows involves numerous assumptions which require judgment by the Company, including, but not limited to, future use of the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assets for Company operations versus sale or disposal of the assets, future selling prices for the Company's products and future sales volumes.</w:t>
      </w:r>
    </w:p>
    <w:p>
      <w:pPr>
        <w:spacing w:after="0" w:line="242" w:lineRule="exact"/>
        <w:rPr>
          <w:sz w:val="20"/>
          <w:szCs w:val="20"/>
          <w:color w:val="auto"/>
        </w:rPr>
      </w:pPr>
    </w:p>
    <w:p>
      <w:pPr>
        <w:ind w:right="20" w:firstLine="351"/>
        <w:spacing w:after="0" w:line="258" w:lineRule="auto"/>
        <w:rPr>
          <w:sz w:val="20"/>
          <w:szCs w:val="20"/>
          <w:color w:val="auto"/>
        </w:rPr>
      </w:pPr>
      <w:r>
        <w:rPr>
          <w:rFonts w:ascii="Arial" w:cs="Arial" w:eastAsia="Arial" w:hAnsi="Arial"/>
          <w:sz w:val="18"/>
          <w:szCs w:val="18"/>
          <w:b w:val="1"/>
          <w:bCs w:val="1"/>
          <w:color w:val="auto"/>
        </w:rPr>
        <w:t xml:space="preserve">Research and development: </w:t>
      </w:r>
      <w:r>
        <w:rPr>
          <w:rFonts w:ascii="Arial" w:cs="Arial" w:eastAsia="Arial" w:hAnsi="Arial"/>
          <w:sz w:val="18"/>
          <w:szCs w:val="18"/>
          <w:color w:val="auto"/>
        </w:rPr>
        <w:t>Costs related to the conceptual formulation and design of products and processes are expensed as research and development.</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Determining when product development is deemed complete requires judgment by the Company. The Company deems that development of a product is complete once the product has been thoroughly reviewed, tested for performance and reliability and is internally qualified for sale to customers. Subsequent to product qualification, product costs are valued in inventory.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Events</w:t>
      </w:r>
    </w:p>
    <w:p>
      <w:pPr>
        <w:spacing w:after="0" w:line="231"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On April 22, 2002, the Company acquired substantially all of the assets of Toshiba Corporation's ("Toshiba") DRAM operations at Dominion Semiconductor L.L.C. in Virginia. The total purchase price of $328 million included cash and 1.5 million shares of the Company's common stock. (See "Item 8. Financial Statements and Supplementary Data—Notes to Consolidated Financial Statements—Acquisitions—Toshiba Corporation DRAM Assets.")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7"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4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ind w:right="375"/>
              <w:spacing w:after="0"/>
              <w:rPr>
                <w:sz w:val="20"/>
                <w:szCs w:val="20"/>
                <w:color w:val="auto"/>
              </w:rPr>
            </w:pPr>
            <w:r>
              <w:rPr>
                <w:rFonts w:ascii="Arial" w:cs="Arial" w:eastAsia="Arial" w:hAnsi="Arial"/>
                <w:sz w:val="14"/>
                <w:szCs w:val="14"/>
                <w:b w:val="1"/>
                <w:bCs w:val="1"/>
                <w:color w:val="auto"/>
              </w:rPr>
              <w:t>2002</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334"/>
              <w:spacing w:after="0"/>
              <w:rPr>
                <w:sz w:val="20"/>
                <w:szCs w:val="20"/>
                <w:color w:val="auto"/>
              </w:rPr>
            </w:pPr>
            <w:r>
              <w:rPr>
                <w:rFonts w:ascii="Arial" w:cs="Arial" w:eastAsia="Arial" w:hAnsi="Arial"/>
                <w:sz w:val="14"/>
                <w:szCs w:val="14"/>
                <w:b w:val="1"/>
                <w:bCs w:val="1"/>
                <w:color w:val="auto"/>
              </w:rPr>
              <w:t>2001</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294"/>
              <w:spacing w:after="0"/>
              <w:rPr>
                <w:sz w:val="20"/>
                <w:szCs w:val="20"/>
                <w:color w:val="auto"/>
              </w:rPr>
            </w:pPr>
            <w:r>
              <w:rPr>
                <w:rFonts w:ascii="Arial" w:cs="Arial" w:eastAsia="Arial" w:hAnsi="Arial"/>
                <w:sz w:val="14"/>
                <w:szCs w:val="14"/>
                <w:b w:val="1"/>
                <w:bCs w:val="1"/>
                <w:color w:val="auto"/>
              </w:rPr>
              <w:t>2000</w:t>
            </w:r>
          </w:p>
        </w:tc>
        <w:tc>
          <w:tcPr>
            <w:tcW w:w="60" w:type="dxa"/>
            <w:vAlign w:val="bottom"/>
          </w:tcPr>
          <w:p>
            <w:pPr>
              <w:spacing w:after="0"/>
              <w:rPr>
                <w:sz w:val="15"/>
                <w:szCs w:val="15"/>
                <w:color w:val="auto"/>
              </w:rPr>
            </w:pPr>
          </w:p>
        </w:tc>
      </w:tr>
      <w:tr>
        <w:trPr>
          <w:trHeight w:val="105"/>
        </w:trPr>
        <w:tc>
          <w:tcPr>
            <w:tcW w:w="47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100" w:type="dxa"/>
            <w:vAlign w:val="bottom"/>
            <w:tcBorders>
              <w:bottom w:val="single" w:sz="8" w:color="808080"/>
            </w:tcBorders>
            <w:gridSpan w:val="2"/>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Borders>
              <w:bottom w:val="single" w:sz="8" w:color="808080"/>
            </w:tcBorders>
            <w:gridSpan w:val="2"/>
          </w:tcPr>
          <w:p>
            <w:pPr>
              <w:spacing w:after="0"/>
              <w:rPr>
                <w:sz w:val="9"/>
                <w:szCs w:val="9"/>
                <w:color w:val="auto"/>
              </w:rPr>
            </w:pPr>
          </w:p>
        </w:tc>
        <w:tc>
          <w:tcPr>
            <w:tcW w:w="60" w:type="dxa"/>
            <w:vAlign w:val="bottom"/>
          </w:tcPr>
          <w:p>
            <w:pPr>
              <w:spacing w:after="0"/>
              <w:rPr>
                <w:sz w:val="9"/>
                <w:szCs w:val="9"/>
                <w:color w:val="auto"/>
              </w:rPr>
            </w:pPr>
          </w:p>
        </w:tc>
      </w:tr>
      <w:tr>
        <w:trPr>
          <w:trHeight w:val="266"/>
        </w:trPr>
        <w:tc>
          <w:tcPr>
            <w:tcW w:w="47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560" w:type="dxa"/>
            <w:vAlign w:val="bottom"/>
            <w:gridSpan w:val="8"/>
          </w:tcPr>
          <w:p>
            <w:pPr>
              <w:jc w:val="right"/>
              <w:ind w:right="580"/>
              <w:spacing w:after="0"/>
              <w:rPr>
                <w:sz w:val="20"/>
                <w:szCs w:val="20"/>
                <w:color w:val="auto"/>
              </w:rPr>
            </w:pPr>
            <w:r>
              <w:rPr>
                <w:rFonts w:ascii="Arial" w:cs="Arial" w:eastAsia="Arial" w:hAnsi="Arial"/>
                <w:sz w:val="14"/>
                <w:szCs w:val="14"/>
                <w:b w:val="1"/>
                <w:bCs w:val="1"/>
                <w:color w:val="auto"/>
                <w:w w:val="93"/>
              </w:rPr>
              <w:t>(amounts in millions except per share amounts)</w:t>
            </w:r>
          </w:p>
        </w:tc>
      </w:tr>
      <w:tr>
        <w:trPr>
          <w:trHeight w:val="230"/>
        </w:trPr>
        <w:tc>
          <w:tcPr>
            <w:tcW w:w="4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4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2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42"/>
        </w:trPr>
        <w:tc>
          <w:tcPr>
            <w:tcW w:w="4720" w:type="dxa"/>
            <w:vAlign w:val="bottom"/>
          </w:tcPr>
          <w:p>
            <w:pPr>
              <w:ind w:left="260"/>
              <w:spacing w:after="0"/>
              <w:rPr>
                <w:sz w:val="20"/>
                <w:szCs w:val="20"/>
                <w:color w:val="auto"/>
              </w:rPr>
            </w:pPr>
            <w:r>
              <w:rPr>
                <w:rFonts w:ascii="Arial" w:cs="Arial" w:eastAsia="Arial" w:hAnsi="Arial"/>
                <w:sz w:val="18"/>
                <w:szCs w:val="18"/>
                <w:color w:val="auto"/>
              </w:rPr>
              <w:t>Semiconductor Operations</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2,589.0</w:t>
            </w:r>
          </w:p>
        </w:tc>
        <w:tc>
          <w:tcPr>
            <w:tcW w:w="240" w:type="dxa"/>
            <w:vAlign w:val="bottom"/>
          </w:tcPr>
          <w:p>
            <w:pPr>
              <w:spacing w:after="0"/>
              <w:rPr>
                <w:sz w:val="21"/>
                <w:szCs w:val="21"/>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3,882.6</w:t>
            </w:r>
          </w:p>
        </w:tc>
        <w:tc>
          <w:tcPr>
            <w:tcW w:w="220" w:type="dxa"/>
            <w:vAlign w:val="bottom"/>
          </w:tcPr>
          <w:p>
            <w:pPr>
              <w:spacing w:after="0"/>
              <w:rPr>
                <w:sz w:val="21"/>
                <w:szCs w:val="21"/>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6,329.7</w:t>
            </w:r>
          </w:p>
        </w:tc>
        <w:tc>
          <w:tcPr>
            <w:tcW w:w="60" w:type="dxa"/>
            <w:vAlign w:val="bottom"/>
          </w:tcPr>
          <w:p>
            <w:pPr>
              <w:spacing w:after="0"/>
              <w:rPr>
                <w:sz w:val="21"/>
                <w:szCs w:val="21"/>
                <w:color w:val="auto"/>
              </w:rPr>
            </w:pPr>
          </w:p>
        </w:tc>
      </w:tr>
      <w:tr>
        <w:trPr>
          <w:trHeight w:val="244"/>
        </w:trPr>
        <w:tc>
          <w:tcPr>
            <w:tcW w:w="4720" w:type="dxa"/>
            <w:vAlign w:val="bottom"/>
            <w:tcBorders>
              <w:right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Web-hosting Operations</w:t>
            </w:r>
          </w:p>
        </w:tc>
        <w:tc>
          <w:tcPr>
            <w:tcW w:w="260" w:type="dxa"/>
            <w:vAlign w:val="bottom"/>
            <w:shd w:val="clear" w:color="auto" w:fill="CCEEFF"/>
          </w:tcPr>
          <w:p>
            <w:pPr>
              <w:spacing w:after="0"/>
              <w:rPr>
                <w:sz w:val="21"/>
                <w:szCs w:val="21"/>
                <w:color w:val="auto"/>
              </w:rPr>
            </w:pPr>
          </w:p>
        </w:tc>
        <w:tc>
          <w:tcPr>
            <w:tcW w:w="11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60" w:type="dxa"/>
            <w:vAlign w:val="bottom"/>
            <w:shd w:val="clear" w:color="auto" w:fill="CCEEFF"/>
          </w:tcPr>
          <w:p>
            <w:pPr>
              <w:spacing w:after="0"/>
              <w:rPr>
                <w:sz w:val="21"/>
                <w:szCs w:val="21"/>
                <w:color w:val="auto"/>
              </w:rPr>
            </w:pPr>
          </w:p>
        </w:tc>
      </w:tr>
      <w:tr>
        <w:trPr>
          <w:trHeight w:val="241"/>
        </w:trPr>
        <w:tc>
          <w:tcPr>
            <w:tcW w:w="4720" w:type="dxa"/>
            <w:vAlign w:val="bottom"/>
          </w:tcPr>
          <w:p>
            <w:pPr>
              <w:ind w:left="26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(0.2)</w:t>
            </w:r>
          </w:p>
        </w:tc>
      </w:tr>
      <w:tr>
        <w:trPr>
          <w:trHeight w:val="120"/>
        </w:trPr>
        <w:tc>
          <w:tcPr>
            <w:tcW w:w="47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105"/>
        </w:trPr>
        <w:tc>
          <w:tcPr>
            <w:tcW w:w="4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4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Consolidated net sales</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2,589.0</w:t>
            </w: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3,935.9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6,362.4</w:t>
            </w:r>
          </w:p>
        </w:tc>
        <w:tc>
          <w:tcPr>
            <w:tcW w:w="60" w:type="dxa"/>
            <w:vAlign w:val="bottom"/>
            <w:shd w:val="clear" w:color="auto" w:fill="CCEEFF"/>
          </w:tcPr>
          <w:p>
            <w:pPr>
              <w:spacing w:after="0"/>
              <w:rPr>
                <w:sz w:val="18"/>
                <w:szCs w:val="18"/>
                <w:color w:val="auto"/>
              </w:rPr>
            </w:pPr>
          </w:p>
        </w:tc>
      </w:tr>
      <w:tr>
        <w:trPr>
          <w:trHeight w:val="105"/>
        </w:trPr>
        <w:tc>
          <w:tcPr>
            <w:tcW w:w="4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61"/>
        </w:trPr>
        <w:tc>
          <w:tcPr>
            <w:tcW w:w="472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20" w:type="dxa"/>
            <w:vAlign w:val="bottom"/>
            <w:tcBorders>
              <w:right w:val="single" w:sz="8" w:color="808080"/>
            </w:tcBorders>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6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r>
      <w:tr>
        <w:trPr>
          <w:trHeight w:val="320"/>
        </w:trPr>
        <w:tc>
          <w:tcPr>
            <w:tcW w:w="4720" w:type="dxa"/>
            <w:vAlign w:val="bottom"/>
          </w:tcPr>
          <w:p>
            <w:pPr>
              <w:spacing w:after="0"/>
              <w:rPr>
                <w:sz w:val="20"/>
                <w:szCs w:val="20"/>
                <w:color w:val="auto"/>
              </w:rPr>
            </w:pPr>
            <w:r>
              <w:rPr>
                <w:rFonts w:ascii="Arial" w:cs="Arial" w:eastAsia="Arial" w:hAnsi="Arial"/>
                <w:sz w:val="18"/>
                <w:szCs w:val="18"/>
                <w:color w:val="auto"/>
              </w:rPr>
              <w:t>Operating income (loss):</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4"/>
        </w:trPr>
        <w:tc>
          <w:tcPr>
            <w:tcW w:w="4720" w:type="dxa"/>
            <w:vAlign w:val="bottom"/>
            <w:tcBorders>
              <w:right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Semiconductor Operations</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1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(1,025.3)</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(920.8)</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2,445.6</w:t>
            </w:r>
          </w:p>
        </w:tc>
        <w:tc>
          <w:tcPr>
            <w:tcW w:w="60" w:type="dxa"/>
            <w:vAlign w:val="bottom"/>
            <w:shd w:val="clear" w:color="auto" w:fill="CCEEFF"/>
          </w:tcPr>
          <w:p>
            <w:pPr>
              <w:spacing w:after="0"/>
              <w:rPr>
                <w:sz w:val="21"/>
                <w:szCs w:val="21"/>
                <w:color w:val="auto"/>
              </w:rPr>
            </w:pPr>
          </w:p>
        </w:tc>
      </w:tr>
      <w:tr>
        <w:trPr>
          <w:trHeight w:val="242"/>
        </w:trPr>
        <w:tc>
          <w:tcPr>
            <w:tcW w:w="4720" w:type="dxa"/>
            <w:vAlign w:val="bottom"/>
          </w:tcPr>
          <w:p>
            <w:pPr>
              <w:ind w:left="260"/>
              <w:spacing w:after="0"/>
              <w:rPr>
                <w:sz w:val="20"/>
                <w:szCs w:val="20"/>
                <w:color w:val="auto"/>
              </w:rPr>
            </w:pPr>
            <w:r>
              <w:rPr>
                <w:rFonts w:ascii="Arial" w:cs="Arial" w:eastAsia="Arial" w:hAnsi="Arial"/>
                <w:sz w:val="18"/>
                <w:szCs w:val="18"/>
                <w:color w:val="auto"/>
              </w:rPr>
              <w:t>Web-hosting Operations</w:t>
            </w:r>
          </w:p>
        </w:tc>
        <w:tc>
          <w:tcPr>
            <w:tcW w:w="26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(56.1)</w:t>
            </w:r>
          </w:p>
        </w:tc>
        <w:tc>
          <w:tcPr>
            <w:tcW w:w="24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(47.0)</w:t>
            </w:r>
          </w:p>
        </w:tc>
      </w:tr>
      <w:tr>
        <w:trPr>
          <w:trHeight w:val="244"/>
        </w:trPr>
        <w:tc>
          <w:tcPr>
            <w:tcW w:w="4720" w:type="dxa"/>
            <w:vAlign w:val="bottom"/>
            <w:tcBorders>
              <w:right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21"/>
                <w:szCs w:val="21"/>
                <w:color w:val="auto"/>
              </w:rPr>
            </w:pPr>
          </w:p>
        </w:tc>
        <w:tc>
          <w:tcPr>
            <w:tcW w:w="11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118"/>
        </w:trPr>
        <w:tc>
          <w:tcPr>
            <w:tcW w:w="47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4720" w:type="dxa"/>
            <w:vAlign w:val="bottom"/>
          </w:tcPr>
          <w:p>
            <w:pPr>
              <w:spacing w:after="0"/>
              <w:rPr>
                <w:sz w:val="20"/>
                <w:szCs w:val="20"/>
                <w:color w:val="auto"/>
              </w:rPr>
            </w:pPr>
            <w:r>
              <w:rPr>
                <w:rFonts w:ascii="Arial" w:cs="Arial" w:eastAsia="Arial" w:hAnsi="Arial"/>
                <w:sz w:val="18"/>
                <w:szCs w:val="18"/>
                <w:color w:val="auto"/>
              </w:rPr>
              <w:t>Operating income (loss)</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(1,025.3)</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(976.5)</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2,392.7</w:t>
            </w:r>
          </w:p>
        </w:tc>
        <w:tc>
          <w:tcPr>
            <w:tcW w:w="60" w:type="dxa"/>
            <w:vAlign w:val="bottom"/>
          </w:tcPr>
          <w:p>
            <w:pPr>
              <w:spacing w:after="0"/>
              <w:rPr>
                <w:sz w:val="24"/>
                <w:szCs w:val="24"/>
                <w:color w:val="auto"/>
              </w:rPr>
            </w:pPr>
          </w:p>
        </w:tc>
      </w:tr>
      <w:tr>
        <w:trPr>
          <w:trHeight w:val="107"/>
        </w:trPr>
        <w:tc>
          <w:tcPr>
            <w:tcW w:w="4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61"/>
        </w:trPr>
        <w:tc>
          <w:tcPr>
            <w:tcW w:w="472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20" w:type="dxa"/>
            <w:vAlign w:val="bottom"/>
            <w:tcBorders>
              <w:right w:val="single" w:sz="8" w:color="808080"/>
            </w:tcBorders>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6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r>
      <w:tr>
        <w:trPr>
          <w:trHeight w:val="105"/>
        </w:trPr>
        <w:tc>
          <w:tcPr>
            <w:tcW w:w="4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4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1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(907.0)</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(521.2)</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1,547.7</w:t>
            </w:r>
          </w:p>
        </w:tc>
        <w:tc>
          <w:tcPr>
            <w:tcW w:w="60" w:type="dxa"/>
            <w:vAlign w:val="bottom"/>
            <w:shd w:val="clear" w:color="auto" w:fill="CCEEFF"/>
          </w:tcPr>
          <w:p>
            <w:pPr>
              <w:spacing w:after="0"/>
              <w:rPr>
                <w:sz w:val="18"/>
                <w:szCs w:val="18"/>
                <w:color w:val="auto"/>
              </w:rPr>
            </w:pPr>
          </w:p>
        </w:tc>
      </w:tr>
      <w:tr>
        <w:trPr>
          <w:trHeight w:val="222"/>
        </w:trPr>
        <w:tc>
          <w:tcPr>
            <w:tcW w:w="4720" w:type="dxa"/>
            <w:vAlign w:val="bottom"/>
          </w:tcPr>
          <w:p>
            <w:pPr>
              <w:spacing w:after="0"/>
              <w:rPr>
                <w:sz w:val="20"/>
                <w:szCs w:val="20"/>
                <w:color w:val="auto"/>
              </w:rPr>
            </w:pPr>
            <w:r>
              <w:rPr>
                <w:rFonts w:ascii="Arial" w:cs="Arial" w:eastAsia="Arial" w:hAnsi="Arial"/>
                <w:sz w:val="18"/>
                <w:szCs w:val="18"/>
                <w:color w:val="auto"/>
              </w:rPr>
              <w:t>Loss from discontinued PC Operations, net</w:t>
            </w:r>
          </w:p>
        </w:tc>
        <w:tc>
          <w:tcPr>
            <w:tcW w:w="26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(103.8)</w:t>
            </w:r>
          </w:p>
        </w:tc>
        <w:tc>
          <w:tcPr>
            <w:tcW w:w="24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(43.5)</w:t>
            </w:r>
          </w:p>
        </w:tc>
      </w:tr>
      <w:tr>
        <w:trPr>
          <w:trHeight w:val="112"/>
        </w:trPr>
        <w:tc>
          <w:tcPr>
            <w:tcW w:w="47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105"/>
        </w:trPr>
        <w:tc>
          <w:tcPr>
            <w:tcW w:w="4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4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1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(907.0)</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(625.0)</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1,504.2</w:t>
            </w:r>
          </w:p>
        </w:tc>
        <w:tc>
          <w:tcPr>
            <w:tcW w:w="60" w:type="dxa"/>
            <w:vAlign w:val="bottom"/>
            <w:shd w:val="clear" w:color="auto" w:fill="CCEEFF"/>
          </w:tcPr>
          <w:p>
            <w:pPr>
              <w:spacing w:after="0"/>
              <w:rPr>
                <w:sz w:val="18"/>
                <w:szCs w:val="18"/>
                <w:color w:val="auto"/>
              </w:rPr>
            </w:pPr>
          </w:p>
        </w:tc>
      </w:tr>
      <w:tr>
        <w:trPr>
          <w:trHeight w:val="105"/>
        </w:trPr>
        <w:tc>
          <w:tcPr>
            <w:tcW w:w="4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6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108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61"/>
        </w:trPr>
        <w:tc>
          <w:tcPr>
            <w:tcW w:w="472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20" w:type="dxa"/>
            <w:vAlign w:val="bottom"/>
            <w:tcBorders>
              <w:right w:val="single" w:sz="8" w:color="808080"/>
            </w:tcBorders>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6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r>
      <w:tr>
        <w:trPr>
          <w:trHeight w:val="319"/>
        </w:trPr>
        <w:tc>
          <w:tcPr>
            <w:tcW w:w="4720" w:type="dxa"/>
            <w:vAlign w:val="bottom"/>
          </w:tcPr>
          <w:p>
            <w:pPr>
              <w:spacing w:after="0"/>
              <w:rPr>
                <w:sz w:val="20"/>
                <w:szCs w:val="20"/>
                <w:color w:val="auto"/>
              </w:rPr>
            </w:pPr>
            <w:r>
              <w:rPr>
                <w:rFonts w:ascii="Arial" w:cs="Arial" w:eastAsia="Arial" w:hAnsi="Arial"/>
                <w:sz w:val="18"/>
                <w:szCs w:val="18"/>
                <w:color w:val="auto"/>
              </w:rPr>
              <w:t>Earnings (loss) per share from continuing operations</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(1.51)</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(0.88)</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2.63</w:t>
            </w:r>
          </w:p>
        </w:tc>
        <w:tc>
          <w:tcPr>
            <w:tcW w:w="60" w:type="dxa"/>
            <w:vAlign w:val="bottom"/>
          </w:tcPr>
          <w:p>
            <w:pPr>
              <w:spacing w:after="0"/>
              <w:rPr>
                <w:sz w:val="24"/>
                <w:szCs w:val="24"/>
                <w:color w:val="auto"/>
              </w:rPr>
            </w:pPr>
          </w:p>
        </w:tc>
      </w:tr>
      <w:tr>
        <w:trPr>
          <w:trHeight w:val="107"/>
        </w:trPr>
        <w:tc>
          <w:tcPr>
            <w:tcW w:w="4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61"/>
        </w:trPr>
        <w:tc>
          <w:tcPr>
            <w:tcW w:w="472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20" w:type="dxa"/>
            <w:vAlign w:val="bottom"/>
            <w:tcBorders>
              <w:right w:val="single" w:sz="8" w:color="808080"/>
            </w:tcBorders>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6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r>
      <w:tr>
        <w:trPr>
          <w:trHeight w:val="105"/>
        </w:trPr>
        <w:tc>
          <w:tcPr>
            <w:tcW w:w="4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4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 per share</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1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(1.51)</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(1.05)</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60" w:type="dxa"/>
            <w:vAlign w:val="bottom"/>
            <w:shd w:val="clear" w:color="auto" w:fill="CCEEFF"/>
          </w:tcPr>
          <w:p>
            <w:pPr>
              <w:spacing w:after="0"/>
              <w:rPr>
                <w:sz w:val="18"/>
                <w:szCs w:val="18"/>
                <w:color w:val="auto"/>
              </w:rPr>
            </w:pPr>
          </w:p>
        </w:tc>
      </w:tr>
      <w:tr>
        <w:trPr>
          <w:trHeight w:val="105"/>
        </w:trPr>
        <w:tc>
          <w:tcPr>
            <w:tcW w:w="4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61"/>
        </w:trPr>
        <w:tc>
          <w:tcPr>
            <w:tcW w:w="472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20" w:type="dxa"/>
            <w:vAlign w:val="bottom"/>
            <w:tcBorders>
              <w:right w:val="single" w:sz="8" w:color="808080"/>
            </w:tcBorders>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6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-3744595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-3744595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-3744595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-3744595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-3744595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-3744595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-2741295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-2741295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-2741295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-2741295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-2741295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-2741295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-1678305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-1678305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-1678305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-1678305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-1678305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-1678305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-940435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-940435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-940435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-940435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-940435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-940435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firstLine="351"/>
        <w:spacing w:after="0" w:line="335" w:lineRule="auto"/>
        <w:rPr>
          <w:sz w:val="20"/>
          <w:szCs w:val="20"/>
          <w:color w:val="auto"/>
        </w:rPr>
      </w:pPr>
      <w:r>
        <w:rPr>
          <w:rFonts w:ascii="Arial" w:cs="Arial" w:eastAsia="Arial" w:hAnsi="Arial"/>
          <w:sz w:val="15"/>
          <w:szCs w:val="15"/>
          <w:color w:val="auto"/>
        </w:rPr>
        <w:t>In the third quarter of 2001, the Company completed the divestiture of its PC business. The Company's consolidated financial information presents the net effect of discontinued PC Operations separate from the results of the Company's continuing operations. In the fourth quarter of 2001, the Company contributed its interest in its Interland Web-hosting Operations to the Micron Technology Foundation and incurred aggregate charges of $191 million to write down the carrying</w:t>
      </w:r>
    </w:p>
    <w:p>
      <w:pPr>
        <w:sectPr>
          <w:pgSz w:w="11900" w:h="16838" w:orient="portrait"/>
          <w:cols w:equalWidth="0" w:num="1">
            <w:col w:w="11400"/>
          </w:cols>
          <w:pgMar w:left="240" w:top="131" w:right="259" w:bottom="0" w:gutter="0" w:footer="0" w:header="0"/>
        </w:sectPr>
      </w:pPr>
    </w:p>
    <w:bookmarkStart w:id="10" w:name="page11"/>
    <w:bookmarkEnd w:id="10"/>
    <w:p>
      <w:pPr>
        <w:spacing w:after="0" w:line="332" w:lineRule="auto"/>
        <w:rPr>
          <w:sz w:val="20"/>
          <w:szCs w:val="20"/>
          <w:color w:val="auto"/>
        </w:rPr>
      </w:pPr>
      <w:r>
        <w:rPr>
          <w:rFonts w:ascii="Arial" w:cs="Arial" w:eastAsia="Arial" w:hAnsi="Arial"/>
          <w:sz w:val="16"/>
          <w:szCs w:val="16"/>
          <w:color w:val="auto"/>
        </w:rPr>
        <w:t>value of its equity interest in Interland to its market value and to reflect the contribution of Interland shares to the Foundation. (See "Item 8. Notes to Consolidated Financial Statements—Significant Accounting Policies—Basis of Presentation," "Discontinued PC Operations" and "Operating Segment Information.")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380" w:firstLine="351"/>
        <w:spacing w:after="0" w:line="259" w:lineRule="auto"/>
        <w:rPr>
          <w:sz w:val="20"/>
          <w:szCs w:val="20"/>
          <w:color w:val="auto"/>
        </w:rPr>
      </w:pPr>
      <w:r>
        <w:rPr>
          <w:rFonts w:ascii="Arial" w:cs="Arial" w:eastAsia="Arial" w:hAnsi="Arial"/>
          <w:sz w:val="18"/>
          <w:szCs w:val="18"/>
          <w:color w:val="auto"/>
        </w:rPr>
        <w:t>On April 30, 2001, the Company acquired Kobe Steel, Ltd.'s 75% interest in KMT Semiconductor Limited ("KMT") and KMT became a wholly-owned subsidiary of the Company. On April 1, 2002, KMT's name was changed to Micron Japan, Ltd. (See "Item 8. Financial Statement and Supplementary Data— Notes to Consolidated Financial Statements—Acquisitions—KMT Semiconductor Limited.")</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Company's results of operations for 2002 and 2001 were significantly affected by declines in average selling prices for its semiconductor memory products of 53% for 2002 as compared to 2001 and 60% for 2001 as compared to 2000. The decreases in average selling prices led to significantly lower net sales and to charges to cost of goods sold for write-downs of the Company's work in process and finished goods inventories totaling $376 million in 2002 and $727 million in 2001.</w:t>
      </w:r>
    </w:p>
    <w:p>
      <w:pPr>
        <w:spacing w:after="0" w:line="197" w:lineRule="exact"/>
        <w:rPr>
          <w:sz w:val="20"/>
          <w:szCs w:val="20"/>
          <w:color w:val="auto"/>
        </w:rPr>
      </w:pPr>
    </w:p>
    <w:p>
      <w:pPr>
        <w:ind w:right="180" w:firstLine="351"/>
        <w:spacing w:after="0" w:line="294" w:lineRule="auto"/>
        <w:rPr>
          <w:sz w:val="20"/>
          <w:szCs w:val="20"/>
          <w:color w:val="auto"/>
        </w:rPr>
      </w:pPr>
      <w:r>
        <w:rPr>
          <w:rFonts w:ascii="Arial" w:cs="Arial" w:eastAsia="Arial" w:hAnsi="Arial"/>
          <w:sz w:val="16"/>
          <w:szCs w:val="16"/>
          <w:color w:val="auto"/>
        </w:rPr>
        <w:t>Net sales for 2002 decreased by 34% as compared to 2001, primarily due to the 53% decline in average selling prices for the Company's semiconductor products. Total megabits of semiconductor memory sold increased by approximately 45% in 2002 as compared to 2001. Net sales decreased by 38% in 2001 as compared to 2000, primarily due to the 60% decline in average selling prices for the Company's semiconductor memory products. Total megabits of semiconductor memory sold increased by approximately 50% for the same period. The Company achieved higher megabit sales through shifts to higher density products, ongoing transitions to smaller die size versions of existing memory products ("shrink versions"), and, in 2001, increases in total wafer outs.</w:t>
      </w:r>
    </w:p>
    <w:p>
      <w:pPr>
        <w:spacing w:after="0" w:line="170" w:lineRule="exact"/>
        <w:rPr>
          <w:sz w:val="20"/>
          <w:szCs w:val="20"/>
          <w:color w:val="auto"/>
        </w:rPr>
      </w:pPr>
    </w:p>
    <w:p>
      <w:pPr>
        <w:jc w:val="both"/>
        <w:ind w:right="280" w:firstLine="351"/>
        <w:spacing w:after="0" w:line="332" w:lineRule="auto"/>
        <w:rPr>
          <w:sz w:val="20"/>
          <w:szCs w:val="20"/>
          <w:color w:val="auto"/>
        </w:rPr>
      </w:pPr>
      <w:r>
        <w:rPr>
          <w:rFonts w:ascii="Arial" w:cs="Arial" w:eastAsia="Arial" w:hAnsi="Arial"/>
          <w:sz w:val="16"/>
          <w:szCs w:val="16"/>
          <w:color w:val="auto"/>
        </w:rPr>
        <w:t>In the fourth quarter of 2002, the Company transitioned from the 256 Meg Synchronous DRAM ("SDRAM") to the 256 Meg Double Data Rate ("DDR") SDRAM as it's primary product in production. The Company's overall primary product in 2002 was the 128 Meg SDRAM which constituted 33% of net sales.</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Gross Margin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39"/>
              <w:spacing w:after="0"/>
              <w:rPr>
                <w:sz w:val="20"/>
                <w:szCs w:val="20"/>
                <w:color w:val="auto"/>
              </w:rPr>
            </w:pPr>
            <w:r>
              <w:rPr>
                <w:rFonts w:ascii="Arial" w:cs="Arial" w:eastAsia="Arial" w:hAnsi="Arial"/>
                <w:sz w:val="14"/>
                <w:szCs w:val="14"/>
                <w:b w:val="1"/>
                <w:bCs w:val="1"/>
                <w:color w:val="auto"/>
              </w:rPr>
              <w:t>2002</w:t>
            </w:r>
          </w:p>
        </w:tc>
        <w:tc>
          <w:tcPr>
            <w:tcW w:w="320" w:type="dxa"/>
            <w:vAlign w:val="bottom"/>
          </w:tcPr>
          <w:p>
            <w:pPr>
              <w:spacing w:after="0"/>
              <w:rPr>
                <w:sz w:val="15"/>
                <w:szCs w:val="15"/>
                <w:color w:val="auto"/>
              </w:rPr>
            </w:pPr>
          </w:p>
        </w:tc>
        <w:tc>
          <w:tcPr>
            <w:tcW w:w="118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94"/>
              </w:rPr>
              <w:t>% Change</w:t>
            </w:r>
          </w:p>
        </w:tc>
        <w:tc>
          <w:tcPr>
            <w:tcW w:w="620" w:type="dxa"/>
            <w:vAlign w:val="bottom"/>
          </w:tcPr>
          <w:p>
            <w:pPr>
              <w:jc w:val="right"/>
              <w:ind w:right="179"/>
              <w:spacing w:after="0"/>
              <w:rPr>
                <w:sz w:val="20"/>
                <w:szCs w:val="20"/>
                <w:color w:val="auto"/>
              </w:rPr>
            </w:pPr>
            <w:r>
              <w:rPr>
                <w:rFonts w:ascii="Arial" w:cs="Arial" w:eastAsia="Arial" w:hAnsi="Arial"/>
                <w:sz w:val="14"/>
                <w:szCs w:val="14"/>
                <w:b w:val="1"/>
                <w:bCs w:val="1"/>
                <w:color w:val="auto"/>
              </w:rPr>
              <w:t>2001</w:t>
            </w:r>
          </w:p>
        </w:tc>
        <w:tc>
          <w:tcPr>
            <w:tcW w:w="200" w:type="dxa"/>
            <w:vAlign w:val="bottom"/>
          </w:tcPr>
          <w:p>
            <w:pPr>
              <w:spacing w:after="0"/>
              <w:rPr>
                <w:sz w:val="15"/>
                <w:szCs w:val="15"/>
                <w:color w:val="auto"/>
              </w:rPr>
            </w:pPr>
          </w:p>
        </w:tc>
        <w:tc>
          <w:tcPr>
            <w:tcW w:w="124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w w:val="94"/>
              </w:rPr>
              <w:t>% Change</w:t>
            </w:r>
          </w:p>
        </w:tc>
        <w:tc>
          <w:tcPr>
            <w:tcW w:w="780" w:type="dxa"/>
            <w:vAlign w:val="bottom"/>
          </w:tcPr>
          <w:p>
            <w:pPr>
              <w:jc w:val="right"/>
              <w:ind w:right="279"/>
              <w:spacing w:after="0"/>
              <w:rPr>
                <w:sz w:val="20"/>
                <w:szCs w:val="20"/>
                <w:color w:val="auto"/>
              </w:rPr>
            </w:pPr>
            <w:r>
              <w:rPr>
                <w:rFonts w:ascii="Arial" w:cs="Arial" w:eastAsia="Arial" w:hAnsi="Arial"/>
                <w:sz w:val="14"/>
                <w:szCs w:val="14"/>
                <w:b w:val="1"/>
                <w:bCs w:val="1"/>
                <w:color w:val="auto"/>
              </w:rPr>
              <w:t>2000</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tcBorders>
              <w:bottom w:val="single" w:sz="8" w:color="808080"/>
            </w:tcBorders>
            <w:gridSpan w:val="2"/>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300" w:type="dxa"/>
            <w:vAlign w:val="bottom"/>
            <w:gridSpan w:val="4"/>
          </w:tcPr>
          <w:p>
            <w:pPr>
              <w:jc w:val="center"/>
              <w:ind w:left="12"/>
              <w:spacing w:after="0"/>
              <w:rPr>
                <w:sz w:val="20"/>
                <w:szCs w:val="20"/>
                <w:color w:val="auto"/>
              </w:rPr>
            </w:pPr>
            <w:r>
              <w:rPr>
                <w:rFonts w:ascii="Arial" w:cs="Arial" w:eastAsia="Arial" w:hAnsi="Arial"/>
                <w:sz w:val="14"/>
                <w:szCs w:val="14"/>
                <w:b w:val="1"/>
                <w:bCs w:val="1"/>
                <w:color w:val="auto"/>
                <w:w w:val="86"/>
              </w:rPr>
              <w:t>(amounts in millions)</w:t>
            </w:r>
          </w:p>
        </w:tc>
        <w:tc>
          <w:tcPr>
            <w:tcW w:w="7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4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(110.6)</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(199.9)% $</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110.7</w:t>
            </w: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(96.6)% $</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3,248.1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as a % of net sales</w:t>
            </w: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3561715</wp:posOffset>
            </wp:positionH>
            <wp:positionV relativeFrom="paragraph">
              <wp:posOffset>-607695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-607695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-607695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-607695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-607695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-607695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-607695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-607695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-607695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-607695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ind w:right="200" w:firstLine="348"/>
        <w:spacing w:after="0" w:line="259" w:lineRule="auto"/>
        <w:rPr>
          <w:sz w:val="20"/>
          <w:szCs w:val="20"/>
          <w:color w:val="auto"/>
        </w:rPr>
      </w:pPr>
      <w:r>
        <w:rPr>
          <w:rFonts w:ascii="Arial" w:cs="Arial" w:eastAsia="Arial" w:hAnsi="Arial"/>
          <w:sz w:val="18"/>
          <w:szCs w:val="18"/>
          <w:color w:val="auto"/>
        </w:rPr>
        <w:t>The Company's gross margin percentages decreased in 2002 and 2001. The declines in gross margin were primarily due to the decreases in average selling prices per megabit of memory and the effects of inventory write-downs, partially offset by reductions in per megabit manufacturing costs for the Company's semiconductor products.</w:t>
      </w:r>
    </w:p>
    <w:p>
      <w:pPr>
        <w:spacing w:after="0" w:line="194" w:lineRule="exact"/>
        <w:rPr>
          <w:sz w:val="20"/>
          <w:szCs w:val="20"/>
          <w:color w:val="auto"/>
        </w:rPr>
      </w:pPr>
    </w:p>
    <w:p>
      <w:pPr>
        <w:ind w:right="20" w:firstLine="351"/>
        <w:spacing w:after="0" w:line="312" w:lineRule="auto"/>
        <w:rPr>
          <w:sz w:val="20"/>
          <w:szCs w:val="20"/>
          <w:color w:val="auto"/>
        </w:rPr>
      </w:pPr>
      <w:r>
        <w:rPr>
          <w:rFonts w:ascii="Arial" w:cs="Arial" w:eastAsia="Arial" w:hAnsi="Arial"/>
          <w:sz w:val="15"/>
          <w:szCs w:val="15"/>
          <w:color w:val="auto"/>
        </w:rPr>
        <w:t>In recent quarters, average selling prices for the Company's semiconductor products have been below manufacturing costs, and accordingly the Company's results of operations, cash flows and financial condition have been adversely affected. To the extent the estimated market value of products held in finished goods and work in process inventories at a quarter end date is below the cost of these products, the Company recognizes a charge to cost of goods sold to write down the carrying value of inventory to the estimated market value. In this regard, in 2002 and 2001, the Company recorded charges to cost of goods sold to write down the carrying value of its inventories to their estimated market values. As these charges are recorded in advance of when inventory subject to the write-down is sold, gross margins in the period of sale are higher than they would be absent the effect of the previous write-downs. Excluding the effects on gross margin of inventory write-downs, gross margin for 2002 would have been lower by $324 million and gross margin for 2001 would have been higher by $564 million.</w:t>
      </w:r>
    </w:p>
    <w:p>
      <w:pPr>
        <w:spacing w:after="0" w:line="159" w:lineRule="exact"/>
        <w:rPr>
          <w:sz w:val="20"/>
          <w:szCs w:val="20"/>
          <w:color w:val="auto"/>
        </w:rPr>
      </w:pPr>
    </w:p>
    <w:p>
      <w:pPr>
        <w:ind w:right="180" w:firstLine="351"/>
        <w:spacing w:after="0" w:line="332" w:lineRule="auto"/>
        <w:rPr>
          <w:sz w:val="20"/>
          <w:szCs w:val="20"/>
          <w:color w:val="auto"/>
        </w:rPr>
      </w:pPr>
      <w:r>
        <w:rPr>
          <w:rFonts w:ascii="Arial" w:cs="Arial" w:eastAsia="Arial" w:hAnsi="Arial"/>
          <w:sz w:val="16"/>
          <w:szCs w:val="16"/>
          <w:color w:val="auto"/>
        </w:rPr>
        <w:t>Results of operations for the fourth quarter of 2002 include an inventory write-down of $174 million. Approximately 85% of this write-down related to the Company's SDRAM products, including products from the Company's newly acquired facility in Virginia. Of the cumulative inventory</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520"/>
        <w:spacing w:after="0" w:line="332" w:lineRule="auto"/>
        <w:rPr>
          <w:sz w:val="20"/>
          <w:szCs w:val="20"/>
          <w:color w:val="auto"/>
        </w:rPr>
      </w:pPr>
      <w:r>
        <w:rPr>
          <w:rFonts w:ascii="Arial" w:cs="Arial" w:eastAsia="Arial" w:hAnsi="Arial"/>
          <w:sz w:val="16"/>
          <w:szCs w:val="16"/>
          <w:color w:val="auto"/>
        </w:rPr>
        <w:t>write-downs recognized in 2002 and 2001, the Company estimates that approximately $240 million is associated with product remaining in inventory as of August 29, 2002. The Company estimates that approximately 50% of this amount will remain in inventory at the end of the first quarter of 2003.</w:t>
      </w:r>
    </w:p>
    <w:p>
      <w:pPr>
        <w:spacing w:after="0" w:line="139" w:lineRule="exact"/>
        <w:rPr>
          <w:sz w:val="20"/>
          <w:szCs w:val="20"/>
          <w:color w:val="auto"/>
        </w:rPr>
      </w:pPr>
    </w:p>
    <w:p>
      <w:pPr>
        <w:ind w:right="40" w:firstLine="351"/>
        <w:spacing w:after="0" w:line="286" w:lineRule="auto"/>
        <w:rPr>
          <w:sz w:val="20"/>
          <w:szCs w:val="20"/>
          <w:color w:val="auto"/>
        </w:rPr>
      </w:pPr>
      <w:r>
        <w:rPr>
          <w:rFonts w:ascii="Arial" w:cs="Arial" w:eastAsia="Arial" w:hAnsi="Arial"/>
          <w:sz w:val="16"/>
          <w:szCs w:val="16"/>
          <w:color w:val="auto"/>
        </w:rPr>
        <w:t>Subject to specific terms and conditions, the Company has agreed to purchase all of the products manufactured by its joint venture memory manufacturing operation, TECH Semiconductor Singapore Pte. Ltd. ("TECH"). TECH supplied approximately 20%, 25% and 20% of the total megabits of memory produced by the Company in 2002, 2001 and 2000, respectively. The Company generally purchases semiconductor products from TECH at prices determined quarterly, based on a discount from average selling price realized by the Company for the immediately preceding quarter. Depending on market conditions, the gross margin from the sale of TECH products may be higher or lower than the gross margin from the sale of products manufactured by the Company's wholly-owned facilities. The Company realized significantly higher gross margin percentages on sales of TECH products than for products manufactured by its wholly-owned facilities in 2002 and lower gross margins on sales of TECH products for 2001 and 2000. In light of continuing pricing declines occurring since early April 2002, the Company expects gross margins on sales of TECH products in the first quarter of 2003 to be higher than gross margins realized on products manufactured by the Company's wholly-owned operations. The Company performs assembly and test services on products manufactured by TECH. The Company also provides certain technology, engineering, and training support to TECH. All transactions with TECH are recognized as part of the net cost of products purchased from TECH.</w:t>
      </w:r>
    </w:p>
    <w:p>
      <w:pPr>
        <w:spacing w:after="0" w:line="181" w:lineRule="exact"/>
        <w:rPr>
          <w:sz w:val="20"/>
          <w:szCs w:val="20"/>
          <w:color w:val="auto"/>
        </w:rPr>
      </w:pPr>
    </w:p>
    <w:p>
      <w:pPr>
        <w:ind w:right="220" w:firstLine="341"/>
        <w:spacing w:after="0" w:line="298" w:lineRule="auto"/>
        <w:rPr>
          <w:sz w:val="20"/>
          <w:szCs w:val="20"/>
          <w:color w:val="auto"/>
        </w:rPr>
      </w:pPr>
      <w:r>
        <w:rPr>
          <w:rFonts w:ascii="Arial" w:cs="Arial" w:eastAsia="Arial" w:hAnsi="Arial"/>
          <w:sz w:val="16"/>
          <w:szCs w:val="16"/>
          <w:color w:val="auto"/>
        </w:rPr>
        <w:t>A limited amount of the Company's production for 2002 was attributable to its Virginia facility. The Company expects to transition its product and process technology into this facility over the next three to six months. Until the Company is able to complete the transition of its product and process technology and significantly ramp production at the Virginia facility, the Company expects that the per megabit costs associated with products manufactured at the facility will exceed the per megabit costs of products manufactured at the Company's other facilities.</w:t>
      </w:r>
    </w:p>
    <w:p>
      <w:pPr>
        <w:sectPr>
          <w:pgSz w:w="11900" w:h="16838" w:orient="portrait"/>
          <w:cols w:equalWidth="0" w:num="1">
            <w:col w:w="11420"/>
          </w:cols>
          <w:pgMar w:left="240" w:top="131" w:right="239" w:bottom="0" w:gutter="0" w:footer="0" w:header="0"/>
        </w:sectPr>
      </w:pPr>
    </w:p>
    <w:bookmarkStart w:id="11" w:name="page12"/>
    <w:bookmarkEnd w:id="11"/>
    <w:p>
      <w:pPr>
        <w:spacing w:after="0" w:line="1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239"/>
              <w:spacing w:after="0"/>
              <w:rPr>
                <w:sz w:val="20"/>
                <w:szCs w:val="20"/>
                <w:color w:val="auto"/>
              </w:rPr>
            </w:pPr>
            <w:r>
              <w:rPr>
                <w:rFonts w:ascii="Arial" w:cs="Arial" w:eastAsia="Arial" w:hAnsi="Arial"/>
                <w:sz w:val="14"/>
                <w:szCs w:val="14"/>
                <w:b w:val="1"/>
                <w:bCs w:val="1"/>
                <w:color w:val="auto"/>
              </w:rPr>
              <w:t>2002</w:t>
            </w:r>
          </w:p>
        </w:tc>
        <w:tc>
          <w:tcPr>
            <w:tcW w:w="220" w:type="dxa"/>
            <w:vAlign w:val="bottom"/>
          </w:tcPr>
          <w:p>
            <w:pPr>
              <w:spacing w:after="0"/>
              <w:rPr>
                <w:sz w:val="15"/>
                <w:szCs w:val="15"/>
                <w:color w:val="auto"/>
              </w:rPr>
            </w:pPr>
          </w:p>
        </w:tc>
        <w:tc>
          <w:tcPr>
            <w:tcW w:w="122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94"/>
              </w:rPr>
              <w:t>% Change</w:t>
            </w:r>
          </w:p>
        </w:tc>
        <w:tc>
          <w:tcPr>
            <w:tcW w:w="700" w:type="dxa"/>
            <w:vAlign w:val="bottom"/>
          </w:tcPr>
          <w:p>
            <w:pPr>
              <w:jc w:val="right"/>
              <w:ind w:right="239"/>
              <w:spacing w:after="0"/>
              <w:rPr>
                <w:sz w:val="20"/>
                <w:szCs w:val="20"/>
                <w:color w:val="auto"/>
              </w:rPr>
            </w:pPr>
            <w:r>
              <w:rPr>
                <w:rFonts w:ascii="Arial" w:cs="Arial" w:eastAsia="Arial" w:hAnsi="Arial"/>
                <w:sz w:val="14"/>
                <w:szCs w:val="14"/>
                <w:b w:val="1"/>
                <w:bCs w:val="1"/>
                <w:color w:val="auto"/>
              </w:rPr>
              <w:t>2001</w:t>
            </w:r>
          </w:p>
        </w:tc>
        <w:tc>
          <w:tcPr>
            <w:tcW w:w="200" w:type="dxa"/>
            <w:vAlign w:val="bottom"/>
          </w:tcPr>
          <w:p>
            <w:pPr>
              <w:spacing w:after="0"/>
              <w:rPr>
                <w:sz w:val="15"/>
                <w:szCs w:val="15"/>
                <w:color w:val="auto"/>
              </w:rPr>
            </w:pPr>
          </w:p>
        </w:tc>
        <w:tc>
          <w:tcPr>
            <w:tcW w:w="108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1"/>
              </w:rPr>
              <w:t>% Change</w:t>
            </w:r>
          </w:p>
        </w:tc>
        <w:tc>
          <w:tcPr>
            <w:tcW w:w="700" w:type="dxa"/>
            <w:vAlign w:val="bottom"/>
          </w:tcPr>
          <w:p>
            <w:pPr>
              <w:jc w:val="right"/>
              <w:ind w:right="239"/>
              <w:spacing w:after="0"/>
              <w:rPr>
                <w:sz w:val="20"/>
                <w:szCs w:val="20"/>
                <w:color w:val="auto"/>
              </w:rPr>
            </w:pPr>
            <w:r>
              <w:rPr>
                <w:rFonts w:ascii="Arial" w:cs="Arial" w:eastAsia="Arial" w:hAnsi="Arial"/>
                <w:sz w:val="14"/>
                <w:szCs w:val="14"/>
                <w:b w:val="1"/>
                <w:bCs w:val="1"/>
                <w:color w:val="auto"/>
              </w:rPr>
              <w:t>2000</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900" w:type="dxa"/>
            <w:vAlign w:val="bottom"/>
            <w:tcBorders>
              <w:bottom w:val="single" w:sz="8" w:color="808080"/>
            </w:tcBorders>
            <w:gridSpan w:val="2"/>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6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2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90"/>
              </w:rPr>
              <w:t>(amounts in millions)</w:t>
            </w: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36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332.3</w:t>
            </w: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(36.6)% $</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524.1</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19.5% $</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438.5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as a % of net sales</w:t>
            </w: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12.8%</w:t>
            </w: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13.3%</w:t>
            </w: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-607695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-607695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-607695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-607695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-607695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-607695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-607695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-607695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-607695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-607695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Selling, general and administrative expenses ("SG&amp;A") decreased in 2002 as compared to 2001. SG&amp;A for 2001 included a contribution charge of</w:t>
      </w:r>
    </w:p>
    <w:p>
      <w:pPr>
        <w:spacing w:after="0" w:line="38" w:lineRule="exact"/>
        <w:rPr>
          <w:sz w:val="20"/>
          <w:szCs w:val="20"/>
          <w:color w:val="auto"/>
        </w:rPr>
      </w:pPr>
    </w:p>
    <w:p>
      <w:pPr>
        <w:ind w:right="80"/>
        <w:spacing w:after="0" w:line="320" w:lineRule="auto"/>
        <w:rPr>
          <w:sz w:val="20"/>
          <w:szCs w:val="20"/>
          <w:color w:val="auto"/>
        </w:rPr>
      </w:pPr>
      <w:r>
        <w:rPr>
          <w:rFonts w:ascii="Arial" w:cs="Arial" w:eastAsia="Arial" w:hAnsi="Arial"/>
          <w:sz w:val="15"/>
          <w:szCs w:val="15"/>
          <w:color w:val="auto"/>
        </w:rPr>
        <w:t>$94 million for the market value of the Company's equity interest in Interland which was contributed to the Micron Technology Foundation and $63 million from the Company's Web-hosting Operations, which were disposed of in August 2001. In addition, technical and professional fees associated with the implementation of the Company's business software and legal costs associated with product and process technology rights litigation were lower in 2002 as compared to 2001. (See "Item 8. Financial Statements and Supplementary Data—Notes to Consolidated Financial Statements—Commitments and Contingencies.")</w:t>
      </w:r>
    </w:p>
    <w:p>
      <w:pPr>
        <w:spacing w:after="0" w:line="154" w:lineRule="exact"/>
        <w:rPr>
          <w:sz w:val="20"/>
          <w:szCs w:val="20"/>
          <w:color w:val="auto"/>
        </w:rPr>
      </w:pPr>
    </w:p>
    <w:p>
      <w:pPr>
        <w:ind w:right="440" w:firstLine="348"/>
        <w:spacing w:after="0" w:line="306" w:lineRule="auto"/>
        <w:rPr>
          <w:sz w:val="20"/>
          <w:szCs w:val="20"/>
          <w:color w:val="auto"/>
        </w:rPr>
      </w:pPr>
      <w:r>
        <w:rPr>
          <w:rFonts w:ascii="Arial" w:cs="Arial" w:eastAsia="Arial" w:hAnsi="Arial"/>
          <w:sz w:val="16"/>
          <w:szCs w:val="16"/>
          <w:color w:val="auto"/>
        </w:rPr>
        <w:t>The increase in SG&amp;A for 2001 as compared to 2000 resulted primarily from the $94 million contribution charge. The increase in SG&amp;A for 2001 as compared to 2000 was also due to increased legal costs associated with product and process technology rights litigation, patent prosecution and depreciation expense associated with the Company's business software systems, partially offset by decreased performance-based compensation expense.</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SG&amp;A for the Company's Web-hosting Operations was 12% and 11% of total SG&amp;A for 2001 and 2000, respectively.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19"/>
              <w:spacing w:after="0"/>
              <w:rPr>
                <w:sz w:val="20"/>
                <w:szCs w:val="20"/>
                <w:color w:val="auto"/>
              </w:rPr>
            </w:pPr>
            <w:r>
              <w:rPr>
                <w:rFonts w:ascii="Arial" w:cs="Arial" w:eastAsia="Arial" w:hAnsi="Arial"/>
                <w:sz w:val="14"/>
                <w:szCs w:val="14"/>
                <w:b w:val="1"/>
                <w:bCs w:val="1"/>
                <w:color w:val="auto"/>
              </w:rPr>
              <w:t>2002</w:t>
            </w:r>
          </w:p>
        </w:tc>
        <w:tc>
          <w:tcPr>
            <w:tcW w:w="220" w:type="dxa"/>
            <w:vAlign w:val="bottom"/>
          </w:tcPr>
          <w:p>
            <w:pPr>
              <w:spacing w:after="0"/>
              <w:rPr>
                <w:sz w:val="15"/>
                <w:szCs w:val="15"/>
                <w:color w:val="auto"/>
              </w:rPr>
            </w:pPr>
          </w:p>
        </w:tc>
        <w:tc>
          <w:tcPr>
            <w:tcW w:w="110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1"/>
              </w:rPr>
              <w:t>% Change</w:t>
            </w:r>
          </w:p>
        </w:tc>
        <w:tc>
          <w:tcPr>
            <w:tcW w:w="700" w:type="dxa"/>
            <w:vAlign w:val="bottom"/>
          </w:tcPr>
          <w:p>
            <w:pPr>
              <w:jc w:val="right"/>
              <w:ind w:right="239"/>
              <w:spacing w:after="0"/>
              <w:rPr>
                <w:sz w:val="20"/>
                <w:szCs w:val="20"/>
                <w:color w:val="auto"/>
              </w:rPr>
            </w:pPr>
            <w:r>
              <w:rPr>
                <w:rFonts w:ascii="Arial" w:cs="Arial" w:eastAsia="Arial" w:hAnsi="Arial"/>
                <w:sz w:val="14"/>
                <w:szCs w:val="14"/>
                <w:b w:val="1"/>
                <w:bCs w:val="1"/>
                <w:color w:val="auto"/>
              </w:rPr>
              <w:t>2001</w:t>
            </w:r>
          </w:p>
        </w:tc>
        <w:tc>
          <w:tcPr>
            <w:tcW w:w="180" w:type="dxa"/>
            <w:vAlign w:val="bottom"/>
          </w:tcPr>
          <w:p>
            <w:pPr>
              <w:spacing w:after="0"/>
              <w:rPr>
                <w:sz w:val="15"/>
                <w:szCs w:val="15"/>
                <w:color w:val="auto"/>
              </w:rPr>
            </w:pPr>
          </w:p>
        </w:tc>
        <w:tc>
          <w:tcPr>
            <w:tcW w:w="108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4"/>
              </w:rPr>
              <w:t>% Change</w:t>
            </w:r>
          </w:p>
        </w:tc>
        <w:tc>
          <w:tcPr>
            <w:tcW w:w="680" w:type="dxa"/>
            <w:vAlign w:val="bottom"/>
          </w:tcPr>
          <w:p>
            <w:pPr>
              <w:jc w:val="right"/>
              <w:ind w:right="219"/>
              <w:spacing w:after="0"/>
              <w:rPr>
                <w:sz w:val="20"/>
                <w:szCs w:val="20"/>
                <w:color w:val="auto"/>
              </w:rPr>
            </w:pPr>
            <w:r>
              <w:rPr>
                <w:rFonts w:ascii="Arial" w:cs="Arial" w:eastAsia="Arial" w:hAnsi="Arial"/>
                <w:sz w:val="14"/>
                <w:szCs w:val="14"/>
                <w:b w:val="1"/>
                <w:bCs w:val="1"/>
                <w:color w:val="auto"/>
              </w:rPr>
              <w:t>2000</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3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Borders>
              <w:bottom w:val="single" w:sz="8" w:color="808080"/>
            </w:tcBorders>
            <w:gridSpan w:val="2"/>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3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8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w w:val="85"/>
              </w:rPr>
              <w:t>(amounts in millions)</w:t>
            </w: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33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561.3</w:t>
            </w:r>
          </w:p>
        </w:tc>
        <w:tc>
          <w:tcPr>
            <w:tcW w:w="2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14.7% $</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489.5</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14.6% $</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427.0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as a % of net sales</w:t>
            </w: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21.7%</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12.4%</w:t>
            </w: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-607695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3098800</wp:posOffset>
            </wp:positionH>
            <wp:positionV relativeFrom="paragraph">
              <wp:posOffset>-607695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-607695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-607695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-607695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-607695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-607695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-607695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-607695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-607695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ind w:right="100" w:firstLine="351"/>
        <w:spacing w:after="0" w:line="335" w:lineRule="auto"/>
        <w:rPr>
          <w:sz w:val="20"/>
          <w:szCs w:val="20"/>
          <w:color w:val="auto"/>
        </w:rPr>
      </w:pPr>
      <w:r>
        <w:rPr>
          <w:rFonts w:ascii="Arial" w:cs="Arial" w:eastAsia="Arial" w:hAnsi="Arial"/>
          <w:sz w:val="15"/>
          <w:szCs w:val="15"/>
          <w:color w:val="auto"/>
        </w:rPr>
        <w:t>Research and development expenses vary primarily with the number of development wafers processed, the cost of advanced equipment dedicated to new product and process development, and personnel costs. Product development costs are recorded as research and development expense. Development of a product is deemed complete once the product has been thoroughly reviewed and tested for performance and reliability and is internally qualified for sale to customers.</w:t>
      </w:r>
    </w:p>
    <w:p>
      <w:pPr>
        <w:spacing w:after="0" w:line="142"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The Company's DRAM process technology research and development efforts are focused on its .11µ and .095µ line-width process technologies, which are designed to facilitate the Company's transition to next generation products. Additional process development work includes processes to support Flash, SRAM, CMOS imagers, Content Addressable Memory ("CAM"), embedded memory and new memory materials. In addition to its process technology efforts, the Company continues to emphasize product designs that utilize advanced process technology. Efforts towards the design and development of new products are concentrated on the Company's 512 Meg and 1 Gig DDR SDRAMs, DDRII and DDRIII SDRAMs, Flash and SRAM memory products, CellularRAM, embedded memory, CAM, CMOS imagers and advanced DRAM technology products. The Company is establishing a pilot line to process limited volumes of 300-millimeter ("300mm") wafers.</w:t>
      </w:r>
    </w:p>
    <w:p>
      <w:pPr>
        <w:spacing w:after="0" w:line="20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Other Operating Income and Expense</w:t>
      </w:r>
    </w:p>
    <w:p>
      <w:pPr>
        <w:spacing w:after="0" w:line="225" w:lineRule="exact"/>
        <w:rPr>
          <w:sz w:val="20"/>
          <w:szCs w:val="20"/>
          <w:color w:val="auto"/>
        </w:rPr>
      </w:pPr>
    </w:p>
    <w:p>
      <w:pPr>
        <w:jc w:val="both"/>
        <w:ind w:right="200" w:firstLine="351"/>
        <w:spacing w:after="0" w:line="298" w:lineRule="auto"/>
        <w:rPr>
          <w:sz w:val="20"/>
          <w:szCs w:val="20"/>
          <w:color w:val="auto"/>
        </w:rPr>
      </w:pPr>
      <w:r>
        <w:rPr>
          <w:rFonts w:ascii="Arial" w:cs="Arial" w:eastAsia="Arial" w:hAnsi="Arial"/>
          <w:sz w:val="16"/>
          <w:szCs w:val="16"/>
          <w:color w:val="auto"/>
        </w:rPr>
        <w:t>Other operating expense for 2002 includes losses of $27 million, net of gains, on write-downs and disposals of semiconductor equipment. Other operating expense for 2001 includes losses of $44 million from the write-off of certain costs associated with the Company's Lehi facility and losses of $20 million, net of gains, on write-downs and disposals of semiconductor equipment. Other operating income for 2000 includes a gain of $42 million on the sale of the Company's facility located in Richardson, Texas and losses of $23 million, net of gains, on write-downs and disposals of other semiconductor equipment.</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Other Non-Operating Income and Expense</w:t>
      </w:r>
    </w:p>
    <w:p>
      <w:pPr>
        <w:spacing w:after="0" w:line="225"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In the fourth quarter of 2001, the Company contributed its interest in its Interland Web-hosting Operations to the Micron Technology Foundation. Other non-operating expense for 2001 includes a $4 million loss in connection with the merger of Micron Electronics, Inc. (formerly a subsidiary of the Company) and Interland, Inc. and a charge of $92 million to write down the carrying value of the Company's equity interest in Interland contributed to the Foundation to market value. In addition, the Company recognized charges totaling $12 million in 2001 resulting from market value adjustments for derivative financial instruments to purchase electricity and natural gas. Other non-operating income for 2000 includes a gain of $14 million from the contribution to the Foundation of Interland common stock owned by the Company.</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Interest Income and Expense</w:t>
      </w:r>
    </w:p>
    <w:p>
      <w:pPr>
        <w:spacing w:after="0" w:line="225"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Interest income fluctuates primarily with levels of the Company's cash and investments and general rates of interest. Interest expense was relatively flat in 2002 compared to 2001 and was lower for 2001 as compared to 2000, primarily as a result of the conversions of debt to equity in the third quarter of 2000 and the first quarter of 2001. $500 million of the Company's 7.0% convertible subordinated notes were converted into equity in the third quarter of 2000 and the Company's $740 million face amount, 6.5% convertible subordinated notes were converted into equity in the first quarter of 2001.</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80" w:firstLine="348"/>
        <w:spacing w:after="0" w:line="332" w:lineRule="auto"/>
        <w:rPr>
          <w:sz w:val="20"/>
          <w:szCs w:val="20"/>
          <w:color w:val="auto"/>
        </w:rPr>
      </w:pPr>
      <w:r>
        <w:rPr>
          <w:rFonts w:ascii="Arial" w:cs="Arial" w:eastAsia="Arial" w:hAnsi="Arial"/>
          <w:sz w:val="16"/>
          <w:szCs w:val="16"/>
          <w:color w:val="auto"/>
        </w:rPr>
        <w:t>The Company recorded a $348 million charge in 2002 to the provision for income taxes to establish a valuation allowance against its U.S. deferred tax assets, consisting primarily of $1.3 billion of U.S. net operating loss carryforwards. Until the Company utilizes these operating loss carryforwards the income tax</w:t>
      </w:r>
    </w:p>
    <w:p>
      <w:pPr>
        <w:sectPr>
          <w:pgSz w:w="11900" w:h="16858" w:orient="portrait"/>
          <w:cols w:equalWidth="0" w:num="1">
            <w:col w:w="11420"/>
          </w:cols>
          <w:pgMar w:left="240" w:top="131" w:right="239" w:bottom="0" w:gutter="0" w:footer="0" w:header="0"/>
        </w:sectPr>
      </w:pPr>
    </w:p>
    <w:bookmarkStart w:id="12" w:name="page13"/>
    <w:bookmarkEnd w:id="12"/>
    <w:p>
      <w:pPr>
        <w:ind w:right="120"/>
        <w:spacing w:after="0" w:line="306" w:lineRule="auto"/>
        <w:rPr>
          <w:sz w:val="20"/>
          <w:szCs w:val="20"/>
          <w:color w:val="auto"/>
        </w:rPr>
      </w:pPr>
      <w:r>
        <w:rPr>
          <w:rFonts w:ascii="Arial" w:cs="Arial" w:eastAsia="Arial" w:hAnsi="Arial"/>
          <w:sz w:val="16"/>
          <w:szCs w:val="16"/>
          <w:color w:val="auto"/>
        </w:rPr>
        <w:t>provision will only reflect modest levels of foreign taxation. Excluding the $348 million charge, the effective tax rate for 2002 would have been 44%. The effective tax rates for 2001 and 2000 were 46% and 34%, respectively. The Company's effective tax rate excluding the valuation allowance primarily reflects the U.S. statutory income tax rate, the net effect of state taxes and the effect of foreign income at non-U.S. tax rates.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31"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In June 2002, the Financial Accounting Standards Board ("FASB") issued Statement of Financial Accounting Standards ("SFAS") No. 146, "Accounting for Costs Associated with Exit or Disposal Activities." SFAS No. 146 addresses financial accounting and reporting for costs associated with exit or disposal activities and nullifies Emerging Issues Task Force ("EITF") Issue No. 94-3. The adoption of SFAS No. 146 is effective for exit or disposal activities that are initiated after December 31, 2002. The Company does not expect the adoption of SFAS No. 146 to have a significant impact on the Company's future results of operations or financial position.</w:t>
      </w:r>
    </w:p>
    <w:p>
      <w:pPr>
        <w:spacing w:after="0" w:line="197" w:lineRule="exact"/>
        <w:rPr>
          <w:sz w:val="20"/>
          <w:szCs w:val="20"/>
          <w:color w:val="auto"/>
        </w:rPr>
      </w:pPr>
    </w:p>
    <w:p>
      <w:pPr>
        <w:ind w:right="360" w:firstLine="351"/>
        <w:spacing w:after="0" w:line="256" w:lineRule="auto"/>
        <w:rPr>
          <w:sz w:val="20"/>
          <w:szCs w:val="20"/>
          <w:color w:val="auto"/>
        </w:rPr>
      </w:pPr>
      <w:r>
        <w:rPr>
          <w:rFonts w:ascii="Arial" w:cs="Arial" w:eastAsia="Arial" w:hAnsi="Arial"/>
          <w:sz w:val="18"/>
          <w:szCs w:val="18"/>
          <w:color w:val="auto"/>
        </w:rPr>
        <w:t>In April 2002, FASB issued SFAS No. 145, "Rescission of FASB Statements No. 4, 44 and 64, Amendment of FASB Statement No. 13 and Technical Corrections." SFAS No. 145 updates, clarifies and simplifies certain existing accounting pronouncements. The Adoption of SFAS No. 145 is effective for the Company in fiscal 2003. The Company does not expect the adoption of SFAS No. 145 to have an impact on the Company's future results of operations or financial position.</w:t>
      </w:r>
    </w:p>
    <w:p>
      <w:pPr>
        <w:spacing w:after="0" w:line="197"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In August 2001, FASB issued SFAS No. 144, "Accounting for the Impairment or Disposal of Long-Lived Assets." SFAS No. 144 supersedes previous guidance for financial accounting and reporting for the impairment or disposal of long-lived assets and for segments of a business to be disposed of. The adoption of SFAS No. 144 is effective for the Company in fiscal 2003. The Company does not expect the adoption of SFAS No. 144 to have a significant impact on the Company's future results of operations or financial position.</w:t>
      </w:r>
    </w:p>
    <w:p>
      <w:pPr>
        <w:spacing w:after="0" w:line="197" w:lineRule="exact"/>
        <w:rPr>
          <w:sz w:val="20"/>
          <w:szCs w:val="20"/>
          <w:color w:val="auto"/>
        </w:rPr>
      </w:pPr>
    </w:p>
    <w:p>
      <w:pPr>
        <w:jc w:val="both"/>
        <w:ind w:right="120" w:firstLine="351"/>
        <w:spacing w:after="0" w:line="256" w:lineRule="auto"/>
        <w:rPr>
          <w:sz w:val="20"/>
          <w:szCs w:val="20"/>
          <w:color w:val="auto"/>
        </w:rPr>
      </w:pPr>
      <w:r>
        <w:rPr>
          <w:rFonts w:ascii="Arial" w:cs="Arial" w:eastAsia="Arial" w:hAnsi="Arial"/>
          <w:sz w:val="18"/>
          <w:szCs w:val="18"/>
          <w:color w:val="auto"/>
        </w:rPr>
        <w:t>In June 2001, the FASB issued SFAS No. 143, "Accounting for Asset Retirement Obligations." SFAS No. 143 addresses financial accounting and reporting for obligations associated with the retirement of tangible long-lived assets and the associated retirement costs. The adoption of SFAS No. 143 is effective for the Company in fiscal 2003. The Company does not expect the adoption of SFAS No. 143 to have a significant impact on the Company's future results of operations or financial position.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right="20" w:firstLine="341"/>
        <w:spacing w:after="0" w:line="253" w:lineRule="auto"/>
        <w:rPr>
          <w:sz w:val="20"/>
          <w:szCs w:val="20"/>
          <w:color w:val="auto"/>
        </w:rPr>
      </w:pPr>
      <w:r>
        <w:rPr>
          <w:rFonts w:ascii="Arial" w:cs="Arial" w:eastAsia="Arial" w:hAnsi="Arial"/>
          <w:sz w:val="18"/>
          <w:szCs w:val="18"/>
          <w:color w:val="auto"/>
        </w:rPr>
        <w:t>As of August 29, 2002, the Company had cash and short-term investments totaling $986 million, representing a decrease of $693 million from August 30, 2001. In addition, the Company had investment securities with maturities of more than one year totaling $160 million as of August 29, 2002 and $100 million as of August 30, 2001, which are included in other noncurrent assets in the Company's consolidated balance sheet. The Company's liquidity is highly dependent on overall industry demand for semiconductor memory and average selling prices for its semiconductor products. The Company's principal source of liquidity during 2002 was net cash flow from operations of $578 million, which includes income tax refunds of $547 million received by the Company in the first quarter of 2002. During 2002, the Company spent $760 million for property, plant and equipment and also paid $250 million in cash to Toshiba as part of the cost to acquire the Virginia facility.</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Company believes that to develop new product and process technologies, support future growth, achieve operating efficiencies and maintain product quality, it must continue to invest in manufacturing technology, facilities and capital equipment, research and development, and product and process technology. This investment may also be accomplished through business acquisitions or other transactions. The Company has historically utilized external sources of financing to fund a portion of operations and has a shelf registration statement in place pursuant to which the Company may from time to time issue debt or equity securities for up to $1 billion. The Company may also seek to raise funds through issuing securities not covered by the existing shelf registration statement, by increasing the size of the existing shelf registration statement or pursuing other external sources of financing.</w:t>
      </w:r>
    </w:p>
    <w:p>
      <w:pPr>
        <w:spacing w:after="0" w:line="174"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The Company expects capital spending to approximate $800 million to $1.2 billion in 2003 depending on market conditions. These capital spending estimates include expenditures for ongoing equipment upgrades, expenditures to transition the Company's Virginia facility to the Company's process technology and expenditures for the 300mm pilot line. As of August 29, 2002, the Company had commitments extending into 2004 of approximately $580 million for the acquisition of property, plant and equipment.</w:t>
      </w:r>
    </w:p>
    <w:p>
      <w:pPr>
        <w:spacing w:after="0" w:line="197"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In connection with the acquisition of the Virginia facility, the Company issued 1.5 million shares of common stock. The Company granted Toshiba an option to require Micron to repurchase on October 21, 2003, all of these shares for $68 million cash. The option expires if the closing price of the Company's common stock is at or above $45.05 per share for 20 consecutive trading days.</w:t>
      </w:r>
    </w:p>
    <w:p>
      <w:pPr>
        <w:spacing w:after="0" w:line="194" w:lineRule="exact"/>
        <w:rPr>
          <w:sz w:val="20"/>
          <w:szCs w:val="20"/>
          <w:color w:val="auto"/>
        </w:rPr>
      </w:pPr>
    </w:p>
    <w:p>
      <w:pPr>
        <w:ind w:right="440" w:firstLine="348"/>
        <w:spacing w:after="0" w:line="268" w:lineRule="auto"/>
        <w:rPr>
          <w:sz w:val="20"/>
          <w:szCs w:val="20"/>
          <w:color w:val="auto"/>
        </w:rPr>
      </w:pPr>
      <w:r>
        <w:rPr>
          <w:rFonts w:ascii="Arial" w:cs="Arial" w:eastAsia="Arial" w:hAnsi="Arial"/>
          <w:sz w:val="18"/>
          <w:szCs w:val="18"/>
          <w:color w:val="auto"/>
        </w:rPr>
        <w:t>The Company has pledged $50 million, which is included in other noncurrent assets in the Company's consolidated balance sheet, as cash collateral for TECH's fully-drawn revolving line of credit.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Future payments on notes and capital lease obligations and minimum commitments under operating leases are:</w:t>
      </w:r>
    </w:p>
    <w:p>
      <w:pPr>
        <w:spacing w:after="0" w:line="221" w:lineRule="exact"/>
        <w:rPr>
          <w:sz w:val="20"/>
          <w:szCs w:val="20"/>
          <w:color w:val="auto"/>
        </w:rPr>
      </w:pPr>
    </w:p>
    <w:tbl>
      <w:tblPr>
        <w:tblLayout w:type="fixed"/>
        <w:tblInd w:w="1900" w:type="dxa"/>
        <w:tblCellMar>
          <w:top w:w="0" w:type="dxa"/>
          <w:left w:w="0" w:type="dxa"/>
          <w:bottom w:w="0" w:type="dxa"/>
          <w:right w:w="0" w:type="dxa"/>
        </w:tblCellMar>
      </w:tblPr>
      <w:tr>
        <w:trPr>
          <w:trHeight w:val="174"/>
        </w:trPr>
        <w:tc>
          <w:tcPr>
            <w:tcW w:w="3980" w:type="dxa"/>
            <w:vAlign w:val="bottom"/>
            <w:gridSpan w:val="2"/>
          </w:tcPr>
          <w:p>
            <w:pPr>
              <w:spacing w:after="0"/>
              <w:rPr>
                <w:sz w:val="20"/>
                <w:szCs w:val="20"/>
                <w:color w:val="auto"/>
              </w:rPr>
            </w:pPr>
            <w:r>
              <w:rPr>
                <w:rFonts w:ascii="Arial" w:cs="Arial" w:eastAsia="Arial" w:hAnsi="Arial"/>
                <w:sz w:val="14"/>
                <w:szCs w:val="14"/>
                <w:b w:val="1"/>
                <w:bCs w:val="1"/>
                <w:color w:val="auto"/>
              </w:rPr>
              <w:t>Fiscal year</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235"/>
              <w:spacing w:after="0"/>
              <w:rPr>
                <w:sz w:val="20"/>
                <w:szCs w:val="20"/>
                <w:color w:val="auto"/>
              </w:rPr>
            </w:pPr>
            <w:r>
              <w:rPr>
                <w:rFonts w:ascii="Arial" w:cs="Arial" w:eastAsia="Arial" w:hAnsi="Arial"/>
                <w:sz w:val="14"/>
                <w:szCs w:val="14"/>
                <w:b w:val="1"/>
                <w:bCs w:val="1"/>
                <w:color w:val="auto"/>
              </w:rPr>
              <w:t>Notes</w:t>
            </w:r>
          </w:p>
        </w:tc>
        <w:tc>
          <w:tcPr>
            <w:tcW w:w="22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Capital leases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ind w:right="15"/>
              <w:spacing w:after="0"/>
              <w:rPr>
                <w:sz w:val="20"/>
                <w:szCs w:val="20"/>
                <w:color w:val="auto"/>
              </w:rPr>
            </w:pPr>
            <w:r>
              <w:rPr>
                <w:rFonts w:ascii="Arial" w:cs="Arial" w:eastAsia="Arial" w:hAnsi="Arial"/>
                <w:sz w:val="14"/>
                <w:szCs w:val="14"/>
                <w:b w:val="1"/>
                <w:bCs w:val="1"/>
                <w:color w:val="auto"/>
                <w:w w:val="81"/>
              </w:rPr>
              <w:t>Operating leases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2003</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56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2004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57.0</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2006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232.6</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2008 and thereafter</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36.5</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3724910</wp:posOffset>
            </wp:positionH>
            <wp:positionV relativeFrom="paragraph">
              <wp:posOffset>-908050</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1203960</wp:posOffset>
            </wp:positionH>
            <wp:positionV relativeFrom="paragraph">
              <wp:posOffset>-908050</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-908050</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-908050</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-908050</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-908050</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-908050</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-908050</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Factors</w:t>
      </w:r>
    </w:p>
    <w:p>
      <w:pPr>
        <w:sectPr>
          <w:pgSz w:w="11900" w:h="16838" w:orient="portrait"/>
          <w:cols w:equalWidth="0" w:num="1">
            <w:col w:w="11420"/>
          </w:cols>
          <w:pgMar w:left="240" w:top="131" w:right="239" w:bottom="0" w:gutter="0" w:footer="0" w:header="0"/>
        </w:sectPr>
      </w:pPr>
    </w:p>
    <w:p>
      <w:pPr>
        <w:spacing w:after="0" w:line="231"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i w:val="1"/>
          <w:iCs w:val="1"/>
          <w:color w:val="auto"/>
        </w:rPr>
        <w:t>In addition to the factors discussed elsewhere in this Form 10-K, the following are important factors which could cause actual results or events to differ materially from those contained in any forward looking statements made by or on behalf of the Company.</w:t>
      </w:r>
    </w:p>
    <w:p>
      <w:pPr>
        <w:sectPr>
          <w:pgSz w:w="11900" w:h="16838" w:orient="portrait"/>
          <w:cols w:equalWidth="0" w:num="1">
            <w:col w:w="11420"/>
          </w:cols>
          <w:pgMar w:left="240" w:top="131" w:right="239" w:bottom="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If average selling prices for our semiconductor products do not exceed our costs, we expect to incur losses.</w:t>
      </w:r>
    </w:p>
    <w:p>
      <w:pPr>
        <w:spacing w:after="0" w:line="231"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In five of the last six fiscal years we experienced the following decreases in average selling prices for our semiconductor products: 53% in 2002, 60% in 2001, 37% in 1999, 60% in 1998 and 75% in 1997. We are unable to predict pricing conditions for any future period.</w:t>
      </w:r>
    </w:p>
    <w:p>
      <w:pPr>
        <w:spacing w:after="0" w:line="186"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In recent quarters, average selling prices for our semiconductor products have been below our manufacturing costs, and accordingly, our results of operations, cash flows and financial condition have been adversely affected. If average selling prices are below costs in future periods, we expect to continue to incur losses on product sales. To the extent the estimated market value of products held in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finished goods and work in process inventories at a quarter end date is below the cost of these products, we recognize a charge against operations to write down the carrying value of inventory to market value.</w:t>
      </w:r>
    </w:p>
    <w:p>
      <w:pPr>
        <w:spacing w:after="0" w:line="180" w:lineRule="exact"/>
        <w:rPr>
          <w:sz w:val="20"/>
          <w:szCs w:val="20"/>
          <w:color w:val="auto"/>
        </w:rPr>
      </w:pPr>
    </w:p>
    <w:p>
      <w:pPr>
        <w:ind w:right="420"/>
        <w:spacing w:after="0" w:line="275" w:lineRule="auto"/>
        <w:rPr>
          <w:sz w:val="20"/>
          <w:szCs w:val="20"/>
          <w:color w:val="auto"/>
        </w:rPr>
      </w:pPr>
      <w:r>
        <w:rPr>
          <w:rFonts w:ascii="Arial" w:cs="Arial" w:eastAsia="Arial" w:hAnsi="Arial"/>
          <w:sz w:val="18"/>
          <w:szCs w:val="18"/>
          <w:b w:val="1"/>
          <w:bCs w:val="1"/>
          <w:color w:val="auto"/>
        </w:rPr>
        <w:t>If average selling prices of semiconductor products do not improve, we may not be able to generate sufficient cash flows to fund our operations and make adequate capital investments.</w:t>
      </w:r>
    </w:p>
    <w:p>
      <w:pPr>
        <w:spacing w:after="0" w:line="180"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Our cash flows from operations depend primarily on demand for semiconductor memory, average selling prices and per megabit manufacturing costs. In recent quarters, average selling prices have been below our manufacturing costs. To develop new product and process technologies, support future growth, achieve operating efficiencies and maintain product quality, we must make significant capital investments in facilities and capital equipment, research and development, and product and process technology. Weak market conditions for the semiconductor industry have led us to significantly reduce actual and projected expenditures. If average selling prices do not improve, we may not be able to generate sufficient cash flows to fund our operations or make adequate capital investments.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Weak demand for semiconductor memory products may lead to future inventory write-downs or limit our ability to sell our products.</w:t>
      </w:r>
    </w:p>
    <w:p>
      <w:pPr>
        <w:spacing w:after="0" w:line="231"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We recorded inventory write-downs totaling $376 million in 2002 and $727 million in 2001 as a result of the significant decreases in average selling prices for our semiconductor memory products. To the extent the estimated market value of products held in finished goods and work in process inventories at a quarter end date is below the cost of these products, we recognize a charge to cost of goods sold to write down the carrying value of inventory to market value. In addition, if a lack of demand for semiconductor products limits our ability to sell our inventory, our liquidity and financial position could be adversely affected.</w:t>
      </w:r>
    </w:p>
    <w:p>
      <w:pPr>
        <w:spacing w:after="0" w:line="161"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If the growth rate of either PCs sold or the amount of semiconductor memory included in each PC decreases, sales of our semiconductor products could decrease.</w:t>
      </w:r>
    </w:p>
    <w:p>
      <w:pPr>
        <w:spacing w:after="0" w:line="180" w:lineRule="exact"/>
        <w:rPr>
          <w:sz w:val="20"/>
          <w:szCs w:val="20"/>
          <w:color w:val="auto"/>
        </w:rPr>
      </w:pPr>
    </w:p>
    <w:p>
      <w:pPr>
        <w:ind w:right="140" w:firstLine="348"/>
        <w:spacing w:after="0" w:line="298" w:lineRule="auto"/>
        <w:rPr>
          <w:sz w:val="20"/>
          <w:szCs w:val="20"/>
          <w:color w:val="auto"/>
        </w:rPr>
      </w:pPr>
      <w:r>
        <w:rPr>
          <w:rFonts w:ascii="Arial" w:cs="Arial" w:eastAsia="Arial" w:hAnsi="Arial"/>
          <w:sz w:val="16"/>
          <w:szCs w:val="16"/>
          <w:color w:val="auto"/>
        </w:rPr>
        <w:t>We are dependent on the personal computer ("PC") market as most of the semiconductor products we sell are used in PCs or peripherals. DRAMs are the most widely used semiconductor components in PCs. In recent quarters, the growth rate of PCs sold has slowed or declined. If we experience a sustained reduction in the growth rate of either PCs sold or the average amount of semiconductor memory included in each PC, sales of our semiconductor products could decrease, and our results of operations, cash flows and financial condition could be adversely affected.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semiconductor memory industry is highly competitive.</w:t>
      </w:r>
    </w:p>
    <w:p>
      <w:pPr>
        <w:spacing w:after="0" w:line="231" w:lineRule="exact"/>
        <w:rPr>
          <w:sz w:val="20"/>
          <w:szCs w:val="20"/>
          <w:color w:val="auto"/>
        </w:rPr>
      </w:pPr>
    </w:p>
    <w:p>
      <w:pPr>
        <w:ind w:right="180" w:firstLine="348"/>
        <w:spacing w:after="0" w:line="332" w:lineRule="auto"/>
        <w:rPr>
          <w:sz w:val="20"/>
          <w:szCs w:val="20"/>
          <w:color w:val="auto"/>
        </w:rPr>
      </w:pPr>
      <w:r>
        <w:rPr>
          <w:rFonts w:ascii="Arial" w:cs="Arial" w:eastAsia="Arial" w:hAnsi="Arial"/>
          <w:sz w:val="16"/>
          <w:szCs w:val="16"/>
          <w:color w:val="auto"/>
        </w:rPr>
        <w:t>We face intense competition from a number of companies, some of which are large corporations or conglomerates (e.g. Samsung Semiconductor, Inc.) that may have greater resources to withstand downturns in the semiconductor memory market, invest in technology and capitalize on growth opportunities.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economic and political conditions may harm our business.</w:t>
      </w:r>
    </w:p>
    <w:p>
      <w:pPr>
        <w:spacing w:after="0" w:line="231"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Global economic conditions and the effects of military or terrorist actions may cause significant disruptions to worldwide commerce. If these disruptions result in delays or cancellations of customer orders, a decrease in corporate spending on information technology or our inability to effectively market, manufacture or ship our products, our results of operations, cash flows and financial condition could be adversely affected. In addition, our ability to raise capital for capital expenditures, research and development and ongoing operations is dependent upon ready access to capital markets. During times of adverse global economic and political conditions, accessibility to capital markets could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480"/>
        <w:spacing w:after="0" w:line="370" w:lineRule="auto"/>
        <w:rPr>
          <w:sz w:val="20"/>
          <w:szCs w:val="20"/>
          <w:color w:val="auto"/>
        </w:rPr>
      </w:pPr>
      <w:r>
        <w:rPr>
          <w:rFonts w:ascii="Arial" w:cs="Arial" w:eastAsia="Arial" w:hAnsi="Arial"/>
          <w:sz w:val="15"/>
          <w:szCs w:val="15"/>
          <w:color w:val="auto"/>
        </w:rPr>
        <w:t>decrease. If we are unable to access the capital markets over an extended period of time, we may be unable to make capital expenditures, fully carry out our research and development efforts and fund operations, which could materially adversely affect our results of operations, cash flows and financial condition.</w:t>
      </w:r>
    </w:p>
    <w:p>
      <w:pPr>
        <w:spacing w:after="0" w:line="110"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If any one of our major PC customers significantly reduces its purchases of DRAM from us, our results of operations, cash flows and financial condition could be adversely affected.</w:t>
      </w:r>
    </w:p>
    <w:p>
      <w:pPr>
        <w:spacing w:after="0" w:line="180" w:lineRule="exact"/>
        <w:rPr>
          <w:sz w:val="20"/>
          <w:szCs w:val="20"/>
          <w:color w:val="auto"/>
        </w:rPr>
      </w:pPr>
    </w:p>
    <w:p>
      <w:pPr>
        <w:ind w:right="40" w:firstLine="341"/>
        <w:spacing w:after="0" w:line="259" w:lineRule="auto"/>
        <w:rPr>
          <w:sz w:val="20"/>
          <w:szCs w:val="20"/>
          <w:color w:val="auto"/>
        </w:rPr>
      </w:pPr>
      <w:r>
        <w:rPr>
          <w:rFonts w:ascii="Arial" w:cs="Arial" w:eastAsia="Arial" w:hAnsi="Arial"/>
          <w:sz w:val="18"/>
          <w:szCs w:val="18"/>
          <w:color w:val="auto"/>
        </w:rPr>
        <w:t>Approximately 80% of the Company's sales of semiconductor products for 2002 was to the computer market. Aggregate sales to two of our PC customers approximated 28% of our net sales in 2002. If any one of our major PC customers significantly reduces its purchases of DRAM from us, our results of operations, cash flows and financial condition could be adversely affected.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Increased worldwide DRAM production could lead to further declines in average selling prices for DRAM.</w:t>
      </w:r>
    </w:p>
    <w:p>
      <w:pPr>
        <w:spacing w:after="0" w:line="231"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transition to smaller geometries and the widespread use of 300 millimeter ("300mm") wafers in the industry, which is expected to occur within the next two to five years, could lead to a significant increase in the worldwide supply of DRAM. Increases in worldwide supply of DRAM also result from DRAM fab capacity expansions, either by way of new facilities, increased capacity utilization or reallocation of other semiconductor production to DRAM production. Some of our competitors may receive government support to withstand downturns in the semiconductor memory market and to invest in technology resulting in</w:t>
      </w:r>
    </w:p>
    <w:p>
      <w:pPr>
        <w:sectPr>
          <w:pgSz w:w="11900" w:h="16838" w:orient="portrait"/>
          <w:cols w:equalWidth="0" w:num="1">
            <w:col w:w="11420"/>
          </w:cols>
          <w:pgMar w:left="240" w:top="125" w:right="239" w:bottom="0" w:gutter="0" w:footer="0" w:header="0"/>
        </w:sectPr>
      </w:pPr>
    </w:p>
    <w:bookmarkStart w:id="14" w:name="page15"/>
    <w:bookmarkEnd w:id="14"/>
    <w:p>
      <w:pPr>
        <w:ind w:right="420"/>
        <w:spacing w:after="0" w:line="268" w:lineRule="auto"/>
        <w:rPr>
          <w:sz w:val="20"/>
          <w:szCs w:val="20"/>
          <w:color w:val="auto"/>
        </w:rPr>
      </w:pPr>
      <w:r>
        <w:rPr>
          <w:rFonts w:ascii="Arial" w:cs="Arial" w:eastAsia="Arial" w:hAnsi="Arial"/>
          <w:sz w:val="18"/>
          <w:szCs w:val="18"/>
          <w:color w:val="auto"/>
        </w:rPr>
        <w:t>increased worldwide supply. Increases in worldwide supply of DRAM, if not offset by increases in demand, could lead to further declines in average selling prices for our products and adversely affect our results of operations, cash flows and financial condition.</w:t>
      </w:r>
    </w:p>
    <w:p>
      <w:pPr>
        <w:spacing w:after="0" w:line="180" w:lineRule="exact"/>
        <w:rPr>
          <w:sz w:val="20"/>
          <w:szCs w:val="20"/>
          <w:color w:val="auto"/>
        </w:rPr>
      </w:pPr>
    </w:p>
    <w:p>
      <w:pPr>
        <w:ind w:right="800"/>
        <w:spacing w:after="0" w:line="275" w:lineRule="auto"/>
        <w:rPr>
          <w:sz w:val="20"/>
          <w:szCs w:val="20"/>
          <w:color w:val="auto"/>
        </w:rPr>
      </w:pPr>
      <w:r>
        <w:rPr>
          <w:rFonts w:ascii="Arial" w:cs="Arial" w:eastAsia="Arial" w:hAnsi="Arial"/>
          <w:sz w:val="18"/>
          <w:szCs w:val="18"/>
          <w:b w:val="1"/>
          <w:bCs w:val="1"/>
          <w:color w:val="auto"/>
        </w:rPr>
        <w:t>If our TECH joint venture experiences financial difficulty, or if our supply of semiconductor products from TECH is disrupted, our results of operations, cash flows and financial condition could be adversely affected.</w:t>
      </w:r>
    </w:p>
    <w:p>
      <w:pPr>
        <w:spacing w:after="0" w:line="180"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TECH supplied approximately 20%, 25% and 20% of our total megabits of memory produced in 2002, 2001 and 2000, respectively. We have agreements to purchase all of the production from TECH subject to specific terms and conditions. Any reduction in supply could adversely affect our results of operations, cash flows and financial condition. TECH's existing credit facility expires in December 2003, and TECH is currently seeking external financing to replace its maturing loans and fund ongoing operations. If TECH's financing efforts are unsuccessful, we and other TECH shareholders may be requested to invest additional capital in TECH. If TECH is unable to obtain new financing or additional capital from its shareholders, it would likely have to discontinue capital spending and may have to alter its operations. We have pledged $50 million as cash collateral for TECH's fully-drawn line of credit. As of August 29, 2002, we had remaining unamortized costs of $77 million included in intangible assets relating to the supply arrangement to purchase product from TECH. In the event that our supply of semiconductor products from TECH is reduced or eliminated, the Company may be required to write off part or all of these assets and the Company's results of operations could be adversely affected.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face difficulties integrating our newly acquired Virginia facility.</w:t>
      </w:r>
    </w:p>
    <w:p>
      <w:pPr>
        <w:spacing w:after="0" w:line="231"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On April 22, 2002, we acquired substantially all the assets of Toshiba's DRAM business as conducted by Dominion Semiconductor L.L.C., a wholly-owned subsidiary of Toshiba located in Virginia. The success of these operations is partially dependent on our ability to operate them in a cost-effective manner. There can be no assurance that we will successfully integrate these operations and operate them in a cost-effective manner. Until we are able to complete the transition of our product and process technology and significantly ramp production at the Virginia facility, we expect</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that the per megabit costs associated with products manufactured at the facility will exceed the per megabit costs of products manufactured at our other facilities. There can be no assurance that we will be successful in achieving the same level of manufacturing efficiencies in the Virginia facility as has been achieved in our other manufacturing facilities.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maintain or reduce per megabit manufacturing costs at the same rate as we have in the past.</w:t>
      </w:r>
    </w:p>
    <w:p>
      <w:pPr>
        <w:spacing w:after="0" w:line="231"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Historically, we have decreased per megabit manufacturing costs through improvements in our manufacturing processes, including reducing the die size of our existing products. In future periods, we may be unable to maintain our per megabit manufacturing costs or reduce costs at historical rates. Our ability to maintain or reduce per megabit manufacturing costs in future periods may be affected by:</w:t>
      </w:r>
    </w:p>
    <w:p>
      <w:pPr>
        <w:spacing w:after="0" w:line="208" w:lineRule="exact"/>
        <w:rPr>
          <w:sz w:val="20"/>
          <w:szCs w:val="20"/>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implement product and process technology upgrades,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manufacturing wafer output or yields may decrease as we implement more complex technologies,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ramp the latest reduced die size versions of existing devices or new generation devices.</w:t>
      </w:r>
    </w:p>
    <w:p>
      <w:pPr>
        <w:spacing w:after="0" w:line="219" w:lineRule="exact"/>
        <w:rPr>
          <w:sz w:val="20"/>
          <w:szCs w:val="20"/>
          <w:color w:val="auto"/>
        </w:rPr>
      </w:pPr>
    </w:p>
    <w:p>
      <w:pPr>
        <w:ind w:right="540"/>
        <w:spacing w:after="0" w:line="275" w:lineRule="auto"/>
        <w:rPr>
          <w:sz w:val="20"/>
          <w:szCs w:val="20"/>
          <w:color w:val="auto"/>
        </w:rPr>
      </w:pPr>
      <w:r>
        <w:rPr>
          <w:rFonts w:ascii="Arial" w:cs="Arial" w:eastAsia="Arial" w:hAnsi="Arial"/>
          <w:sz w:val="18"/>
          <w:szCs w:val="18"/>
          <w:b w:val="1"/>
          <w:bCs w:val="1"/>
          <w:color w:val="auto"/>
        </w:rPr>
        <w:t>If we are unable to respond to customer demand for continued diversification of semiconductor products or are unable to do so in a cost-effective manner, we may lose market share and our results of operations may be adversely affected.</w:t>
      </w:r>
    </w:p>
    <w:p>
      <w:pPr>
        <w:spacing w:after="0" w:line="180"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We will need to dedicate significant resources to product design and development to respond to customer demand for continued diversification of semiconductor products. If we are unable to invest sufficient resources to meet the diverse memory needs of customers, we may lose market share. In addition, as we diversify our product lines we may encounter difficulties penetrating certain markets, particularly markets where we do not have existing customers. If we are unable to respond to customer demand for market diversification in a cost-effective manner, our results of operations may be adversely affected.</w:t>
      </w:r>
    </w:p>
    <w:p>
      <w:pPr>
        <w:spacing w:after="0" w:line="161" w:lineRule="exact"/>
        <w:rPr>
          <w:sz w:val="20"/>
          <w:szCs w:val="20"/>
          <w:color w:val="auto"/>
        </w:rPr>
      </w:pPr>
    </w:p>
    <w:p>
      <w:pPr>
        <w:ind w:right="600"/>
        <w:spacing w:after="0" w:line="275" w:lineRule="auto"/>
        <w:rPr>
          <w:sz w:val="20"/>
          <w:szCs w:val="20"/>
          <w:color w:val="auto"/>
        </w:rPr>
      </w:pPr>
      <w:r>
        <w:rPr>
          <w:rFonts w:ascii="Arial" w:cs="Arial" w:eastAsia="Arial" w:hAnsi="Arial"/>
          <w:sz w:val="18"/>
          <w:szCs w:val="18"/>
          <w:b w:val="1"/>
          <w:bCs w:val="1"/>
          <w:color w:val="auto"/>
        </w:rPr>
        <w:t>An adverse determination that our products and processes infringe the intellectual property rights of others could adversely affect our results of operations, cash flows and financial condition.</w:t>
      </w:r>
    </w:p>
    <w:p>
      <w:pPr>
        <w:spacing w:after="0" w:line="180"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From time to time, others have asserted, and may in the future assert, that our products or processes infringe their product or process technology rights. In this regard, we are currently engaged in litigation with Rambus, Inc. ("Rambus") relating to certain of Rambus' patents and certain of our claims and defenses. On August 28, 2000, we filed a declaratory judgment action against Rambus in the U.S. District Court for the District of Delaware. On February 1, 2001, we amended our complaint. Pursuant to our amended complaint, we are seeking (1) relief under the federal antitrust laws for violations by Rambus of Section 2 of the Sherman Act; (2) a declaratory judgment that (a) certain Rambus patents are not infringed, are invalid and/or are unenforceable, (b) we have an implied license to Rambus' patents, and (c) Rambus is estopped from enforcing its patents against us because of its conduct in the Joint Electron Device Engineering Council standards setting body; and (3) damages and declaratory relief for Rambus' breach of contract, fraud, deceptive trade practices, negligent misrepresentation, and conduct requiring the application of equitable estoppel. On February 15, 2001, Rambus filed an answer and counterclaim denying that we are entitled to relief and has alleged willful infringement by us of eight Rambus patents. In addition, Rambus has filed lawsuits against the Company in Italy, Germany, France and the United Kingdom alleging infringement of certain Rambus European patents. We are unable to predict the outcome of these suits. A court determination that our manufacturing processes or products infringe the product or process rights of others could result in significant liability and/or require us to make material changes to our products and/or manufacturing</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2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5"/>
          <w:szCs w:val="15"/>
          <w:color w:val="auto"/>
        </w:rPr>
        <w:t>processes. Any of the foregoing results could have a material adverse effect on our business, results of operations or financial condition.</w:t>
      </w:r>
    </w:p>
    <w:p>
      <w:pPr>
        <w:sectPr>
          <w:pgSz w:w="11900" w:h="16838" w:orient="portrait"/>
          <w:cols w:equalWidth="0" w:num="1">
            <w:col w:w="11380"/>
          </w:cols>
          <w:pgMar w:left="240" w:top="131" w:right="279" w:bottom="250" w:gutter="0" w:footer="0" w:header="0"/>
          <w:type w:val="continuous"/>
        </w:sectPr>
      </w:pPr>
    </w:p>
    <w:bookmarkStart w:id="15" w:name="page16"/>
    <w:bookmarkEnd w:id="15"/>
    <w:p>
      <w:pPr>
        <w:spacing w:after="0" w:line="51" w:lineRule="exact"/>
        <w:rPr>
          <w:sz w:val="20"/>
          <w:szCs w:val="20"/>
          <w:color w:val="auto"/>
        </w:rPr>
      </w:pPr>
    </w:p>
    <w:p>
      <w:pPr>
        <w:ind w:right="320" w:firstLine="348"/>
        <w:spacing w:after="0" w:line="259" w:lineRule="auto"/>
        <w:rPr>
          <w:sz w:val="20"/>
          <w:szCs w:val="20"/>
          <w:color w:val="auto"/>
        </w:rPr>
      </w:pPr>
      <w:r>
        <w:rPr>
          <w:rFonts w:ascii="Arial" w:cs="Arial" w:eastAsia="Arial" w:hAnsi="Arial"/>
          <w:sz w:val="18"/>
          <w:szCs w:val="18"/>
          <w:color w:val="auto"/>
        </w:rPr>
        <w:t>We have a number of patent and intellectual property license agreements. Some of these license agreements require us to make one time or periodic payments. We may need to obtain additional patent licenses or renew existing license agreements in the future. We are unable to predict whether these license agreements can be obtained or renewed on acceptable terms.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Allegations of anticompetitive practices.</w:t>
      </w:r>
    </w:p>
    <w:p>
      <w:pPr>
        <w:spacing w:after="0" w:line="23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On June 17, 2002, we received a grand jury subpoena from the U.S. District Court for the Northern District of California seeking information regarding an investigation by the Antitrust Division of the Department of Justice (the "DOJ") into possible antitrust violations in the "Dynamic Random Access Memory" or "DRAM" industry. We are cooperating fully with the DOJ in its investigation. Subsequent to the commencement of the DOJ investigation, 21 purported class action lawsuits were filed against us and other DRAM suppliers in various federal and state courts alleging violations of the Federal Sherman Antitrust Act or California's Cartwright Antitrust Act and Unfair Competition Law relating to the sale and pricing of DRAM products. The complaints seek treble damages for the alleged damages sustained by purported class members, in addition to restitution, costs and attorneys' fees, as well as an injunction against the allegedly unlawful conduct. There can be no assurance that additional purported class action lawsuits will not be filed against us, either within or without the United States. We are unable to predict the outcome of these suits. A court determination that the Company has violated federal or state antitrust laws could result in significant liability and could have a material adverse effect on our results of operations or financial condition.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product development may not be successful.</w:t>
      </w:r>
    </w:p>
    <w:p>
      <w:pPr>
        <w:spacing w:after="0" w:line="231" w:lineRule="exact"/>
        <w:rPr>
          <w:sz w:val="20"/>
          <w:szCs w:val="20"/>
          <w:color w:val="auto"/>
        </w:rPr>
      </w:pPr>
    </w:p>
    <w:p>
      <w:pPr>
        <w:jc w:val="both"/>
        <w:ind w:firstLine="348"/>
        <w:spacing w:after="0" w:line="335" w:lineRule="auto"/>
        <w:rPr>
          <w:sz w:val="20"/>
          <w:szCs w:val="20"/>
          <w:color w:val="auto"/>
        </w:rPr>
      </w:pPr>
      <w:r>
        <w:rPr>
          <w:rFonts w:ascii="Arial" w:cs="Arial" w:eastAsia="Arial" w:hAnsi="Arial"/>
          <w:sz w:val="15"/>
          <w:szCs w:val="15"/>
          <w:color w:val="auto"/>
        </w:rPr>
        <w:t>We are developing new products that complement our traditional memory products or leverage their underlying design or process technology. We anticipate expending significant resources for new semiconductor product development over the next several years. There can be no assurance that our product development efforts will be successful, that we will be able to cost-effectively manufacture these new products or that we will be able to successfully market these products.</w:t>
      </w:r>
    </w:p>
    <w:p>
      <w:pPr>
        <w:spacing w:after="0" w:line="136"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If we are unable to successfully transition our operations to 300mm wafer manufacturing processes, the results of our results of operations, cash flows and financial condition could be adversely affected.</w:t>
      </w:r>
    </w:p>
    <w:p>
      <w:pPr>
        <w:spacing w:after="0" w:line="180"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have in the past reduced our per megabit manufacturing costs by transitioning to larger wafer sizes. By transitioning to larger wafers, we should be able to produce significantly more die for each wafer, resulting in substantially reduced costs for each die. We and several of our competitors are evaluating plans to shift part or all of our semiconductor manufacturing operations to 300mm wafers, and some of our competitors have begun to shift their operations to 300mm wafers. Our transition to 300mm wafer processing will require us to make substantial capital investments, which will depend on our ability to generate funds from operations or to obtain funds from external sources. We may also experience disruptions in manufacturing operations and reduced yields during our transition to larger wafer sizes. If we are unable to successfully transition to 300mm wafer processing at the appropriate time, we could be at a cost disadvantage with respect to our competitors and our results of operations, cash flows and financial condition could be adversely affected.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560"/>
        <w:spacing w:after="0" w:line="275" w:lineRule="auto"/>
        <w:rPr>
          <w:sz w:val="20"/>
          <w:szCs w:val="20"/>
          <w:color w:val="auto"/>
        </w:rPr>
      </w:pPr>
      <w:r>
        <w:rPr>
          <w:rFonts w:ascii="Arial" w:cs="Arial" w:eastAsia="Arial" w:hAnsi="Arial"/>
          <w:sz w:val="18"/>
          <w:szCs w:val="18"/>
          <w:b w:val="1"/>
          <w:bCs w:val="1"/>
          <w:color w:val="auto"/>
        </w:rPr>
        <w:t>We face risks associated with our international sales and operations that could adversely affect our results of operations, cash flows and financial condition.</w:t>
      </w:r>
    </w:p>
    <w:p>
      <w:pPr>
        <w:spacing w:after="0" w:line="180" w:lineRule="exact"/>
        <w:rPr>
          <w:sz w:val="20"/>
          <w:szCs w:val="20"/>
          <w:color w:val="auto"/>
        </w:rPr>
      </w:pPr>
    </w:p>
    <w:p>
      <w:pPr>
        <w:ind w:right="600" w:firstLine="351"/>
        <w:spacing w:after="0" w:line="332" w:lineRule="auto"/>
        <w:rPr>
          <w:sz w:val="20"/>
          <w:szCs w:val="20"/>
          <w:color w:val="auto"/>
        </w:rPr>
      </w:pPr>
      <w:r>
        <w:rPr>
          <w:rFonts w:ascii="Arial" w:cs="Arial" w:eastAsia="Arial" w:hAnsi="Arial"/>
          <w:sz w:val="16"/>
          <w:szCs w:val="16"/>
          <w:color w:val="auto"/>
        </w:rPr>
        <w:t>Sales to customers outside the United States approximated 53% of our consolidated net sales in 2002. In addition, we have or support manufacturing operations in Italy, Japan, Scotland and Singapore. Our international sales and operations are subject to a variety of risks, including:</w:t>
      </w:r>
    </w:p>
    <w:p>
      <w:pPr>
        <w:spacing w:after="0" w:line="153" w:lineRule="exact"/>
        <w:rPr>
          <w:sz w:val="20"/>
          <w:szCs w:val="20"/>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currency fluctuations, export duties, changes to import and export regulations, and restrictions on the transfer of funds,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problems with the transportation or delivery of our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issues arising from cultural or language differences and labor unrest,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longer payment cycles and greater difficulty in collecting accounts receivable,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compliance with trade and other laws in a variety of jurisdictions.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These factors may adversely affect our results of operations, cash flows and financial condition.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our manufacturing process is disrupted, our results of operations, cash flows and financial condition could be adversely affected.</w:t>
      </w:r>
    </w:p>
    <w:p>
      <w:pPr>
        <w:spacing w:after="0" w:line="231" w:lineRule="exact"/>
        <w:rPr>
          <w:sz w:val="20"/>
          <w:szCs w:val="20"/>
          <w:color w:val="auto"/>
        </w:rPr>
      </w:pPr>
    </w:p>
    <w:p>
      <w:pPr>
        <w:jc w:val="both"/>
        <w:ind w:right="100" w:firstLine="348"/>
        <w:spacing w:after="0" w:line="294" w:lineRule="auto"/>
        <w:rPr>
          <w:sz w:val="20"/>
          <w:szCs w:val="20"/>
          <w:color w:val="auto"/>
        </w:rPr>
      </w:pPr>
      <w:r>
        <w:rPr>
          <w:rFonts w:ascii="Arial" w:cs="Arial" w:eastAsia="Arial" w:hAnsi="Arial"/>
          <w:sz w:val="16"/>
          <w:szCs w:val="16"/>
          <w:color w:val="auto"/>
        </w:rPr>
        <w:t>We manufacture products using highly complex processes that require technologically advanced equipment and continuous modification to improve yields and performance. Difficulties in the manufacturing process can reduce yields or disrupt production and may increase our per megabit manufacturing costs. From time to time, we have experienced minor disruptions in our manufacturing process as a result of power outages. If production at a fabrication facility is disrupted for any reason, manufacturing yields may be adversely affected or we may be unable to meet our customers' requirements and they may purchase products from other suppliers. This could result in a significant increase in manufacturing costs, loss of revenues or damage to customer relationships.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Disruptions in our supply of raw materials could adversely affect our results of operations, cash flows and financial position.</w:t>
      </w:r>
    </w:p>
    <w:p>
      <w:pPr>
        <w:spacing w:after="0" w:line="231"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Our operations require raw materials that meet exacting standards. We generally have multiple sources of supply for our raw materials. However, only a limited number of suppliers are capable of delivering certain raw materials that meet our standards. Various factors could reduce the availability of raw materials such as silicon wafers, photomasks, chemicals, gases, lead frames and molding compound. Shortages may occur from time to time in the future. In addition, any transportation problems could delay our receipt of raw materials. Lead times for the supply of raw materials have been extended in the past. If our supply of raw materials is disrupted or our lead times extended, our results of operations, cash flows and financial condition could be adversely affected.</w:t>
      </w:r>
    </w:p>
    <w:p>
      <w:pPr>
        <w:spacing w:after="0" w:line="164" w:lineRule="exact"/>
        <w:rPr>
          <w:sz w:val="20"/>
          <w:szCs w:val="20"/>
          <w:color w:val="auto"/>
        </w:rPr>
      </w:pPr>
    </w:p>
    <w:p>
      <w:pPr>
        <w:ind w:right="220"/>
        <w:spacing w:after="0" w:line="339" w:lineRule="auto"/>
        <w:rPr>
          <w:sz w:val="20"/>
          <w:szCs w:val="20"/>
          <w:color w:val="auto"/>
        </w:rPr>
      </w:pPr>
      <w:r>
        <w:rPr>
          <w:rFonts w:ascii="Arial" w:cs="Arial" w:eastAsia="Arial" w:hAnsi="Arial"/>
          <w:sz w:val="16"/>
          <w:szCs w:val="16"/>
          <w:b w:val="1"/>
          <w:bCs w:val="1"/>
          <w:color w:val="auto"/>
        </w:rPr>
        <w:t>Products that do not meet specifications or that contain, or are perceived by our customers to contain, defects or that are otherwise incompatible with end uses could impose significant costs on us or otherwise adversely affect our results of operations, cash flows and financial position.</w:t>
      </w:r>
    </w:p>
    <w:p>
      <w:pPr>
        <w:sectPr>
          <w:pgSz w:w="11900" w:h="16890" w:orient="portrait"/>
          <w:cols w:equalWidth="0" w:num="1">
            <w:col w:w="11400"/>
          </w:cols>
          <w:pgMar w:left="240" w:top="131" w:right="259" w:bottom="0" w:gutter="0" w:footer="0" w:header="0"/>
        </w:sectPr>
      </w:pPr>
    </w:p>
    <w:bookmarkStart w:id="16" w:name="page17"/>
    <w:bookmarkEnd w:id="16"/>
    <w:p>
      <w:pPr>
        <w:ind w:right="300" w:firstLine="351"/>
        <w:spacing w:after="0" w:line="332" w:lineRule="auto"/>
        <w:rPr>
          <w:sz w:val="20"/>
          <w:szCs w:val="20"/>
          <w:color w:val="auto"/>
        </w:rPr>
      </w:pPr>
      <w:r>
        <w:rPr>
          <w:rFonts w:ascii="Arial" w:cs="Arial" w:eastAsia="Arial" w:hAnsi="Arial"/>
          <w:sz w:val="16"/>
          <w:szCs w:val="16"/>
          <w:color w:val="auto"/>
        </w:rPr>
        <w:t>Because the design and production process for semiconductor memory is highly complex, it is possible that we may produce products that do not comply with customer specifications, contain defects or are otherwise incompatible with end uses. If, despite design review, quality control and product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qualification procedures, problems with nonconforming, defective or incompatible products occur after we have shipped such products, we could be adversely affected in the following ways:</w:t>
      </w:r>
    </w:p>
    <w:p>
      <w:pPr>
        <w:spacing w:after="0" w:line="199" w:lineRule="exact"/>
        <w:rPr>
          <w:sz w:val="20"/>
          <w:szCs w:val="20"/>
          <w:color w:val="auto"/>
        </w:rPr>
      </w:pPr>
    </w:p>
    <w:p>
      <w:pPr>
        <w:ind w:left="1080" w:right="22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need to replace product or otherwise compensate customers for costs incurred or damages caused by defective or incompatible product,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encounter adverse publicity, which could cause a decrease in sales of our products.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expect to make future acquisitions where advisable, which involve numerous risks.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expect to make future acquisitions where we believe it is advisable to enhance our market position. Acquisitions involve numerous risks, including:</w:t>
      </w:r>
    </w:p>
    <w:p>
      <w:pPr>
        <w:spacing w:after="0" w:line="262"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increasing our exposure to changes in average selling prices for semiconductor memory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difficulties in integrating the operations, technologies, and products of the acquired companies,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increasing capital expenditures to upgrade and maintain facilities,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increasing debt to finance any acquisition,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diverting management's attention from normal daily operations,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managing larger operations and facilities and employees in separate geographic areas,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hiring and retaining key employees.</w:t>
      </w:r>
    </w:p>
    <w:p>
      <w:pPr>
        <w:spacing w:after="0" w:line="225"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Mergers and acquisitions of high-technology companies are inherently risky, and future acquisitions may not be successful and may materially adversely affect our results of operations, cash flows or financial condition.</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231" w:lineRule="exact"/>
        <w:rPr>
          <w:sz w:val="20"/>
          <w:szCs w:val="20"/>
          <w:color w:val="auto"/>
        </w:rPr>
      </w:pPr>
    </w:p>
    <w:p>
      <w:pPr>
        <w:ind w:right="100" w:firstLine="351"/>
        <w:spacing w:after="0" w:line="288" w:lineRule="auto"/>
        <w:rPr>
          <w:sz w:val="20"/>
          <w:szCs w:val="20"/>
          <w:color w:val="auto"/>
        </w:rPr>
      </w:pPr>
      <w:r>
        <w:rPr>
          <w:rFonts w:ascii="Arial" w:cs="Arial" w:eastAsia="Arial" w:hAnsi="Arial"/>
          <w:sz w:val="16"/>
          <w:szCs w:val="16"/>
          <w:color w:val="auto"/>
        </w:rPr>
        <w:t>Substantially all of the Company's liquid investments and long-term debt are at fixed interest rates; therefore, the fair value of these instruments is affected by changes in market interest rates. The Company believes that the market risk arising from its holdings of liquid investments is minimal as the majority of the Company's investments mature within one year. The carrying value of the Company's long-term debt was $454 million at August 29, 2002, and $531 million at August 30, 2001. The functional currency for substantially all of the Company's operations is in the U.S. dollar. The Company held aggregate cash and other assets in foreign currency valued at approximately U.S. $220 million as of August 29, 2002, and U.S. $239 million as of August 30, 2001 (including deferred tax assets denominated in Japanese Yen valued at approximately U.S. $165 million as of August 29, 2002, and U.S. $188 million as of August 30, 2001). The Company also held aggregate foreign currency liabilities valued at approximately U.S. $434 million as of August 29, 2002, and U.S. $453 million as of August 30, 2001 (including debt denominated in Japanese Yen valued at approximately U.S. $233 million as of August 29, 2002, and U.S. $281 million as of August 30, 2001). Foreign currency receivables and payables are comprised primarily of Japanese Yen, Euros, Singapore Dollars and British Pounds.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0840" w:type="dxa"/>
            <w:vAlign w:val="bottom"/>
          </w:tcPr>
          <w:p>
            <w:pPr>
              <w:spacing w:after="0"/>
              <w:rPr>
                <w:sz w:val="15"/>
                <w:szCs w:val="15"/>
                <w:color w:val="auto"/>
              </w:rPr>
            </w:pPr>
          </w:p>
        </w:tc>
        <w:tc>
          <w:tcPr>
            <w:tcW w:w="560" w:type="dxa"/>
            <w:vAlign w:val="bottom"/>
          </w:tcPr>
          <w:p>
            <w:pPr>
              <w:jc w:val="right"/>
              <w:ind w:right="55"/>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8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084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0840" w:type="dxa"/>
            <w:vAlign w:val="bottom"/>
            <w:shd w:val="clear" w:color="auto" w:fill="CCEEFF"/>
          </w:tcPr>
          <w:p>
            <w:pPr>
              <w:spacing w:after="0"/>
              <w:rPr>
                <w:sz w:val="20"/>
                <w:szCs w:val="20"/>
                <w:color w:val="auto"/>
              </w:rPr>
            </w:pPr>
            <w:r>
              <w:rPr>
                <w:rFonts w:ascii="Arial" w:cs="Arial" w:eastAsia="Arial" w:hAnsi="Arial"/>
                <w:sz w:val="18"/>
                <w:szCs w:val="18"/>
                <w:color w:val="auto"/>
                <w:w w:val="92"/>
              </w:rPr>
              <w:t>Consolidated Financial Statements as of August 29, 2002, and August 30, 2001, and for fiscal years ended August 29, 2002, August 30, 2001, and</w:t>
            </w: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840" w:type="dxa"/>
            <w:vAlign w:val="bottom"/>
            <w:shd w:val="clear" w:color="auto" w:fill="CCEEFF"/>
          </w:tcPr>
          <w:p>
            <w:pPr>
              <w:spacing w:after="0"/>
              <w:rPr>
                <w:sz w:val="20"/>
                <w:szCs w:val="20"/>
                <w:color w:val="auto"/>
              </w:rPr>
            </w:pPr>
            <w:r>
              <w:rPr>
                <w:rFonts w:ascii="Arial" w:cs="Arial" w:eastAsia="Arial" w:hAnsi="Arial"/>
                <w:sz w:val="18"/>
                <w:szCs w:val="18"/>
                <w:color w:val="auto"/>
              </w:rPr>
              <w:t>August 31, 2000:</w:t>
            </w: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10840" w:type="dxa"/>
            <w:vAlign w:val="bottom"/>
          </w:tcPr>
          <w:p>
            <w:pPr>
              <w:ind w:left="220"/>
              <w:spacing w:after="0"/>
              <w:rPr>
                <w:sz w:val="20"/>
                <w:szCs w:val="20"/>
                <w:color w:val="auto"/>
              </w:rPr>
            </w:pPr>
            <w:r>
              <w:rPr>
                <w:rFonts w:ascii="Arial" w:cs="Arial" w:eastAsia="Arial" w:hAnsi="Arial"/>
                <w:sz w:val="18"/>
                <w:szCs w:val="18"/>
                <w:color w:val="auto"/>
              </w:rPr>
              <w:t>Consolidated Statements of Operations</w:t>
            </w:r>
          </w:p>
        </w:tc>
        <w:tc>
          <w:tcPr>
            <w:tcW w:w="56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10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Consolidated Balance Sheets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10840" w:type="dxa"/>
            <w:vAlign w:val="bottom"/>
          </w:tcPr>
          <w:p>
            <w:pPr>
              <w:ind w:left="220"/>
              <w:spacing w:after="0"/>
              <w:rPr>
                <w:sz w:val="20"/>
                <w:szCs w:val="20"/>
                <w:color w:val="auto"/>
              </w:rPr>
            </w:pPr>
            <w:r>
              <w:rPr>
                <w:rFonts w:ascii="Arial" w:cs="Arial" w:eastAsia="Arial" w:hAnsi="Arial"/>
                <w:sz w:val="18"/>
                <w:szCs w:val="18"/>
                <w:color w:val="auto"/>
              </w:rPr>
              <w:t>Consolidated Statements of Shareholders' Equity</w:t>
            </w:r>
          </w:p>
        </w:tc>
        <w:tc>
          <w:tcPr>
            <w:tcW w:w="56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10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Consolidated Statements of Cash Flows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10840" w:type="dxa"/>
            <w:vAlign w:val="bottom"/>
          </w:tcPr>
          <w:p>
            <w:pPr>
              <w:ind w:left="220"/>
              <w:spacing w:after="0"/>
              <w:rPr>
                <w:sz w:val="20"/>
                <w:szCs w:val="20"/>
                <w:color w:val="auto"/>
              </w:rPr>
            </w:pPr>
            <w:r>
              <w:rPr>
                <w:rFonts w:ascii="Arial" w:cs="Arial" w:eastAsia="Arial" w:hAnsi="Arial"/>
                <w:sz w:val="18"/>
                <w:szCs w:val="18"/>
                <w:color w:val="auto"/>
              </w:rPr>
              <w:t>Notes to Consolidated Financial Statements</w:t>
            </w:r>
          </w:p>
        </w:tc>
        <w:tc>
          <w:tcPr>
            <w:tcW w:w="56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10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Report of Independent Accountants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-2001520</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-2001520</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Financial Statement Schedule:</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414"/>
        </w:trPr>
        <w:tc>
          <w:tcPr>
            <w:tcW w:w="104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6"/>
              </w:rPr>
              <w:t>Schedule II—Valuation and Qualifying Accounts for the Fiscal Years Ended August 29, 2002, August 30, 2001, and August 31, 2000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(Amounts in millions except per share amounts)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w w:val="98"/>
              </w:rPr>
              <w:t>For the year ended</w:t>
            </w: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August 29,</w:t>
            </w: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August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ind w:right="414"/>
              <w:spacing w:after="0"/>
              <w:rPr>
                <w:sz w:val="20"/>
                <w:szCs w:val="20"/>
                <w:color w:val="auto"/>
              </w:rPr>
            </w:pPr>
            <w:r>
              <w:rPr>
                <w:rFonts w:ascii="Arial" w:cs="Arial" w:eastAsia="Arial" w:hAnsi="Arial"/>
                <w:sz w:val="14"/>
                <w:szCs w:val="14"/>
                <w:b w:val="1"/>
                <w:bCs w:val="1"/>
                <w:color w:val="auto"/>
              </w:rPr>
              <w:t>2002</w:t>
            </w:r>
          </w:p>
        </w:tc>
        <w:tc>
          <w:tcPr>
            <w:tcW w:w="200" w:type="dxa"/>
            <w:vAlign w:val="bottom"/>
          </w:tcPr>
          <w:p>
            <w:pPr>
              <w:spacing w:after="0"/>
              <w:rPr>
                <w:sz w:val="15"/>
                <w:szCs w:val="15"/>
                <w:color w:val="auto"/>
              </w:rPr>
            </w:pPr>
          </w:p>
        </w:tc>
        <w:tc>
          <w:tcPr>
            <w:tcW w:w="126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0"/>
              </w:rPr>
              <w:t>August 30, 2001</w:t>
            </w:r>
          </w:p>
        </w:tc>
        <w:tc>
          <w:tcPr>
            <w:tcW w:w="220" w:type="dxa"/>
            <w:vAlign w:val="bottom"/>
          </w:tcPr>
          <w:p>
            <w:pPr>
              <w:spacing w:after="0"/>
              <w:rPr>
                <w:sz w:val="15"/>
                <w:szCs w:val="15"/>
                <w:color w:val="auto"/>
              </w:rPr>
            </w:pPr>
          </w:p>
        </w:tc>
        <w:tc>
          <w:tcPr>
            <w:tcW w:w="1100" w:type="dxa"/>
            <w:vAlign w:val="bottom"/>
          </w:tcPr>
          <w:p>
            <w:pPr>
              <w:jc w:val="right"/>
              <w:ind w:right="434"/>
              <w:spacing w:after="0"/>
              <w:rPr>
                <w:sz w:val="20"/>
                <w:szCs w:val="20"/>
                <w:color w:val="auto"/>
              </w:rPr>
            </w:pPr>
            <w:r>
              <w:rPr>
                <w:rFonts w:ascii="Arial" w:cs="Arial" w:eastAsia="Arial" w:hAnsi="Arial"/>
                <w:sz w:val="14"/>
                <w:szCs w:val="14"/>
                <w:b w:val="1"/>
                <w:bCs w:val="1"/>
                <w:color w:val="auto"/>
              </w:rPr>
              <w:t>2000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2,589.0</w:t>
            </w:r>
          </w:p>
        </w:tc>
        <w:tc>
          <w:tcPr>
            <w:tcW w:w="20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3,935.9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Cost of goods sold</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2,699.6</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3,825.2</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3,114.3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margin</w:t>
            </w:r>
          </w:p>
        </w:tc>
        <w:tc>
          <w:tcPr>
            <w:tcW w:w="200" w:type="dxa"/>
            <w:vAlign w:val="bottom"/>
            <w:shd w:val="clear" w:color="auto" w:fill="CCEEFF"/>
          </w:tcPr>
          <w:p>
            <w:pPr>
              <w:spacing w:after="0"/>
              <w:rPr>
                <w:sz w:val="21"/>
                <w:szCs w:val="21"/>
                <w:color w:val="auto"/>
              </w:rPr>
            </w:pPr>
          </w:p>
        </w:tc>
        <w:tc>
          <w:tcPr>
            <w:tcW w:w="12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(110.6)</w:t>
            </w:r>
          </w:p>
        </w:tc>
        <w:tc>
          <w:tcPr>
            <w:tcW w:w="3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3,248.1</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30"/>
        </w:trPr>
        <w:tc>
          <w:tcPr>
            <w:tcW w:w="622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332.3</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524.1</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438.5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561.3</w:t>
            </w:r>
          </w:p>
        </w:tc>
        <w:tc>
          <w:tcPr>
            <w:tcW w:w="20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Other operating (income) expense</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21.1</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73.6</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income (loss)</w:t>
            </w:r>
          </w:p>
        </w:tc>
        <w:tc>
          <w:tcPr>
            <w:tcW w:w="200" w:type="dxa"/>
            <w:vAlign w:val="bottom"/>
            <w:shd w:val="clear" w:color="auto" w:fill="CCEEFF"/>
          </w:tcPr>
          <w:p>
            <w:pPr>
              <w:spacing w:after="0"/>
              <w:rPr>
                <w:sz w:val="21"/>
                <w:szCs w:val="21"/>
                <w:color w:val="auto"/>
              </w:rPr>
            </w:pPr>
          </w:p>
        </w:tc>
        <w:tc>
          <w:tcPr>
            <w:tcW w:w="12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(1,025.3)</w:t>
            </w:r>
          </w:p>
        </w:tc>
        <w:tc>
          <w:tcPr>
            <w:tcW w:w="3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(976.5)</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2,392.7</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30"/>
        </w:trPr>
        <w:tc>
          <w:tcPr>
            <w:tcW w:w="622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51.6</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135.8</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112.8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(17.1)</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(16.7)</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Gain (loss) on issuance of subsidiary stock</w:t>
            </w:r>
          </w:p>
        </w:tc>
        <w:tc>
          <w:tcPr>
            <w:tcW w:w="2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Other non-operating income (expense)</w:t>
            </w:r>
          </w:p>
        </w:tc>
        <w:tc>
          <w:tcPr>
            <w:tcW w:w="20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(98.7)</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2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6200" w:type="dxa"/>
            <w:vAlign w:val="bottom"/>
          </w:tcPr>
          <w:p>
            <w:pPr>
              <w:ind w:left="200"/>
              <w:spacing w:after="0"/>
              <w:rPr>
                <w:sz w:val="20"/>
                <w:szCs w:val="20"/>
                <w:color w:val="auto"/>
              </w:rPr>
            </w:pPr>
            <w:r>
              <w:rPr>
                <w:rFonts w:ascii="Arial" w:cs="Arial" w:eastAsia="Arial" w:hAnsi="Arial"/>
                <w:sz w:val="18"/>
                <w:szCs w:val="18"/>
                <w:color w:val="auto"/>
              </w:rPr>
              <w:t>Income (loss) before taxes and minority interest</w:t>
            </w:r>
          </w:p>
        </w:tc>
        <w:tc>
          <w:tcPr>
            <w:tcW w:w="200" w:type="dxa"/>
            <w:vAlign w:val="bottom"/>
          </w:tcPr>
          <w:p>
            <w:pPr>
              <w:spacing w:after="0"/>
              <w:rPr>
                <w:sz w:val="24"/>
                <w:szCs w:val="2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(998.5)</w:t>
            </w:r>
          </w:p>
        </w:tc>
        <w:tc>
          <w:tcPr>
            <w:tcW w:w="300" w:type="dxa"/>
            <w:vAlign w:val="bottom"/>
          </w:tcPr>
          <w:p>
            <w:pPr>
              <w:spacing w:after="0"/>
              <w:rPr>
                <w:sz w:val="24"/>
                <w:szCs w:val="2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(959.5)</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2,422.8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200" w:type="dxa"/>
            <w:vAlign w:val="bottom"/>
            <w:shd w:val="clear" w:color="auto" w:fill="CCEEFF"/>
          </w:tcPr>
          <w:p>
            <w:pPr>
              <w:spacing w:after="0"/>
              <w:rPr>
                <w:sz w:val="24"/>
                <w:szCs w:val="24"/>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200" w:type="dxa"/>
            <w:vAlign w:val="bottom"/>
            <w:tcBorders>
              <w:right w:val="single" w:sz="8" w:color="CCEEFF"/>
            </w:tcBorders>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446.0</w:t>
            </w: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(829.8)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Minority interest in net income</w:t>
            </w:r>
          </w:p>
        </w:tc>
        <w:tc>
          <w:tcPr>
            <w:tcW w:w="20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(7.7)</w:t>
            </w:r>
          </w:p>
        </w:tc>
        <w:tc>
          <w:tcPr>
            <w:tcW w:w="2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(loss) from continuing operations</w:t>
            </w:r>
          </w:p>
        </w:tc>
        <w:tc>
          <w:tcPr>
            <w:tcW w:w="200" w:type="dxa"/>
            <w:vAlign w:val="bottom"/>
            <w:shd w:val="clear" w:color="auto" w:fill="CCEEFF"/>
          </w:tcPr>
          <w:p>
            <w:pPr>
              <w:spacing w:after="0"/>
              <w:rPr>
                <w:sz w:val="21"/>
                <w:szCs w:val="21"/>
                <w:color w:val="auto"/>
              </w:rPr>
            </w:pPr>
          </w:p>
        </w:tc>
        <w:tc>
          <w:tcPr>
            <w:tcW w:w="12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(907.0)</w:t>
            </w:r>
          </w:p>
        </w:tc>
        <w:tc>
          <w:tcPr>
            <w:tcW w:w="3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(521.2)</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1,547.7</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31"/>
        </w:trPr>
        <w:tc>
          <w:tcPr>
            <w:tcW w:w="6220" w:type="dxa"/>
            <w:vAlign w:val="bottom"/>
            <w:gridSpan w:val="2"/>
          </w:tcPr>
          <w:p>
            <w:pPr>
              <w:spacing w:after="0"/>
              <w:rPr>
                <w:sz w:val="20"/>
                <w:szCs w:val="20"/>
                <w:color w:val="auto"/>
              </w:rPr>
            </w:pPr>
            <w:r>
              <w:rPr>
                <w:rFonts w:ascii="Arial" w:cs="Arial" w:eastAsia="Arial" w:hAnsi="Arial"/>
                <w:sz w:val="18"/>
                <w:szCs w:val="18"/>
                <w:color w:val="auto"/>
              </w:rPr>
              <w:t>Loss from discontinued PC Operations, net of taxes and minority interest:</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2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Loss from operations of PC business</w:t>
            </w:r>
          </w:p>
        </w:tc>
        <w:tc>
          <w:tcPr>
            <w:tcW w:w="200" w:type="dxa"/>
            <w:vAlign w:val="bottom"/>
            <w:shd w:val="clear" w:color="auto" w:fill="CCEEFF"/>
          </w:tcPr>
          <w:p>
            <w:pPr>
              <w:spacing w:after="0"/>
              <w:rPr>
                <w:sz w:val="21"/>
                <w:szCs w:val="21"/>
                <w:color w:val="auto"/>
              </w:rPr>
            </w:pPr>
          </w:p>
        </w:tc>
        <w:tc>
          <w:tcPr>
            <w:tcW w:w="12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(36.1)</w:t>
            </w:r>
          </w:p>
        </w:tc>
        <w:tc>
          <w:tcPr>
            <w:tcW w:w="2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200" w:type="dxa"/>
            <w:vAlign w:val="bottom"/>
          </w:tcPr>
          <w:p>
            <w:pPr>
              <w:ind w:left="400"/>
              <w:spacing w:after="0"/>
              <w:rPr>
                <w:sz w:val="20"/>
                <w:szCs w:val="20"/>
                <w:color w:val="auto"/>
              </w:rPr>
            </w:pPr>
            <w:r>
              <w:rPr>
                <w:rFonts w:ascii="Arial" w:cs="Arial" w:eastAsia="Arial" w:hAnsi="Arial"/>
                <w:sz w:val="18"/>
                <w:szCs w:val="18"/>
                <w:color w:val="auto"/>
              </w:rPr>
              <w:t>Loss on disposal of PC Operations</w:t>
            </w:r>
          </w:p>
        </w:tc>
        <w:tc>
          <w:tcPr>
            <w:tcW w:w="20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(67.7)</w:t>
            </w:r>
          </w:p>
        </w:tc>
        <w:tc>
          <w:tcPr>
            <w:tcW w:w="22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2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2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Loss from discontinued PC Operations, net</w:t>
            </w:r>
          </w:p>
        </w:tc>
        <w:tc>
          <w:tcPr>
            <w:tcW w:w="200" w:type="dxa"/>
            <w:vAlign w:val="bottom"/>
            <w:shd w:val="clear" w:color="auto" w:fill="CCEEFF"/>
          </w:tcPr>
          <w:p>
            <w:pPr>
              <w:spacing w:after="0"/>
              <w:rPr>
                <w:sz w:val="21"/>
                <w:szCs w:val="21"/>
                <w:color w:val="auto"/>
              </w:rPr>
            </w:pPr>
          </w:p>
        </w:tc>
        <w:tc>
          <w:tcPr>
            <w:tcW w:w="12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(103.8)</w:t>
            </w:r>
          </w:p>
        </w:tc>
        <w:tc>
          <w:tcPr>
            <w:tcW w:w="2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118"/>
        </w:trPr>
        <w:tc>
          <w:tcPr>
            <w:tcW w:w="6220" w:type="dxa"/>
            <w:vAlign w:val="bottom"/>
            <w:gridSpan w:val="2"/>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22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(907.0)</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(625.0)</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1,504.2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622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2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8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(loss) per share:</w:t>
            </w:r>
          </w:p>
        </w:tc>
        <w:tc>
          <w:tcPr>
            <w:tcW w:w="200" w:type="dxa"/>
            <w:vAlign w:val="bottom"/>
            <w:shd w:val="clear" w:color="auto" w:fill="CCEEFF"/>
          </w:tcPr>
          <w:p>
            <w:pPr>
              <w:spacing w:after="0"/>
              <w:rPr>
                <w:sz w:val="24"/>
                <w:szCs w:val="24"/>
                <w:color w:val="auto"/>
              </w:rPr>
            </w:pPr>
          </w:p>
        </w:tc>
        <w:tc>
          <w:tcPr>
            <w:tcW w:w="1080" w:type="dxa"/>
            <w:vAlign w:val="bottom"/>
            <w:tcBorders>
              <w:right w:val="single" w:sz="8" w:color="CCEEFF"/>
            </w:tcBorders>
            <w:shd w:val="clear" w:color="auto" w:fill="CCEEFF"/>
          </w:tcPr>
          <w:p>
            <w:pPr>
              <w:spacing w:after="0"/>
              <w:rPr>
                <w:sz w:val="24"/>
                <w:szCs w:val="24"/>
                <w:color w:val="auto"/>
              </w:rPr>
            </w:pPr>
          </w:p>
        </w:tc>
        <w:tc>
          <w:tcPr>
            <w:tcW w:w="200" w:type="dxa"/>
            <w:vAlign w:val="bottom"/>
            <w:tcBorders>
              <w:right w:val="single" w:sz="8" w:color="CCEEFF"/>
            </w:tcBorders>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200" w:type="dxa"/>
            <w:vAlign w:val="bottom"/>
          </w:tcPr>
          <w:p>
            <w:pPr>
              <w:ind w:left="200"/>
              <w:spacing w:after="0"/>
              <w:rPr>
                <w:sz w:val="20"/>
                <w:szCs w:val="20"/>
                <w:color w:val="auto"/>
              </w:rPr>
            </w:pPr>
            <w:r>
              <w:rPr>
                <w:rFonts w:ascii="Arial" w:cs="Arial" w:eastAsia="Arial" w:hAnsi="Arial"/>
                <w:sz w:val="18"/>
                <w:szCs w:val="18"/>
                <w:color w:val="auto"/>
              </w:rPr>
              <w:t>Continuing operations</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(1.51)</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(0.88)</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Discontinued operations</w:t>
            </w:r>
          </w:p>
        </w:tc>
        <w:tc>
          <w:tcPr>
            <w:tcW w:w="200" w:type="dxa"/>
            <w:vAlign w:val="bottom"/>
            <w:shd w:val="clear" w:color="auto" w:fill="CCEEFF"/>
          </w:tcPr>
          <w:p>
            <w:pPr>
              <w:spacing w:after="0"/>
              <w:rPr>
                <w:sz w:val="21"/>
                <w:szCs w:val="21"/>
                <w:color w:val="auto"/>
              </w:rPr>
            </w:pPr>
          </w:p>
        </w:tc>
        <w:tc>
          <w:tcPr>
            <w:tcW w:w="12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(0.18)</w:t>
            </w:r>
          </w:p>
        </w:tc>
        <w:tc>
          <w:tcPr>
            <w:tcW w:w="2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200" w:type="dxa"/>
            <w:vAlign w:val="bottom"/>
          </w:tcPr>
          <w:p>
            <w:pPr>
              <w:ind w:left="200"/>
              <w:spacing w:after="0"/>
              <w:rPr>
                <w:sz w:val="20"/>
                <w:szCs w:val="20"/>
                <w:color w:val="auto"/>
              </w:rPr>
            </w:pPr>
            <w:r>
              <w:rPr>
                <w:rFonts w:ascii="Arial" w:cs="Arial" w:eastAsia="Arial" w:hAnsi="Arial"/>
                <w:sz w:val="18"/>
                <w:szCs w:val="18"/>
                <w:color w:val="auto"/>
              </w:rPr>
              <w:t>Net income (loss)</w:t>
            </w:r>
          </w:p>
        </w:tc>
        <w:tc>
          <w:tcPr>
            <w:tcW w:w="20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(1.51)</w:t>
            </w:r>
          </w:p>
        </w:tc>
        <w:tc>
          <w:tcPr>
            <w:tcW w:w="30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(1.05)</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(loss) per share:</w:t>
            </w:r>
          </w:p>
        </w:tc>
        <w:tc>
          <w:tcPr>
            <w:tcW w:w="200" w:type="dxa"/>
            <w:vAlign w:val="bottom"/>
            <w:shd w:val="clear" w:color="auto" w:fill="CCEEFF"/>
          </w:tcPr>
          <w:p>
            <w:pPr>
              <w:spacing w:after="0"/>
              <w:rPr>
                <w:sz w:val="24"/>
                <w:szCs w:val="24"/>
                <w:color w:val="auto"/>
              </w:rPr>
            </w:pPr>
          </w:p>
        </w:tc>
        <w:tc>
          <w:tcPr>
            <w:tcW w:w="1080" w:type="dxa"/>
            <w:vAlign w:val="bottom"/>
            <w:tcBorders>
              <w:right w:val="single" w:sz="8" w:color="CCEEFF"/>
            </w:tcBorders>
            <w:shd w:val="clear" w:color="auto" w:fill="CCEEFF"/>
          </w:tcPr>
          <w:p>
            <w:pPr>
              <w:spacing w:after="0"/>
              <w:rPr>
                <w:sz w:val="24"/>
                <w:szCs w:val="24"/>
                <w:color w:val="auto"/>
              </w:rPr>
            </w:pPr>
          </w:p>
        </w:tc>
        <w:tc>
          <w:tcPr>
            <w:tcW w:w="200" w:type="dxa"/>
            <w:vAlign w:val="bottom"/>
            <w:tcBorders>
              <w:right w:val="single" w:sz="8" w:color="CCEEFF"/>
            </w:tcBorders>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200" w:type="dxa"/>
            <w:vAlign w:val="bottom"/>
          </w:tcPr>
          <w:p>
            <w:pPr>
              <w:ind w:left="200"/>
              <w:spacing w:after="0"/>
              <w:rPr>
                <w:sz w:val="20"/>
                <w:szCs w:val="20"/>
                <w:color w:val="auto"/>
              </w:rPr>
            </w:pPr>
            <w:r>
              <w:rPr>
                <w:rFonts w:ascii="Arial" w:cs="Arial" w:eastAsia="Arial" w:hAnsi="Arial"/>
                <w:sz w:val="18"/>
                <w:szCs w:val="18"/>
                <w:color w:val="auto"/>
              </w:rPr>
              <w:t>Continuing operations</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(1.51)</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(0.88)</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Discontinued operations</w:t>
            </w:r>
          </w:p>
        </w:tc>
        <w:tc>
          <w:tcPr>
            <w:tcW w:w="200" w:type="dxa"/>
            <w:vAlign w:val="bottom"/>
            <w:shd w:val="clear" w:color="auto" w:fill="CCEEFF"/>
          </w:tcPr>
          <w:p>
            <w:pPr>
              <w:spacing w:after="0"/>
              <w:rPr>
                <w:sz w:val="21"/>
                <w:szCs w:val="21"/>
                <w:color w:val="auto"/>
              </w:rPr>
            </w:pPr>
          </w:p>
        </w:tc>
        <w:tc>
          <w:tcPr>
            <w:tcW w:w="12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(0.18)</w:t>
            </w:r>
          </w:p>
        </w:tc>
        <w:tc>
          <w:tcPr>
            <w:tcW w:w="2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200" w:type="dxa"/>
            <w:vAlign w:val="bottom"/>
          </w:tcPr>
          <w:p>
            <w:pPr>
              <w:ind w:left="200"/>
              <w:spacing w:after="0"/>
              <w:rPr>
                <w:sz w:val="20"/>
                <w:szCs w:val="20"/>
                <w:color w:val="auto"/>
              </w:rPr>
            </w:pPr>
            <w:r>
              <w:rPr>
                <w:rFonts w:ascii="Arial" w:cs="Arial" w:eastAsia="Arial" w:hAnsi="Arial"/>
                <w:sz w:val="18"/>
                <w:szCs w:val="18"/>
                <w:color w:val="auto"/>
              </w:rPr>
              <w:t>Net income (loss)</w:t>
            </w:r>
          </w:p>
        </w:tc>
        <w:tc>
          <w:tcPr>
            <w:tcW w:w="20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(1.51)</w:t>
            </w:r>
          </w:p>
        </w:tc>
        <w:tc>
          <w:tcPr>
            <w:tcW w:w="30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(1.05)</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Number of shares used in per share calculations:</w:t>
            </w:r>
          </w:p>
        </w:tc>
        <w:tc>
          <w:tcPr>
            <w:tcW w:w="200" w:type="dxa"/>
            <w:vAlign w:val="bottom"/>
            <w:shd w:val="clear" w:color="auto" w:fill="CCEEFF"/>
          </w:tcPr>
          <w:p>
            <w:pPr>
              <w:spacing w:after="0"/>
              <w:rPr>
                <w:sz w:val="24"/>
                <w:szCs w:val="24"/>
                <w:color w:val="auto"/>
              </w:rPr>
            </w:pPr>
          </w:p>
        </w:tc>
        <w:tc>
          <w:tcPr>
            <w:tcW w:w="1080" w:type="dxa"/>
            <w:vAlign w:val="bottom"/>
            <w:tcBorders>
              <w:right w:val="single" w:sz="8" w:color="CCEEFF"/>
            </w:tcBorders>
            <w:shd w:val="clear" w:color="auto" w:fill="CCEEFF"/>
          </w:tcPr>
          <w:p>
            <w:pPr>
              <w:spacing w:after="0"/>
              <w:rPr>
                <w:sz w:val="24"/>
                <w:szCs w:val="24"/>
                <w:color w:val="auto"/>
              </w:rPr>
            </w:pPr>
          </w:p>
        </w:tc>
        <w:tc>
          <w:tcPr>
            <w:tcW w:w="200" w:type="dxa"/>
            <w:vAlign w:val="bottom"/>
            <w:tcBorders>
              <w:right w:val="single" w:sz="8" w:color="CCEEFF"/>
            </w:tcBorders>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200" w:type="dxa"/>
            <w:vAlign w:val="bottom"/>
          </w:tcPr>
          <w:p>
            <w:pPr>
              <w:ind w:left="20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601.5</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592.4</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550.9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spacing w:after="0"/>
              <w:rPr>
                <w:sz w:val="21"/>
                <w:szCs w:val="21"/>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601.5</w:t>
            </w:r>
          </w:p>
        </w:tc>
        <w:tc>
          <w:tcPr>
            <w:tcW w:w="200" w:type="dxa"/>
            <w:vAlign w:val="bottom"/>
            <w:tcBorders>
              <w:right w:val="single" w:sz="8" w:color="CCEEFF"/>
            </w:tcBorders>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592.4</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605.4</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6511925</wp:posOffset>
            </wp:positionH>
            <wp:positionV relativeFrom="paragraph">
              <wp:posOffset>-6993255</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-6993255</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-6649720</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-6649720</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-6649720</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-6649720</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-6649720</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-6649720</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-6221095</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-6221095</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-6221095</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-6221095</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-6221095</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-6221095</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-5363845</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-5363845</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-5363845</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-5363845</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-5363845</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-5363845</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-4368800</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-4368800</wp:posOffset>
            </wp:positionV>
            <wp:extent cx="12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-4368800</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-4368800</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-4368800</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-4368800</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-3648075</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-3648075</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-3648075</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-3648075</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-3648075</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-3648075</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-2756535</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-2756535</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-2756535</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-2756535</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-2756535</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-2756535</wp:posOffset>
            </wp:positionV>
            <wp:extent cx="12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-2447925</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-2447925</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-2447925</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-2447925</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-2447925</wp:posOffset>
            </wp:positionV>
            <wp:extent cx="127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-2447925</wp:posOffset>
            </wp:positionV>
            <wp:extent cx="127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7" w:right="239" w:bottom="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MICRON TECHNOLOGY, INC.</w:t>
      </w:r>
    </w:p>
    <w:p>
      <w:pPr>
        <w:sectPr>
          <w:pgSz w:w="11900" w:h="16838" w:orient="portrait"/>
          <w:cols w:equalWidth="0" w:num="1">
            <w:col w:w="11420"/>
          </w:cols>
          <w:pgMar w:left="240" w:top="347" w:right="239" w:bottom="96" w:gutter="0" w:footer="0" w:header="0"/>
          <w:type w:val="continuous"/>
        </w:sectPr>
      </w:pPr>
    </w:p>
    <w:bookmarkStart w:id="18" w:name="page19"/>
    <w:bookmarkEnd w:id="18"/>
    <w:p>
      <w:pPr>
        <w:ind w:left="4200"/>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(Amounts in millions except par value amounts)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rPr>
              <w:t>As of</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August 29,</w:t>
            </w:r>
          </w:p>
        </w:tc>
        <w:tc>
          <w:tcPr>
            <w:tcW w:w="180" w:type="dxa"/>
            <w:vAlign w:val="bottom"/>
          </w:tcPr>
          <w:p>
            <w:pPr>
              <w:spacing w:after="0"/>
              <w:rPr>
                <w:sz w:val="20"/>
                <w:szCs w:val="20"/>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2"/>
              </w:rPr>
              <w:t>August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ind w:right="314"/>
              <w:spacing w:after="0"/>
              <w:rPr>
                <w:sz w:val="20"/>
                <w:szCs w:val="20"/>
                <w:color w:val="auto"/>
              </w:rPr>
            </w:pPr>
            <w:r>
              <w:rPr>
                <w:rFonts w:ascii="Arial" w:cs="Arial" w:eastAsia="Arial" w:hAnsi="Arial"/>
                <w:sz w:val="14"/>
                <w:szCs w:val="14"/>
                <w:b w:val="1"/>
                <w:bCs w:val="1"/>
                <w:color w:val="auto"/>
              </w:rPr>
              <w:t>2002</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334"/>
              <w:spacing w:after="0"/>
              <w:rPr>
                <w:sz w:val="20"/>
                <w:szCs w:val="20"/>
                <w:color w:val="auto"/>
              </w:rPr>
            </w:pPr>
            <w:r>
              <w:rPr>
                <w:rFonts w:ascii="Arial" w:cs="Arial" w:eastAsia="Arial" w:hAnsi="Arial"/>
                <w:sz w:val="14"/>
                <w:szCs w:val="14"/>
                <w:b w:val="1"/>
                <w:bCs w:val="1"/>
                <w:color w:val="auto"/>
              </w:rPr>
              <w:t>2001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Cash and equivalents</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398.2</w:t>
            </w:r>
          </w:p>
        </w:tc>
        <w:tc>
          <w:tcPr>
            <w:tcW w:w="1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469.1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Receivables</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537.9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791.6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Prepaid expenses</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08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7080" w:type="dxa"/>
            <w:vAlign w:val="bottom"/>
          </w:tcPr>
          <w:p>
            <w:pPr>
              <w:ind w:left="180"/>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2,118.8</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3,137.7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4,699.5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4,704.1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295.3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0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7,555.4</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8,363.2</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71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100" w:type="dxa"/>
            <w:vAlign w:val="bottom"/>
            <w:gridSpan w:val="2"/>
            <w:vMerge w:val="continue"/>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71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Deferred income</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Equipment purchase contracts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93.1</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0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752.7</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Long-term debt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360.8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Other liabilities</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0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1,188.8</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1,228.4</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7100" w:type="dxa"/>
            <w:vAlign w:val="bottom"/>
            <w:gridSpan w:val="2"/>
            <w:vMerge w:val="restart"/>
          </w:tcPr>
          <w:p>
            <w:pPr>
              <w:spacing w:after="0"/>
              <w:rPr>
                <w:sz w:val="20"/>
                <w:szCs w:val="20"/>
                <w:color w:val="auto"/>
              </w:rPr>
            </w:pPr>
            <w:r>
              <w:rPr>
                <w:rFonts w:ascii="Arial" w:cs="Arial" w:eastAsia="Arial" w:hAnsi="Arial"/>
                <w:sz w:val="18"/>
                <w:szCs w:val="18"/>
                <w:color w:val="auto"/>
              </w:rPr>
              <w:t>Commitments and contingencies</w:t>
            </w:r>
          </w:p>
        </w:tc>
        <w:tc>
          <w:tcPr>
            <w:tcW w:w="16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71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Redeemable common stock</w:t>
            </w:r>
          </w:p>
        </w:tc>
        <w:tc>
          <w:tcPr>
            <w:tcW w:w="16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1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24"/>
        </w:trPr>
        <w:tc>
          <w:tcPr>
            <w:tcW w:w="7100" w:type="dxa"/>
            <w:vAlign w:val="bottom"/>
            <w:gridSpan w:val="2"/>
          </w:tcPr>
          <w:p>
            <w:pPr>
              <w:spacing w:after="0"/>
              <w:rPr>
                <w:sz w:val="20"/>
                <w:szCs w:val="20"/>
                <w:color w:val="auto"/>
              </w:rPr>
            </w:pPr>
            <w:r>
              <w:rPr>
                <w:rFonts w:ascii="Arial" w:cs="Arial" w:eastAsia="Arial" w:hAnsi="Arial"/>
                <w:sz w:val="18"/>
                <w:szCs w:val="18"/>
                <w:color w:val="auto"/>
              </w:rPr>
              <w:t>Common stock, $0.10 par value, authorized 3.0 billion shares, issued and outstanding</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7100" w:type="dxa"/>
            <w:vAlign w:val="bottom"/>
            <w:gridSpan w:val="2"/>
          </w:tcPr>
          <w:p>
            <w:pPr>
              <w:spacing w:after="0"/>
              <w:rPr>
                <w:sz w:val="20"/>
                <w:szCs w:val="20"/>
                <w:color w:val="auto"/>
              </w:rPr>
            </w:pPr>
            <w:r>
              <w:rPr>
                <w:rFonts w:ascii="Arial" w:cs="Arial" w:eastAsia="Arial" w:hAnsi="Arial"/>
                <w:sz w:val="18"/>
                <w:szCs w:val="18"/>
                <w:color w:val="auto"/>
              </w:rPr>
              <w:t>602.9 million and 598.4 million shares</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Additional capital</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4,229.6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2,015.5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2,924.6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 (loss), net of tax</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08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7080" w:type="dxa"/>
            <w:vAlign w:val="bottom"/>
          </w:tcPr>
          <w:p>
            <w:pPr>
              <w:ind w:left="180"/>
              <w:spacing w:after="0"/>
              <w:rPr>
                <w:sz w:val="20"/>
                <w:szCs w:val="20"/>
                <w:color w:val="auto"/>
              </w:rPr>
            </w:pPr>
            <w:r>
              <w:rPr>
                <w:rFonts w:ascii="Arial" w:cs="Arial" w:eastAsia="Arial" w:hAnsi="Arial"/>
                <w:sz w:val="18"/>
                <w:szCs w:val="18"/>
                <w:color w:val="auto"/>
              </w:rPr>
              <w:t>Total shareholders' equity</w:t>
            </w: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6,306.4</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7,134.8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08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liabilities and shareholders' equity</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7,555.4</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8,363.2</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8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-6548755</wp:posOffset>
            </wp:positionV>
            <wp:extent cx="127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-6548755</wp:posOffset>
            </wp:positionV>
            <wp:extent cx="127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-6205855</wp:posOffset>
            </wp:positionV>
            <wp:extent cx="127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-6205855</wp:posOffset>
            </wp:positionV>
            <wp:extent cx="12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-6205855</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-6205855</wp:posOffset>
            </wp:positionV>
            <wp:extent cx="12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-5091430</wp:posOffset>
            </wp:positionV>
            <wp:extent cx="12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-5091430</wp:posOffset>
            </wp:positionV>
            <wp:extent cx="127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-5091430</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-5091430</wp:posOffset>
            </wp:positionV>
            <wp:extent cx="12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-4233545</wp:posOffset>
            </wp:positionV>
            <wp:extent cx="12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-4233545</wp:posOffset>
            </wp:positionV>
            <wp:extent cx="127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-4233545</wp:posOffset>
            </wp:positionV>
            <wp:extent cx="12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-4233545</wp:posOffset>
            </wp:positionV>
            <wp:extent cx="12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-3067050</wp:posOffset>
            </wp:positionV>
            <wp:extent cx="127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-3067050</wp:posOffset>
            </wp:positionV>
            <wp:extent cx="12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-3067050</wp:posOffset>
            </wp:positionV>
            <wp:extent cx="12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-3067050</wp:posOffset>
            </wp:positionV>
            <wp:extent cx="127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-2346960</wp:posOffset>
            </wp:positionV>
            <wp:extent cx="12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-2346960</wp:posOffset>
            </wp:positionV>
            <wp:extent cx="12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-2346960</wp:posOffset>
            </wp:positionV>
            <wp:extent cx="127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-2346960</wp:posOffset>
            </wp:positionV>
            <wp:extent cx="12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-2038350</wp:posOffset>
            </wp:positionV>
            <wp:extent cx="12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-2038350</wp:posOffset>
            </wp:positionV>
            <wp:extent cx="12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-2038350</wp:posOffset>
            </wp:positionV>
            <wp:extent cx="12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-2038350</wp:posOffset>
            </wp:positionV>
            <wp:extent cx="12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-648970</wp:posOffset>
            </wp:positionV>
            <wp:extent cx="12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-648970</wp:posOffset>
            </wp:positionV>
            <wp:extent cx="12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-648970</wp:posOffset>
            </wp:positionV>
            <wp:extent cx="127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-648970</wp:posOffset>
            </wp:positionV>
            <wp:extent cx="127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-340360</wp:posOffset>
            </wp:positionV>
            <wp:extent cx="127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-340360</wp:posOffset>
            </wp:positionV>
            <wp:extent cx="127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-340360</wp:posOffset>
            </wp:positionV>
            <wp:extent cx="127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-340360</wp:posOffset>
            </wp:positionV>
            <wp:extent cx="127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(Amounts in millions)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gridSpan w:val="4"/>
          </w:tcPr>
          <w:p>
            <w:pPr>
              <w:jc w:val="center"/>
              <w:spacing w:after="0"/>
              <w:rPr>
                <w:sz w:val="20"/>
                <w:szCs w:val="20"/>
                <w:color w:val="auto"/>
              </w:rPr>
            </w:pPr>
            <w:r>
              <w:rPr>
                <w:rFonts w:ascii="Arial" w:cs="Arial" w:eastAsia="Arial" w:hAnsi="Arial"/>
                <w:sz w:val="14"/>
                <w:szCs w:val="14"/>
                <w:b w:val="1"/>
                <w:bCs w:val="1"/>
                <w:color w:val="auto"/>
                <w:w w:val="85"/>
              </w:rPr>
              <w:t>Class A</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86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7"/>
              </w:rPr>
              <w:t>Common Stock</w:t>
            </w:r>
          </w:p>
        </w:tc>
        <w:tc>
          <w:tcPr>
            <w:tcW w:w="1700" w:type="dxa"/>
            <w:vAlign w:val="bottom"/>
            <w:gridSpan w:val="4"/>
          </w:tcPr>
          <w:p>
            <w:pPr>
              <w:jc w:val="center"/>
              <w:spacing w:after="0"/>
              <w:rPr>
                <w:sz w:val="20"/>
                <w:szCs w:val="20"/>
                <w:color w:val="auto"/>
              </w:rPr>
            </w:pPr>
            <w:r>
              <w:rPr>
                <w:rFonts w:ascii="Arial" w:cs="Arial" w:eastAsia="Arial" w:hAnsi="Arial"/>
                <w:sz w:val="14"/>
                <w:szCs w:val="14"/>
                <w:b w:val="1"/>
                <w:bCs w:val="1"/>
                <w:color w:val="auto"/>
                <w:w w:val="85"/>
              </w:rPr>
              <w:t>Common Stock</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vMerge w:val="restart"/>
          </w:tcPr>
          <w:p>
            <w:pPr>
              <w:spacing w:after="0"/>
              <w:rPr>
                <w:sz w:val="9"/>
                <w:szCs w:val="9"/>
                <w:color w:val="auto"/>
              </w:rPr>
            </w:pPr>
          </w:p>
        </w:tc>
        <w:tc>
          <w:tcPr>
            <w:tcW w:w="1180" w:type="dxa"/>
            <w:vAlign w:val="bottom"/>
            <w:vMerge w:val="restart"/>
          </w:tcPr>
          <w:p>
            <w:pPr>
              <w:jc w:val="center"/>
              <w:ind w:left="232"/>
              <w:spacing w:after="0"/>
              <w:rPr>
                <w:sz w:val="20"/>
                <w:szCs w:val="20"/>
                <w:color w:val="auto"/>
              </w:rPr>
            </w:pPr>
            <w:r>
              <w:rPr>
                <w:rFonts w:ascii="Arial" w:cs="Arial" w:eastAsia="Arial" w:hAnsi="Arial"/>
                <w:sz w:val="14"/>
                <w:szCs w:val="14"/>
                <w:b w:val="1"/>
                <w:bCs w:val="1"/>
                <w:color w:val="auto"/>
                <w:w w:val="86"/>
              </w:rPr>
              <w:t>Accumulated</w:t>
            </w: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ind w:left="212"/>
              <w:spacing w:after="0" w:line="149" w:lineRule="exact"/>
              <w:rPr>
                <w:sz w:val="20"/>
                <w:szCs w:val="20"/>
                <w:color w:val="auto"/>
              </w:rPr>
            </w:pPr>
            <w:r>
              <w:rPr>
                <w:rFonts w:ascii="Arial" w:cs="Arial" w:eastAsia="Arial" w:hAnsi="Arial"/>
                <w:sz w:val="14"/>
                <w:szCs w:val="14"/>
                <w:b w:val="1"/>
                <w:bCs w:val="1"/>
                <w:color w:val="auto"/>
                <w:w w:val="90"/>
              </w:rPr>
              <w:t>Other</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Number</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Additional</w:t>
            </w:r>
          </w:p>
        </w:tc>
        <w:tc>
          <w:tcPr>
            <w:tcW w:w="160" w:type="dxa"/>
            <w:vAlign w:val="bottom"/>
          </w:tcPr>
          <w:p>
            <w:pPr>
              <w:spacing w:after="0"/>
              <w:rPr>
                <w:sz w:val="12"/>
                <w:szCs w:val="12"/>
                <w:color w:val="auto"/>
              </w:rPr>
            </w:pPr>
          </w:p>
        </w:tc>
        <w:tc>
          <w:tcPr>
            <w:tcW w:w="860" w:type="dxa"/>
            <w:vAlign w:val="bottom"/>
          </w:tcPr>
          <w:p>
            <w:pPr>
              <w:jc w:val="right"/>
              <w:ind w:right="182"/>
              <w:spacing w:after="0" w:line="149" w:lineRule="exact"/>
              <w:rPr>
                <w:sz w:val="20"/>
                <w:szCs w:val="20"/>
                <w:color w:val="auto"/>
              </w:rPr>
            </w:pPr>
            <w:r>
              <w:rPr>
                <w:rFonts w:ascii="Arial" w:cs="Arial" w:eastAsia="Arial" w:hAnsi="Arial"/>
                <w:sz w:val="14"/>
                <w:szCs w:val="14"/>
                <w:b w:val="1"/>
                <w:bCs w:val="1"/>
                <w:color w:val="auto"/>
                <w:w w:val="98"/>
              </w:rPr>
              <w:t>Retained</w:t>
            </w:r>
          </w:p>
        </w:tc>
        <w:tc>
          <w:tcPr>
            <w:tcW w:w="100" w:type="dxa"/>
            <w:vAlign w:val="bottom"/>
          </w:tcPr>
          <w:p>
            <w:pPr>
              <w:spacing w:after="0"/>
              <w:rPr>
                <w:sz w:val="12"/>
                <w:szCs w:val="12"/>
                <w:color w:val="auto"/>
              </w:rPr>
            </w:pPr>
          </w:p>
        </w:tc>
        <w:tc>
          <w:tcPr>
            <w:tcW w:w="1180" w:type="dxa"/>
            <w:vAlign w:val="bottom"/>
          </w:tcPr>
          <w:p>
            <w:pPr>
              <w:jc w:val="center"/>
              <w:ind w:left="212"/>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Shareholders'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4"/>
              </w:rPr>
              <w:t>of Shares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9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1"/>
              </w:rPr>
              <w:t>of Shares</w:t>
            </w:r>
          </w:p>
        </w:tc>
        <w:tc>
          <w:tcPr>
            <w:tcW w:w="740" w:type="dxa"/>
            <w:vAlign w:val="bottom"/>
          </w:tcPr>
          <w:p>
            <w:pPr>
              <w:jc w:val="right"/>
              <w:ind w:right="142"/>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Capital</w:t>
            </w:r>
          </w:p>
        </w:tc>
        <w:tc>
          <w:tcPr>
            <w:tcW w:w="160" w:type="dxa"/>
            <w:vAlign w:val="bottom"/>
          </w:tcPr>
          <w:p>
            <w:pPr>
              <w:spacing w:after="0"/>
              <w:rPr>
                <w:sz w:val="15"/>
                <w:szCs w:val="15"/>
                <w:color w:val="auto"/>
              </w:rPr>
            </w:pPr>
          </w:p>
        </w:tc>
        <w:tc>
          <w:tcPr>
            <w:tcW w:w="860" w:type="dxa"/>
            <w:vAlign w:val="bottom"/>
          </w:tcPr>
          <w:p>
            <w:pPr>
              <w:jc w:val="right"/>
              <w:ind w:right="162"/>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5"/>
                <w:szCs w:val="15"/>
                <w:color w:val="auto"/>
              </w:rPr>
            </w:pPr>
          </w:p>
        </w:tc>
        <w:tc>
          <w:tcPr>
            <w:tcW w:w="1180" w:type="dxa"/>
            <w:vAlign w:val="bottom"/>
          </w:tcPr>
          <w:p>
            <w:pPr>
              <w:jc w:val="center"/>
              <w:ind w:left="212"/>
              <w:spacing w:after="0"/>
              <w:rPr>
                <w:sz w:val="20"/>
                <w:szCs w:val="20"/>
                <w:color w:val="auto"/>
              </w:rPr>
            </w:pPr>
            <w:r>
              <w:rPr>
                <w:rFonts w:ascii="Arial" w:cs="Arial" w:eastAsia="Arial" w:hAnsi="Arial"/>
                <w:sz w:val="14"/>
                <w:szCs w:val="14"/>
                <w:b w:val="1"/>
                <w:bCs w:val="1"/>
                <w:color w:val="auto"/>
                <w:w w:val="86"/>
              </w:rPr>
              <w:t>Income (Loss)</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Equity</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September 2, 1999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15.8  $</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2,045.4</w:t>
            </w:r>
          </w:p>
        </w:tc>
        <w:tc>
          <w:tcPr>
            <w:tcW w:w="1280" w:type="dxa"/>
            <w:vAlign w:val="bottom"/>
            <w:gridSpan w:val="2"/>
            <w:shd w:val="clear" w:color="auto" w:fill="CCEEFF"/>
          </w:tcPr>
          <w:p>
            <w:pPr>
              <w:jc w:val="right"/>
              <w:ind w:right="1012"/>
              <w:spacing w:after="0"/>
              <w:rPr>
                <w:sz w:val="20"/>
                <w:szCs w:val="20"/>
                <w:color w:val="auto"/>
              </w:rPr>
            </w:pPr>
            <w:r>
              <w:rPr>
                <w:rFonts w:ascii="Arial" w:cs="Arial" w:eastAsia="Arial" w:hAnsi="Arial"/>
                <w:sz w:val="18"/>
                <w:szCs w:val="18"/>
                <w:color w:val="auto"/>
              </w:rPr>
              <w:t>$</w:t>
            </w:r>
          </w:p>
        </w:tc>
        <w:tc>
          <w:tcPr>
            <w:tcW w:w="4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(2.1)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760" w:type="dxa"/>
            <w:vAlign w:val="bottom"/>
            <w:gridSpan w:val="2"/>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760" w:type="dxa"/>
            <w:vAlign w:val="bottom"/>
            <w:gridSpan w:val="2"/>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276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7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1,504.2</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1,504.2</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40" w:type="dxa"/>
            <w:vAlign w:val="bottom"/>
          </w:tcPr>
          <w:p>
            <w:pPr>
              <w:ind w:left="220"/>
              <w:spacing w:after="0"/>
              <w:rPr>
                <w:sz w:val="20"/>
                <w:szCs w:val="20"/>
                <w:color w:val="auto"/>
              </w:rPr>
            </w:pPr>
            <w:r>
              <w:rPr>
                <w:rFonts w:ascii="Arial" w:cs="Arial" w:eastAsia="Arial" w:hAnsi="Arial"/>
                <w:sz w:val="18"/>
                <w:szCs w:val="18"/>
                <w:color w:val="auto"/>
              </w:rPr>
              <w:t>Other comprehensive income</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3999230</wp:posOffset>
            </wp:positionH>
            <wp:positionV relativeFrom="paragraph">
              <wp:posOffset>-1259840</wp:posOffset>
            </wp:positionV>
            <wp:extent cx="127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2927350</wp:posOffset>
            </wp:positionH>
            <wp:positionV relativeFrom="paragraph">
              <wp:posOffset>-1259840</wp:posOffset>
            </wp:positionV>
            <wp:extent cx="127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-1259840</wp:posOffset>
            </wp:positionV>
            <wp:extent cx="127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-1259840</wp:posOffset>
            </wp:positionV>
            <wp:extent cx="127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-822325</wp:posOffset>
            </wp:positionV>
            <wp:extent cx="127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-822325</wp:posOffset>
            </wp:positionV>
            <wp:extent cx="127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2181225</wp:posOffset>
            </wp:positionH>
            <wp:positionV relativeFrom="paragraph">
              <wp:posOffset>-822325</wp:posOffset>
            </wp:positionV>
            <wp:extent cx="127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-822325</wp:posOffset>
            </wp:positionV>
            <wp:extent cx="127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-822325</wp:posOffset>
            </wp:positionV>
            <wp:extent cx="127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2266950</wp:posOffset>
            </wp:positionH>
            <wp:positionV relativeFrom="paragraph">
              <wp:posOffset>-822325</wp:posOffset>
            </wp:positionV>
            <wp:extent cx="127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-822325</wp:posOffset>
            </wp:positionV>
            <wp:extent cx="127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2927350</wp:posOffset>
            </wp:positionH>
            <wp:positionV relativeFrom="paragraph">
              <wp:posOffset>-822325</wp:posOffset>
            </wp:positionV>
            <wp:extent cx="127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-822325</wp:posOffset>
            </wp:positionV>
            <wp:extent cx="127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3441700</wp:posOffset>
            </wp:positionH>
            <wp:positionV relativeFrom="paragraph">
              <wp:posOffset>-822325</wp:posOffset>
            </wp:positionV>
            <wp:extent cx="127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-822325</wp:posOffset>
            </wp:positionV>
            <wp:extent cx="127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-822325</wp:posOffset>
            </wp:positionV>
            <wp:extent cx="127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-822325</wp:posOffset>
            </wp:positionV>
            <wp:extent cx="127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-822325</wp:posOffset>
            </wp:positionV>
            <wp:extent cx="127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-822325</wp:posOffset>
            </wp:positionV>
            <wp:extent cx="127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-822325</wp:posOffset>
            </wp:positionV>
            <wp:extent cx="127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19" w:name="page20"/>
    <w:bookmarkEnd w:id="19"/>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760" w:type="dxa"/>
            <w:vAlign w:val="bottom"/>
          </w:tcPr>
          <w:p>
            <w:pPr>
              <w:ind w:left="220"/>
              <w:spacing w:after="0"/>
              <w:rPr>
                <w:sz w:val="20"/>
                <w:szCs w:val="20"/>
                <w:color w:val="auto"/>
              </w:rPr>
            </w:pPr>
            <w:r>
              <w:rPr>
                <w:rFonts w:ascii="Arial" w:cs="Arial" w:eastAsia="Arial" w:hAnsi="Arial"/>
                <w:sz w:val="18"/>
                <w:szCs w:val="18"/>
                <w:color w:val="auto"/>
              </w:rPr>
              <w:t>(loss):</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w w:val="95"/>
              </w:rPr>
              <w:t>Net change in unrealized gain</w:t>
            </w:r>
          </w:p>
        </w:tc>
        <w:tc>
          <w:tcPr>
            <w:tcW w:w="7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(loss) on investments, net of</w:t>
            </w:r>
          </w:p>
        </w:tc>
        <w:tc>
          <w:tcPr>
            <w:tcW w:w="7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tax</w:t>
            </w:r>
          </w:p>
        </w:tc>
        <w:tc>
          <w:tcPr>
            <w:tcW w:w="70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6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right w:val="single" w:sz="8" w:color="CCEEFF"/>
            </w:tcBorders>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760" w:type="dxa"/>
            <w:vAlign w:val="bottom"/>
            <w:vMerge w:val="restart"/>
          </w:tcPr>
          <w:p>
            <w:pPr>
              <w:ind w:left="220"/>
              <w:spacing w:after="0"/>
              <w:rPr>
                <w:sz w:val="20"/>
                <w:szCs w:val="20"/>
                <w:color w:val="auto"/>
              </w:rPr>
            </w:pPr>
            <w:r>
              <w:rPr>
                <w:rFonts w:ascii="Arial" w:cs="Arial" w:eastAsia="Arial" w:hAnsi="Arial"/>
                <w:sz w:val="18"/>
                <w:szCs w:val="18"/>
                <w:color w:val="auto"/>
              </w:rPr>
              <w:t>Total comprehensive income</w:t>
            </w: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276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60" w:type="dxa"/>
            <w:vAlign w:val="bottom"/>
          </w:tcPr>
          <w:p>
            <w:pPr>
              <w:ind w:left="220"/>
              <w:spacing w:after="0"/>
              <w:rPr>
                <w:sz w:val="20"/>
                <w:szCs w:val="20"/>
                <w:color w:val="auto"/>
              </w:rPr>
            </w:pPr>
            <w:r>
              <w:rPr>
                <w:rFonts w:ascii="Arial" w:cs="Arial" w:eastAsia="Arial" w:hAnsi="Arial"/>
                <w:sz w:val="18"/>
                <w:szCs w:val="18"/>
                <w:color w:val="auto"/>
              </w:rPr>
              <w:t>(loss)</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1,507.8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Conversion of notes to stock</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Stock issued under stock plans</w:t>
            </w:r>
          </w:p>
        </w:tc>
        <w:tc>
          <w:tcPr>
            <w:tcW w:w="700" w:type="dxa"/>
            <w:vAlign w:val="bottom"/>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256.7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Tax effect of stock plans</w:t>
            </w:r>
          </w:p>
        </w:tc>
        <w:tc>
          <w:tcPr>
            <w:tcW w:w="7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Stock split</w:t>
            </w:r>
          </w:p>
        </w:tc>
        <w:tc>
          <w:tcPr>
            <w:tcW w:w="700" w:type="dxa"/>
            <w:vAlign w:val="bottom"/>
          </w:tcPr>
          <w:p>
            <w:pPr>
              <w:jc w:val="right"/>
              <w:spacing w:after="0"/>
              <w:rPr>
                <w:sz w:val="20"/>
                <w:szCs w:val="20"/>
                <w:color w:val="auto"/>
              </w:rPr>
            </w:pPr>
            <w:r>
              <w:rPr>
                <w:rFonts w:ascii="Arial" w:cs="Arial" w:eastAsia="Arial" w:hAnsi="Arial"/>
                <w:sz w:val="18"/>
                <w:szCs w:val="18"/>
                <w:color w:val="auto"/>
              </w:rPr>
              <w:t>266.4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26.6</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(28.2)</w:t>
            </w: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Conversion of Class A to common</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(15.8)</w:t>
            </w:r>
          </w:p>
        </w:tc>
        <w:tc>
          <w:tcPr>
            <w:tcW w:w="3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Other</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August 31, 2000</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567.3</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2,824.2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3,549.6</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w w:val="79"/>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780" w:type="dxa"/>
            <w:vAlign w:val="bottom"/>
            <w:gridSpan w:val="2"/>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780" w:type="dxa"/>
            <w:vAlign w:val="bottom"/>
            <w:tcBorders>
              <w:right w:val="single" w:sz="8" w:color="808080"/>
            </w:tcBorders>
            <w:gridSpan w:val="2"/>
          </w:tcPr>
          <w:p>
            <w:pPr>
              <w:spacing w:after="0"/>
              <w:rPr>
                <w:sz w:val="5"/>
                <w:szCs w:val="5"/>
                <w:color w:val="auto"/>
              </w:rPr>
            </w:pPr>
          </w:p>
        </w:tc>
        <w:tc>
          <w:tcPr>
            <w:tcW w:w="700" w:type="dxa"/>
            <w:vAlign w:val="bottom"/>
            <w:tcBorders>
              <w:right w:val="single" w:sz="8" w:color="808080"/>
            </w:tcBorders>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56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840" w:type="dxa"/>
            <w:vAlign w:val="bottom"/>
            <w:tcBorders>
              <w:right w:val="single" w:sz="8" w:color="808080"/>
            </w:tcBorders>
            <w:shd w:val="clear" w:color="auto" w:fill="808080"/>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278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loss</w:t>
            </w:r>
          </w:p>
        </w:tc>
        <w:tc>
          <w:tcPr>
            <w:tcW w:w="700" w:type="dxa"/>
            <w:vAlign w:val="bottom"/>
            <w:tcBorders>
              <w:right w:val="single" w:sz="8" w:color="CCEEFF"/>
            </w:tcBorders>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56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(625.0)</w:t>
            </w:r>
          </w:p>
        </w:tc>
        <w:tc>
          <w:tcPr>
            <w:tcW w:w="640" w:type="dxa"/>
            <w:vAlign w:val="bottom"/>
            <w:shd w:val="clear" w:color="auto" w:fill="CCEEFF"/>
          </w:tcPr>
          <w:p>
            <w:pPr>
              <w:spacing w:after="0"/>
              <w:rPr>
                <w:sz w:val="21"/>
                <w:szCs w:val="21"/>
                <w:color w:val="auto"/>
              </w:rPr>
            </w:pPr>
          </w:p>
        </w:tc>
        <w:tc>
          <w:tcPr>
            <w:tcW w:w="840" w:type="dxa"/>
            <w:vAlign w:val="bottom"/>
            <w:tcBorders>
              <w:right w:val="single" w:sz="8" w:color="CCEEFF"/>
            </w:tcBorders>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(625.0)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60" w:type="dxa"/>
            <w:vAlign w:val="bottom"/>
          </w:tcPr>
          <w:p>
            <w:pPr>
              <w:ind w:left="220"/>
              <w:spacing w:after="0"/>
              <w:rPr>
                <w:sz w:val="20"/>
                <w:szCs w:val="20"/>
                <w:color w:val="auto"/>
              </w:rPr>
            </w:pPr>
            <w:r>
              <w:rPr>
                <w:rFonts w:ascii="Arial" w:cs="Arial" w:eastAsia="Arial" w:hAnsi="Arial"/>
                <w:sz w:val="18"/>
                <w:szCs w:val="18"/>
                <w:color w:val="auto"/>
              </w:rPr>
              <w:t>Other comprehensive income</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60" w:type="dxa"/>
            <w:vAlign w:val="bottom"/>
          </w:tcPr>
          <w:p>
            <w:pPr>
              <w:ind w:left="220"/>
              <w:spacing w:after="0"/>
              <w:rPr>
                <w:sz w:val="20"/>
                <w:szCs w:val="20"/>
                <w:color w:val="auto"/>
              </w:rPr>
            </w:pPr>
            <w:r>
              <w:rPr>
                <w:rFonts w:ascii="Arial" w:cs="Arial" w:eastAsia="Arial" w:hAnsi="Arial"/>
                <w:sz w:val="18"/>
                <w:szCs w:val="18"/>
                <w:color w:val="auto"/>
              </w:rPr>
              <w:t>(loss):</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w w:val="95"/>
              </w:rPr>
              <w:t>Net change in unrealized gain</w:t>
            </w:r>
          </w:p>
        </w:tc>
        <w:tc>
          <w:tcPr>
            <w:tcW w:w="7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(loss) on investments, net of</w:t>
            </w:r>
          </w:p>
        </w:tc>
        <w:tc>
          <w:tcPr>
            <w:tcW w:w="7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tax</w:t>
            </w:r>
          </w:p>
        </w:tc>
        <w:tc>
          <w:tcPr>
            <w:tcW w:w="70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6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w:t>
            </w:r>
          </w:p>
        </w:tc>
        <w:tc>
          <w:tcPr>
            <w:tcW w:w="3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760" w:type="dxa"/>
            <w:vAlign w:val="bottom"/>
            <w:vMerge w:val="restart"/>
          </w:tcPr>
          <w:p>
            <w:pPr>
              <w:ind w:left="220"/>
              <w:spacing w:after="0"/>
              <w:rPr>
                <w:sz w:val="20"/>
                <w:szCs w:val="20"/>
                <w:color w:val="auto"/>
              </w:rPr>
            </w:pPr>
            <w:r>
              <w:rPr>
                <w:rFonts w:ascii="Arial" w:cs="Arial" w:eastAsia="Arial" w:hAnsi="Arial"/>
                <w:sz w:val="18"/>
                <w:szCs w:val="18"/>
                <w:color w:val="auto"/>
              </w:rPr>
              <w:t>Total comprehensive income</w:t>
            </w: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276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60" w:type="dxa"/>
            <w:vAlign w:val="bottom"/>
          </w:tcPr>
          <w:p>
            <w:pPr>
              <w:ind w:left="220"/>
              <w:spacing w:after="0"/>
              <w:rPr>
                <w:sz w:val="20"/>
                <w:szCs w:val="20"/>
                <w:color w:val="auto"/>
              </w:rPr>
            </w:pPr>
            <w:r>
              <w:rPr>
                <w:rFonts w:ascii="Arial" w:cs="Arial" w:eastAsia="Arial" w:hAnsi="Arial"/>
                <w:sz w:val="18"/>
                <w:szCs w:val="18"/>
                <w:color w:val="auto"/>
              </w:rPr>
              <w:t>(loss)</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(629.8)</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Conversion of notes to stock</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w w:val="94"/>
              </w:rPr>
              <w:t>Issuance of common stock warrants</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480.2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issued under stock plans</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Tax effect of stock plans</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7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18"/>
        </w:trPr>
        <w:tc>
          <w:tcPr>
            <w:tcW w:w="2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at August 30, 2001</w:t>
            </w:r>
          </w:p>
        </w:tc>
        <w:tc>
          <w:tcPr>
            <w:tcW w:w="7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780" w:type="dxa"/>
            <w:vAlign w:val="bottom"/>
            <w:gridSpan w:val="2"/>
            <w:vMerge w:val="continue"/>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598.4</w:t>
            </w: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59.8</w:t>
            </w:r>
          </w:p>
        </w:tc>
        <w:tc>
          <w:tcPr>
            <w:tcW w:w="120" w:type="dxa"/>
            <w:vAlign w:val="bottom"/>
          </w:tcPr>
          <w:p>
            <w:pPr>
              <w:spacing w:after="0"/>
              <w:rPr>
                <w:sz w:val="24"/>
                <w:szCs w:val="2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4,153.7</w:t>
            </w:r>
          </w:p>
        </w:tc>
        <w:tc>
          <w:tcPr>
            <w:tcW w:w="100" w:type="dxa"/>
            <w:vAlign w:val="bottom"/>
          </w:tcPr>
          <w:p>
            <w:pPr>
              <w:spacing w:after="0"/>
              <w:rPr>
                <w:sz w:val="24"/>
                <w:szCs w:val="24"/>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2,924.6</w:t>
            </w:r>
          </w:p>
        </w:tc>
        <w:tc>
          <w:tcPr>
            <w:tcW w:w="100" w:type="dxa"/>
            <w:vAlign w:val="bottom"/>
          </w:tcPr>
          <w:p>
            <w:pPr>
              <w:spacing w:after="0"/>
              <w:rPr>
                <w:sz w:val="24"/>
                <w:szCs w:val="24"/>
                <w:color w:val="auto"/>
              </w:rPr>
            </w:pPr>
          </w:p>
        </w:tc>
        <w:tc>
          <w:tcPr>
            <w:tcW w:w="640" w:type="dxa"/>
            <w:vAlign w:val="bottom"/>
          </w:tcPr>
          <w:p>
            <w:pPr>
              <w:jc w:val="right"/>
              <w:ind w:right="452"/>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7,134.8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760" w:type="dxa"/>
            <w:vAlign w:val="bottom"/>
            <w:tcBorders>
              <w:right w:val="single" w:sz="8" w:color="808080"/>
            </w:tcBorders>
          </w:tcPr>
          <w:p>
            <w:pPr>
              <w:spacing w:after="0"/>
              <w:rPr>
                <w:sz w:val="5"/>
                <w:szCs w:val="5"/>
                <w:color w:val="auto"/>
              </w:rPr>
            </w:pPr>
          </w:p>
        </w:tc>
        <w:tc>
          <w:tcPr>
            <w:tcW w:w="700" w:type="dxa"/>
            <w:vAlign w:val="bottom"/>
            <w:tcBorders>
              <w:right w:val="single" w:sz="8" w:color="808080"/>
            </w:tcBorders>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56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840" w:type="dxa"/>
            <w:vAlign w:val="bottom"/>
            <w:tcBorders>
              <w:right w:val="single" w:sz="8" w:color="808080"/>
            </w:tcBorders>
            <w:shd w:val="clear" w:color="auto" w:fill="808080"/>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7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760" w:type="dxa"/>
            <w:vAlign w:val="bottom"/>
          </w:tcPr>
          <w:p>
            <w:pPr>
              <w:ind w:left="220"/>
              <w:spacing w:after="0"/>
              <w:rPr>
                <w:sz w:val="20"/>
                <w:szCs w:val="20"/>
                <w:color w:val="auto"/>
              </w:rPr>
            </w:pPr>
            <w:r>
              <w:rPr>
                <w:rFonts w:ascii="Arial" w:cs="Arial" w:eastAsia="Arial" w:hAnsi="Arial"/>
                <w:sz w:val="18"/>
                <w:szCs w:val="18"/>
                <w:color w:val="auto"/>
              </w:rPr>
              <w:t>Net loss</w:t>
            </w: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(907.0)</w:t>
            </w:r>
          </w:p>
        </w:tc>
        <w:tc>
          <w:tcPr>
            <w:tcW w:w="6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(907.0)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comprehensive income</w:t>
            </w:r>
          </w:p>
        </w:tc>
        <w:tc>
          <w:tcPr>
            <w:tcW w:w="7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(loss):</w:t>
            </w:r>
          </w:p>
        </w:tc>
        <w:tc>
          <w:tcPr>
            <w:tcW w:w="70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6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40" w:type="dxa"/>
            <w:vAlign w:val="bottom"/>
            <w:tcBorders>
              <w:right w:val="single" w:sz="8" w:color="CCEEFF"/>
            </w:tcBorders>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60" w:type="dxa"/>
            <w:vAlign w:val="bottom"/>
          </w:tcPr>
          <w:p>
            <w:pPr>
              <w:ind w:left="440"/>
              <w:spacing w:after="0"/>
              <w:rPr>
                <w:sz w:val="20"/>
                <w:szCs w:val="20"/>
                <w:color w:val="auto"/>
              </w:rPr>
            </w:pPr>
            <w:r>
              <w:rPr>
                <w:rFonts w:ascii="Arial" w:cs="Arial" w:eastAsia="Arial" w:hAnsi="Arial"/>
                <w:sz w:val="18"/>
                <w:szCs w:val="18"/>
                <w:color w:val="auto"/>
                <w:w w:val="95"/>
              </w:rPr>
              <w:t>Net change in unrealized gain</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ind w:left="440"/>
              <w:spacing w:after="0"/>
              <w:rPr>
                <w:sz w:val="20"/>
                <w:szCs w:val="20"/>
                <w:color w:val="auto"/>
              </w:rPr>
            </w:pPr>
            <w:r>
              <w:rPr>
                <w:rFonts w:ascii="Arial" w:cs="Arial" w:eastAsia="Arial" w:hAnsi="Arial"/>
                <w:sz w:val="18"/>
                <w:szCs w:val="18"/>
                <w:color w:val="auto"/>
              </w:rPr>
              <w:t>(loss) on investments, net of</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60" w:type="dxa"/>
            <w:vAlign w:val="bottom"/>
          </w:tcPr>
          <w:p>
            <w:pPr>
              <w:ind w:left="440"/>
              <w:spacing w:after="0"/>
              <w:rPr>
                <w:sz w:val="20"/>
                <w:szCs w:val="20"/>
                <w:color w:val="auto"/>
              </w:rPr>
            </w:pPr>
            <w:r>
              <w:rPr>
                <w:rFonts w:ascii="Arial" w:cs="Arial" w:eastAsia="Arial" w:hAnsi="Arial"/>
                <w:sz w:val="18"/>
                <w:szCs w:val="18"/>
                <w:color w:val="auto"/>
              </w:rPr>
              <w:t>tax</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comprehensive income</w:t>
            </w:r>
          </w:p>
        </w:tc>
        <w:tc>
          <w:tcPr>
            <w:tcW w:w="7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(loss)</w:t>
            </w:r>
          </w:p>
        </w:tc>
        <w:tc>
          <w:tcPr>
            <w:tcW w:w="70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6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40" w:type="dxa"/>
            <w:vAlign w:val="bottom"/>
            <w:tcBorders>
              <w:right w:val="single" w:sz="8" w:color="CCEEFF"/>
            </w:tcBorders>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(902.7)</w:t>
            </w:r>
          </w:p>
        </w:tc>
        <w:tc>
          <w:tcPr>
            <w:tcW w:w="0" w:type="dxa"/>
            <w:vAlign w:val="bottom"/>
          </w:tcPr>
          <w:p>
            <w:pPr>
              <w:spacing w:after="0"/>
              <w:rPr>
                <w:sz w:val="1"/>
                <w:szCs w:val="1"/>
                <w:color w:val="auto"/>
              </w:rPr>
            </w:pPr>
          </w:p>
        </w:tc>
      </w:tr>
      <w:tr>
        <w:trPr>
          <w:trHeight w:val="118"/>
        </w:trPr>
        <w:tc>
          <w:tcPr>
            <w:tcW w:w="2780" w:type="dxa"/>
            <w:vAlign w:val="bottom"/>
            <w:gridSpan w:val="2"/>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780" w:type="dxa"/>
            <w:vAlign w:val="bottom"/>
            <w:gridSpan w:val="2"/>
          </w:tcPr>
          <w:p>
            <w:pPr>
              <w:spacing w:after="0"/>
              <w:rPr>
                <w:sz w:val="20"/>
                <w:szCs w:val="20"/>
                <w:color w:val="auto"/>
              </w:rPr>
            </w:pPr>
            <w:r>
              <w:rPr>
                <w:rFonts w:ascii="Arial" w:cs="Arial" w:eastAsia="Arial" w:hAnsi="Arial"/>
                <w:sz w:val="18"/>
                <w:szCs w:val="18"/>
                <w:color w:val="auto"/>
              </w:rPr>
              <w:t>Stock issued under stock plans</w:t>
            </w:r>
          </w:p>
        </w:tc>
        <w:tc>
          <w:tcPr>
            <w:tcW w:w="70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75.9</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76.4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0"/>
              </w:rPr>
              <w:t>Redeemable common stock accretion</w:t>
            </w:r>
          </w:p>
        </w:tc>
        <w:tc>
          <w:tcPr>
            <w:tcW w:w="7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64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18"/>
        </w:trPr>
        <w:tc>
          <w:tcPr>
            <w:tcW w:w="2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at August 29, 2002</w:t>
            </w:r>
          </w:p>
        </w:tc>
        <w:tc>
          <w:tcPr>
            <w:tcW w:w="7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780" w:type="dxa"/>
            <w:vAlign w:val="bottom"/>
            <w:gridSpan w:val="2"/>
            <w:vMerge w:val="continue"/>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602.9</w:t>
            </w: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60.3</w:t>
            </w:r>
          </w:p>
        </w:tc>
        <w:tc>
          <w:tcPr>
            <w:tcW w:w="120" w:type="dxa"/>
            <w:vAlign w:val="bottom"/>
          </w:tcPr>
          <w:p>
            <w:pPr>
              <w:spacing w:after="0"/>
              <w:rPr>
                <w:sz w:val="24"/>
                <w:szCs w:val="2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4,229.6</w:t>
            </w:r>
          </w:p>
        </w:tc>
        <w:tc>
          <w:tcPr>
            <w:tcW w:w="100" w:type="dxa"/>
            <w:vAlign w:val="bottom"/>
          </w:tcPr>
          <w:p>
            <w:pPr>
              <w:spacing w:after="0"/>
              <w:rPr>
                <w:sz w:val="24"/>
                <w:szCs w:val="24"/>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2,015.5</w:t>
            </w:r>
          </w:p>
        </w:tc>
        <w:tc>
          <w:tcPr>
            <w:tcW w:w="100" w:type="dxa"/>
            <w:vAlign w:val="bottom"/>
          </w:tcPr>
          <w:p>
            <w:pPr>
              <w:spacing w:after="0"/>
              <w:rPr>
                <w:sz w:val="24"/>
                <w:szCs w:val="24"/>
                <w:color w:val="auto"/>
              </w:rPr>
            </w:pPr>
          </w:p>
        </w:tc>
        <w:tc>
          <w:tcPr>
            <w:tcW w:w="640" w:type="dxa"/>
            <w:vAlign w:val="bottom"/>
          </w:tcPr>
          <w:p>
            <w:pPr>
              <w:jc w:val="right"/>
              <w:ind w:right="45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4"/>
                <w:szCs w:val="24"/>
                <w:color w:val="auto"/>
              </w:rPr>
            </w:pP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6,306.4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760" w:type="dxa"/>
            <w:vAlign w:val="bottom"/>
            <w:tcBorders>
              <w:right w:val="single" w:sz="8" w:color="808080"/>
            </w:tcBorders>
          </w:tcPr>
          <w:p>
            <w:pPr>
              <w:spacing w:after="0"/>
              <w:rPr>
                <w:sz w:val="5"/>
                <w:szCs w:val="5"/>
                <w:color w:val="auto"/>
              </w:rPr>
            </w:pPr>
          </w:p>
        </w:tc>
        <w:tc>
          <w:tcPr>
            <w:tcW w:w="700" w:type="dxa"/>
            <w:vAlign w:val="bottom"/>
            <w:tcBorders>
              <w:right w:val="single" w:sz="8" w:color="808080"/>
            </w:tcBorders>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56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840" w:type="dxa"/>
            <w:vAlign w:val="bottom"/>
            <w:tcBorders>
              <w:right w:val="single" w:sz="8" w:color="808080"/>
            </w:tcBorders>
            <w:shd w:val="clear" w:color="auto" w:fill="808080"/>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7198360</wp:posOffset>
            </wp:positionH>
            <wp:positionV relativeFrom="paragraph">
              <wp:posOffset>-6737985</wp:posOffset>
            </wp:positionV>
            <wp:extent cx="127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-6737985</wp:posOffset>
            </wp:positionV>
            <wp:extent cx="127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-6308725</wp:posOffset>
            </wp:positionV>
            <wp:extent cx="127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-6308725</wp:posOffset>
            </wp:positionV>
            <wp:extent cx="127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2181225</wp:posOffset>
            </wp:positionH>
            <wp:positionV relativeFrom="paragraph">
              <wp:posOffset>-5331460</wp:posOffset>
            </wp:positionV>
            <wp:extent cx="127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-5331460</wp:posOffset>
            </wp:positionV>
            <wp:extent cx="127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-5331460</wp:posOffset>
            </wp:positionV>
            <wp:extent cx="127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2266950</wp:posOffset>
            </wp:positionH>
            <wp:positionV relativeFrom="paragraph">
              <wp:posOffset>-5331460</wp:posOffset>
            </wp:positionV>
            <wp:extent cx="127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-5331460</wp:posOffset>
            </wp:positionV>
            <wp:extent cx="127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2927350</wp:posOffset>
            </wp:positionH>
            <wp:positionV relativeFrom="paragraph">
              <wp:posOffset>-5331460</wp:posOffset>
            </wp:positionV>
            <wp:extent cx="127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-5331460</wp:posOffset>
            </wp:positionV>
            <wp:extent cx="127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3441700</wp:posOffset>
            </wp:positionH>
            <wp:positionV relativeFrom="paragraph">
              <wp:posOffset>-5331460</wp:posOffset>
            </wp:positionV>
            <wp:extent cx="127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-5331460</wp:posOffset>
            </wp:positionV>
            <wp:extent cx="1270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-5331460</wp:posOffset>
            </wp:positionV>
            <wp:extent cx="127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-5331460</wp:posOffset>
            </wp:positionV>
            <wp:extent cx="127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-5331460</wp:posOffset>
            </wp:positionV>
            <wp:extent cx="127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-5331460</wp:posOffset>
            </wp:positionV>
            <wp:extent cx="1270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-5331460</wp:posOffset>
            </wp:positionV>
            <wp:extent cx="127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-5331460</wp:posOffset>
            </wp:positionV>
            <wp:extent cx="1270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-5331460</wp:posOffset>
            </wp:positionV>
            <wp:extent cx="127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-3890645</wp:posOffset>
            </wp:positionV>
            <wp:extent cx="127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-3890645</wp:posOffset>
            </wp:positionV>
            <wp:extent cx="127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-3462020</wp:posOffset>
            </wp:positionV>
            <wp:extent cx="127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-3462020</wp:posOffset>
            </wp:positionV>
            <wp:extent cx="127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2181225</wp:posOffset>
            </wp:positionH>
            <wp:positionV relativeFrom="paragraph">
              <wp:posOffset>-2621280</wp:posOffset>
            </wp:positionV>
            <wp:extent cx="127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-2621280</wp:posOffset>
            </wp:positionV>
            <wp:extent cx="127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-2621280</wp:posOffset>
            </wp:positionV>
            <wp:extent cx="1270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2266950</wp:posOffset>
            </wp:positionH>
            <wp:positionV relativeFrom="paragraph">
              <wp:posOffset>-2621280</wp:posOffset>
            </wp:positionV>
            <wp:extent cx="127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-2621280</wp:posOffset>
            </wp:positionV>
            <wp:extent cx="127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2927350</wp:posOffset>
            </wp:positionH>
            <wp:positionV relativeFrom="paragraph">
              <wp:posOffset>-2621280</wp:posOffset>
            </wp:positionV>
            <wp:extent cx="127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-2621280</wp:posOffset>
            </wp:positionV>
            <wp:extent cx="1270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3441700</wp:posOffset>
            </wp:positionH>
            <wp:positionV relativeFrom="paragraph">
              <wp:posOffset>-2621280</wp:posOffset>
            </wp:positionV>
            <wp:extent cx="1270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-2621280</wp:posOffset>
            </wp:positionV>
            <wp:extent cx="1270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-2621280</wp:posOffset>
            </wp:positionV>
            <wp:extent cx="1270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-2621280</wp:posOffset>
            </wp:positionV>
            <wp:extent cx="127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-2621280</wp:posOffset>
            </wp:positionV>
            <wp:extent cx="127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-2621280</wp:posOffset>
            </wp:positionV>
            <wp:extent cx="1270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-2621280</wp:posOffset>
            </wp:positionV>
            <wp:extent cx="1270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-2621280</wp:posOffset>
            </wp:positionV>
            <wp:extent cx="1270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-2621280</wp:posOffset>
            </wp:positionV>
            <wp:extent cx="1270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-1180465</wp:posOffset>
            </wp:positionV>
            <wp:extent cx="1270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-1180465</wp:posOffset>
            </wp:positionV>
            <wp:extent cx="1270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-751840</wp:posOffset>
            </wp:positionV>
            <wp:extent cx="1270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-751840</wp:posOffset>
            </wp:positionV>
            <wp:extent cx="1270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2181225</wp:posOffset>
            </wp:positionH>
            <wp:positionV relativeFrom="paragraph">
              <wp:posOffset>-323215</wp:posOffset>
            </wp:positionV>
            <wp:extent cx="1270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-323215</wp:posOffset>
            </wp:positionV>
            <wp:extent cx="1270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-323215</wp:posOffset>
            </wp:positionV>
            <wp:extent cx="1270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2266950</wp:posOffset>
            </wp:positionH>
            <wp:positionV relativeFrom="paragraph">
              <wp:posOffset>-323215</wp:posOffset>
            </wp:positionV>
            <wp:extent cx="1270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-323215</wp:posOffset>
            </wp:positionV>
            <wp:extent cx="1270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2927350</wp:posOffset>
            </wp:positionH>
            <wp:positionV relativeFrom="paragraph">
              <wp:posOffset>-323215</wp:posOffset>
            </wp:positionV>
            <wp:extent cx="1270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-323215</wp:posOffset>
            </wp:positionV>
            <wp:extent cx="1270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3441700</wp:posOffset>
            </wp:positionH>
            <wp:positionV relativeFrom="paragraph">
              <wp:posOffset>-323215</wp:posOffset>
            </wp:positionV>
            <wp:extent cx="1270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-323215</wp:posOffset>
            </wp:positionV>
            <wp:extent cx="1270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-323215</wp:posOffset>
            </wp:positionV>
            <wp:extent cx="1270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-323215</wp:posOffset>
            </wp:positionV>
            <wp:extent cx="1270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-323215</wp:posOffset>
            </wp:positionV>
            <wp:extent cx="1270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-323215</wp:posOffset>
            </wp:positionV>
            <wp:extent cx="1270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-323215</wp:posOffset>
            </wp:positionV>
            <wp:extent cx="1270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-323215</wp:posOffset>
            </wp:positionV>
            <wp:extent cx="1270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-323215</wp:posOffset>
            </wp:positionV>
            <wp:extent cx="1270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(Amounts in millions)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For the year ended</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August 29,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August 30,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August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ind w:right="440"/>
              <w:spacing w:after="0"/>
              <w:rPr>
                <w:sz w:val="20"/>
                <w:szCs w:val="20"/>
                <w:color w:val="auto"/>
              </w:rPr>
            </w:pPr>
            <w:r>
              <w:rPr>
                <w:rFonts w:ascii="Arial" w:cs="Arial" w:eastAsia="Arial" w:hAnsi="Arial"/>
                <w:sz w:val="14"/>
                <w:szCs w:val="14"/>
                <w:b w:val="1"/>
                <w:bCs w:val="1"/>
                <w:color w:val="auto"/>
              </w:rPr>
              <w:t>2002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center"/>
              <w:ind w:right="22"/>
              <w:spacing w:after="0"/>
              <w:rPr>
                <w:sz w:val="20"/>
                <w:szCs w:val="20"/>
                <w:color w:val="auto"/>
              </w:rPr>
            </w:pPr>
            <w:r>
              <w:rPr>
                <w:rFonts w:ascii="Arial" w:cs="Arial" w:eastAsia="Arial" w:hAnsi="Arial"/>
                <w:sz w:val="14"/>
                <w:szCs w:val="14"/>
                <w:b w:val="1"/>
                <w:bCs w:val="1"/>
                <w:color w:val="auto"/>
                <w:w w:val="83"/>
              </w:rPr>
              <w:t>2001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right"/>
              <w:ind w:right="440"/>
              <w:spacing w:after="0"/>
              <w:rPr>
                <w:sz w:val="20"/>
                <w:szCs w:val="20"/>
                <w:color w:val="auto"/>
              </w:rPr>
            </w:pPr>
            <w:r>
              <w:rPr>
                <w:rFonts w:ascii="Arial" w:cs="Arial" w:eastAsia="Arial" w:hAnsi="Arial"/>
                <w:sz w:val="14"/>
                <w:szCs w:val="14"/>
                <w:b w:val="1"/>
                <w:bCs w:val="1"/>
                <w:color w:val="auto"/>
              </w:rPr>
              <w:t>2000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Net income (loss)</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(907.0)</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(625.0)</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1,504.2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PC Operations, net</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Adjustments to reconcile net income (loss) to net cash provided by operating</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80" w:type="dxa"/>
            <w:vAlign w:val="bottom"/>
            <w:gridSpan w:val="2"/>
          </w:tcPr>
          <w:p>
            <w:pPr>
              <w:spacing w:after="0"/>
              <w:rPr>
                <w:sz w:val="20"/>
                <w:szCs w:val="20"/>
                <w:color w:val="auto"/>
              </w:rPr>
            </w:pPr>
            <w:r>
              <w:rPr>
                <w:rFonts w:ascii="Arial" w:cs="Arial" w:eastAsia="Arial" w:hAnsi="Arial"/>
                <w:sz w:val="18"/>
                <w:szCs w:val="18"/>
                <w:color w:val="auto"/>
              </w:rPr>
              <w:t>activities:</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1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1,177.4</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1,114.4</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974.4</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6657975</wp:posOffset>
            </wp:positionH>
            <wp:positionV relativeFrom="paragraph">
              <wp:posOffset>-1257300</wp:posOffset>
            </wp:positionV>
            <wp:extent cx="1270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-1257300</wp:posOffset>
            </wp:positionV>
            <wp:extent cx="1270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-914400</wp:posOffset>
            </wp:positionV>
            <wp:extent cx="1270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-914400</wp:posOffset>
            </wp:positionV>
            <wp:extent cx="127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-914400</wp:posOffset>
            </wp:positionV>
            <wp:extent cx="1270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-914400</wp:posOffset>
            </wp:positionV>
            <wp:extent cx="1270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-914400</wp:posOffset>
            </wp:positionV>
            <wp:extent cx="1270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-914400</wp:posOffset>
            </wp:positionV>
            <wp:extent cx="1270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131" w:right="239" w:bottom="0" w:gutter="0" w:footer="0" w:header="0"/>
        </w:sectPr>
      </w:pPr>
    </w:p>
    <w:bookmarkStart w:id="20" w:name="page21"/>
    <w:bookmarkEnd w:id="20"/>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6180" w:type="dxa"/>
            <w:vAlign w:val="bottom"/>
          </w:tcPr>
          <w:p>
            <w:pPr>
              <w:ind w:left="400"/>
              <w:spacing w:after="0"/>
              <w:rPr>
                <w:sz w:val="20"/>
                <w:szCs w:val="20"/>
                <w:color w:val="auto"/>
              </w:rPr>
            </w:pPr>
            <w:r>
              <w:rPr>
                <w:rFonts w:ascii="Arial" w:cs="Arial" w:eastAsia="Arial" w:hAnsi="Arial"/>
                <w:sz w:val="18"/>
                <w:szCs w:val="18"/>
                <w:color w:val="auto"/>
              </w:rPr>
              <w:t>Provision to write down inventories to estimated market values</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376.1</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726.9</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180" w:type="dxa"/>
            <w:vAlign w:val="bottom"/>
            <w:tcBorders>
              <w:right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Loss (gain) from write-down or disposition of equipment</w:t>
            </w:r>
          </w:p>
        </w:tc>
        <w:tc>
          <w:tcPr>
            <w:tcW w:w="3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2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2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180" w:type="dxa"/>
            <w:vAlign w:val="bottom"/>
          </w:tcPr>
          <w:p>
            <w:pPr>
              <w:ind w:left="400"/>
              <w:spacing w:after="0"/>
              <w:rPr>
                <w:sz w:val="20"/>
                <w:szCs w:val="20"/>
                <w:color w:val="auto"/>
              </w:rPr>
            </w:pPr>
            <w:r>
              <w:rPr>
                <w:rFonts w:ascii="Arial" w:cs="Arial" w:eastAsia="Arial" w:hAnsi="Arial"/>
                <w:sz w:val="18"/>
                <w:szCs w:val="18"/>
                <w:color w:val="auto"/>
              </w:rPr>
              <w:t>Loss (gain) from write-down or disposition of investments</w:t>
            </w:r>
          </w:p>
        </w:tc>
        <w:tc>
          <w:tcPr>
            <w:tcW w:w="3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(0.5)</w:t>
            </w:r>
          </w:p>
        </w:tc>
        <w:tc>
          <w:tcPr>
            <w:tcW w:w="42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180" w:type="dxa"/>
            <w:vAlign w:val="bottom"/>
            <w:tcBorders>
              <w:right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Loss on contributions of investment</w:t>
            </w:r>
          </w:p>
        </w:tc>
        <w:tc>
          <w:tcPr>
            <w:tcW w:w="3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186.5</w:t>
            </w:r>
          </w:p>
        </w:tc>
        <w:tc>
          <w:tcPr>
            <w:tcW w:w="2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180" w:type="dxa"/>
            <w:vAlign w:val="bottom"/>
          </w:tcPr>
          <w:p>
            <w:pPr>
              <w:ind w:left="400"/>
              <w:spacing w:after="0"/>
              <w:rPr>
                <w:sz w:val="20"/>
                <w:szCs w:val="20"/>
                <w:color w:val="auto"/>
              </w:rPr>
            </w:pPr>
            <w:r>
              <w:rPr>
                <w:rFonts w:ascii="Arial" w:cs="Arial" w:eastAsia="Arial" w:hAnsi="Arial"/>
                <w:sz w:val="18"/>
                <w:szCs w:val="18"/>
                <w:color w:val="auto"/>
              </w:rPr>
              <w:t>Additional capital tax effect of stock plans</w:t>
            </w:r>
          </w:p>
        </w:tc>
        <w:tc>
          <w:tcPr>
            <w:tcW w:w="38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48.3</w:t>
            </w: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205.1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180" w:type="dxa"/>
            <w:vAlign w:val="bottom"/>
            <w:tcBorders>
              <w:right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Change in operating assets and liabilities</w:t>
            </w:r>
          </w:p>
        </w:tc>
        <w:tc>
          <w:tcPr>
            <w:tcW w:w="3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180" w:type="dxa"/>
            <w:vAlign w:val="bottom"/>
          </w:tcPr>
          <w:p>
            <w:pPr>
              <w:ind w:left="600"/>
              <w:spacing w:after="0"/>
              <w:rPr>
                <w:sz w:val="20"/>
                <w:szCs w:val="20"/>
                <w:color w:val="auto"/>
              </w:rPr>
            </w:pPr>
            <w:r>
              <w:rPr>
                <w:rFonts w:ascii="Arial" w:cs="Arial" w:eastAsia="Arial" w:hAnsi="Arial"/>
                <w:sz w:val="18"/>
                <w:szCs w:val="18"/>
                <w:color w:val="auto"/>
              </w:rPr>
              <w:t>Decrease (increase) in receivables</w:t>
            </w:r>
          </w:p>
        </w:tc>
        <w:tc>
          <w:tcPr>
            <w:tcW w:w="3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239.0</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605.8</w:t>
            </w: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(784.5)</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180" w:type="dxa"/>
            <w:vAlign w:val="bottom"/>
            <w:tcBorders>
              <w:right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Increase in inventories</w:t>
            </w:r>
          </w:p>
        </w:tc>
        <w:tc>
          <w:tcPr>
            <w:tcW w:w="3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(378.9)</w:t>
            </w:r>
          </w:p>
        </w:tc>
        <w:tc>
          <w:tcPr>
            <w:tcW w:w="4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(482.8)</w:t>
            </w:r>
          </w:p>
        </w:tc>
        <w:tc>
          <w:tcPr>
            <w:tcW w:w="4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(331.6)</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180" w:type="dxa"/>
            <w:vAlign w:val="bottom"/>
          </w:tcPr>
          <w:p>
            <w:pPr>
              <w:ind w:left="600"/>
              <w:spacing w:after="0"/>
              <w:rPr>
                <w:sz w:val="20"/>
                <w:szCs w:val="20"/>
                <w:color w:val="auto"/>
              </w:rPr>
            </w:pPr>
            <w:r>
              <w:rPr>
                <w:rFonts w:ascii="Arial" w:cs="Arial" w:eastAsia="Arial" w:hAnsi="Arial"/>
                <w:sz w:val="18"/>
                <w:szCs w:val="18"/>
                <w:color w:val="auto"/>
              </w:rPr>
              <w:t>Increase (decrease) in accounts payable and accrued expenses</w:t>
            </w:r>
          </w:p>
        </w:tc>
        <w:tc>
          <w:tcPr>
            <w:tcW w:w="3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39.9</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(702.4)</w:t>
            </w:r>
          </w:p>
        </w:tc>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596.7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180" w:type="dxa"/>
            <w:vAlign w:val="bottom"/>
            <w:tcBorders>
              <w:right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Deferred income taxes</w:t>
            </w:r>
          </w:p>
        </w:tc>
        <w:tc>
          <w:tcPr>
            <w:tcW w:w="3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(130.3)</w:t>
            </w:r>
          </w:p>
        </w:tc>
        <w:tc>
          <w:tcPr>
            <w:tcW w:w="4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180" w:type="dxa"/>
            <w:vAlign w:val="bottom"/>
          </w:tcPr>
          <w:p>
            <w:pPr>
              <w:ind w:left="60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(19.7)</w:t>
            </w:r>
          </w:p>
        </w:tc>
        <w:tc>
          <w:tcPr>
            <w:tcW w:w="40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(79.0)</w:t>
            </w:r>
          </w:p>
        </w:tc>
        <w:tc>
          <w:tcPr>
            <w:tcW w:w="4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(203.5)</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18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1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cash provided by operating activities</w:t>
            </w:r>
          </w:p>
        </w:tc>
        <w:tc>
          <w:tcPr>
            <w:tcW w:w="3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578.1</w:t>
            </w:r>
          </w:p>
        </w:tc>
        <w:tc>
          <w:tcPr>
            <w:tcW w:w="2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789.1</w:t>
            </w:r>
          </w:p>
        </w:tc>
        <w:tc>
          <w:tcPr>
            <w:tcW w:w="2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2,002.2</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6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20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Expenditures for property, plant and equipment</w:t>
            </w: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(759.9)</w:t>
            </w: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(1,488.6)</w:t>
            </w: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Purchase of available-for-sale securities</w:t>
            </w:r>
          </w:p>
        </w:tc>
        <w:tc>
          <w:tcPr>
            <w:tcW w:w="3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(1,867.9)</w:t>
            </w:r>
          </w:p>
        </w:tc>
        <w:tc>
          <w:tcPr>
            <w:tcW w:w="4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(2,860.3)</w:t>
            </w:r>
          </w:p>
        </w:tc>
        <w:tc>
          <w:tcPr>
            <w:tcW w:w="4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(2,504.7)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Purchase of held-to-maturity securities</w:t>
            </w: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(116.3)</w:t>
            </w: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Proceeds from maturities of available-for-sale securities</w:t>
            </w: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1,842.0</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3,104.1</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2,027.0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Proceeds from sales of available-for-sale securities</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596.6</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Proceeds from maturities of held-to-maturity securities</w:t>
            </w:r>
          </w:p>
        </w:tc>
        <w:tc>
          <w:tcPr>
            <w:tcW w:w="3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207.7</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Proceeds from sales of property, plant and equipment</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Purchase of Toshiba Corporation DRAM assets</w:t>
            </w:r>
          </w:p>
        </w:tc>
        <w:tc>
          <w:tcPr>
            <w:tcW w:w="3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(252.4)</w:t>
            </w:r>
          </w:p>
        </w:tc>
        <w:tc>
          <w:tcPr>
            <w:tcW w:w="4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reduction from deconsolidation of MEI</w:t>
            </w: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(170.9)</w:t>
            </w: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Cash paid in connection with disposition of PC Operations</w:t>
            </w:r>
          </w:p>
        </w:tc>
        <w:tc>
          <w:tcPr>
            <w:tcW w:w="3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(76.5)</w:t>
            </w:r>
          </w:p>
        </w:tc>
        <w:tc>
          <w:tcPr>
            <w:tcW w:w="4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(76.8)</w:t>
            </w: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(136.6)</w:t>
            </w: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(118.1)</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18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6180" w:type="dxa"/>
            <w:vAlign w:val="bottom"/>
          </w:tcPr>
          <w:p>
            <w:pPr>
              <w:ind w:left="200"/>
              <w:spacing w:after="0"/>
              <w:rPr>
                <w:sz w:val="20"/>
                <w:szCs w:val="20"/>
                <w:color w:val="auto"/>
              </w:rPr>
            </w:pPr>
            <w:r>
              <w:rPr>
                <w:rFonts w:ascii="Arial" w:cs="Arial" w:eastAsia="Arial" w:hAnsi="Arial"/>
                <w:sz w:val="18"/>
                <w:szCs w:val="18"/>
                <w:color w:val="auto"/>
              </w:rPr>
              <w:t>Net cash used for investing activities</w:t>
            </w:r>
          </w:p>
        </w:tc>
        <w:tc>
          <w:tcPr>
            <w:tcW w:w="38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(513.9)</w:t>
            </w:r>
          </w:p>
        </w:tc>
        <w:tc>
          <w:tcPr>
            <w:tcW w:w="40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(1,382.6)</w:t>
            </w:r>
          </w:p>
        </w:tc>
        <w:tc>
          <w:tcPr>
            <w:tcW w:w="420" w:type="dxa"/>
            <w:vAlign w:val="bottom"/>
          </w:tcPr>
          <w:p>
            <w:pPr>
              <w:spacing w:after="0"/>
              <w:rPr>
                <w:sz w:val="24"/>
                <w:szCs w:val="2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(1,457.1)</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18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Proceeds from issuance of common stock</w:t>
            </w: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71.8</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118.2</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Proceeds from issuance of common stock warrants</w:t>
            </w: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480.2</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Proceeds from issuance of debt</w:t>
            </w:r>
          </w:p>
        </w:tc>
        <w:tc>
          <w:tcPr>
            <w:tcW w:w="3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22.6</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Payments on equipment purchase contracts</w:t>
            </w: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(122.3)</w:t>
            </w: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(187.2)</w:t>
            </w: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Repayments of debt</w:t>
            </w:r>
          </w:p>
        </w:tc>
        <w:tc>
          <w:tcPr>
            <w:tcW w:w="3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(84.6)</w:t>
            </w:r>
          </w:p>
        </w:tc>
        <w:tc>
          <w:tcPr>
            <w:tcW w:w="4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(73.8)</w:t>
            </w:r>
          </w:p>
        </w:tc>
        <w:tc>
          <w:tcPr>
            <w:tcW w:w="4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18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6180" w:type="dxa"/>
            <w:vAlign w:val="bottom"/>
          </w:tcPr>
          <w:p>
            <w:pPr>
              <w:ind w:left="200"/>
              <w:spacing w:after="0"/>
              <w:rPr>
                <w:sz w:val="20"/>
                <w:szCs w:val="20"/>
                <w:color w:val="auto"/>
              </w:rPr>
            </w:pPr>
            <w:r>
              <w:rPr>
                <w:rFonts w:ascii="Arial" w:cs="Arial" w:eastAsia="Arial" w:hAnsi="Arial"/>
                <w:sz w:val="18"/>
                <w:szCs w:val="18"/>
                <w:color w:val="auto"/>
              </w:rPr>
              <w:t>Net cash provided by (used for) financing activities</w:t>
            </w:r>
          </w:p>
        </w:tc>
        <w:tc>
          <w:tcPr>
            <w:tcW w:w="38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(135.1)</w:t>
            </w: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360.9</w:t>
            </w: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(138.0)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18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1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increase (decrease) in cash and equivalents</w:t>
            </w:r>
          </w:p>
        </w:tc>
        <w:tc>
          <w:tcPr>
            <w:tcW w:w="3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(70.9)</w:t>
            </w:r>
          </w:p>
        </w:tc>
        <w:tc>
          <w:tcPr>
            <w:tcW w:w="4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(232.6)</w:t>
            </w:r>
          </w:p>
        </w:tc>
        <w:tc>
          <w:tcPr>
            <w:tcW w:w="4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407.1</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Cash and equivalents at beginning of year</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469.1</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701.7</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18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equivalents at end of year</w:t>
            </w:r>
          </w:p>
        </w:tc>
        <w:tc>
          <w:tcPr>
            <w:tcW w:w="380" w:type="dxa"/>
            <w:vAlign w:val="bottom"/>
            <w:shd w:val="clear" w:color="auto" w:fill="CCEEFF"/>
          </w:tcPr>
          <w:p>
            <w:pPr>
              <w:jc w:val="right"/>
              <w:ind w:right="271"/>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398.2</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469.1</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6200" w:type="dxa"/>
            <w:vAlign w:val="bottom"/>
            <w:gridSpan w:val="2"/>
          </w:tcPr>
          <w:p>
            <w:pPr>
              <w:spacing w:after="0"/>
              <w:rPr>
                <w:sz w:val="9"/>
                <w:szCs w:val="9"/>
                <w:color w:val="auto"/>
              </w:rPr>
            </w:pPr>
          </w:p>
        </w:tc>
        <w:tc>
          <w:tcPr>
            <w:tcW w:w="3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200" w:type="dxa"/>
            <w:vAlign w:val="bottom"/>
            <w:tcBorders>
              <w:right w:val="single" w:sz="8" w:color="808080"/>
            </w:tcBorders>
            <w:gridSpan w:val="2"/>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6200" w:type="dxa"/>
            <w:vAlign w:val="bottom"/>
            <w:gridSpan w:val="2"/>
          </w:tcPr>
          <w:p>
            <w:pPr>
              <w:spacing w:after="0"/>
              <w:rPr>
                <w:sz w:val="20"/>
                <w:szCs w:val="20"/>
                <w:color w:val="auto"/>
              </w:rPr>
            </w:pPr>
            <w:r>
              <w:rPr>
                <w:rFonts w:ascii="Arial" w:cs="Arial" w:eastAsia="Arial" w:hAnsi="Arial"/>
                <w:sz w:val="18"/>
                <w:szCs w:val="18"/>
                <w:b w:val="1"/>
                <w:bCs w:val="1"/>
                <w:color w:val="auto"/>
              </w:rPr>
              <w:t>Supplemental disclosures</w:t>
            </w: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taxes refunded (paid), net</w:t>
            </w:r>
          </w:p>
        </w:tc>
        <w:tc>
          <w:tcPr>
            <w:tcW w:w="380" w:type="dxa"/>
            <w:vAlign w:val="bottom"/>
            <w:shd w:val="clear" w:color="auto" w:fill="CCEEFF"/>
          </w:tcPr>
          <w:p>
            <w:pPr>
              <w:jc w:val="right"/>
              <w:ind w:right="271"/>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(410.6)</w:t>
            </w:r>
          </w:p>
        </w:tc>
        <w:tc>
          <w:tcPr>
            <w:tcW w:w="420" w:type="dxa"/>
            <w:vAlign w:val="bottom"/>
            <w:shd w:val="clear" w:color="auto" w:fill="CCEEFF"/>
          </w:tcPr>
          <w:p>
            <w:pPr>
              <w:jc w:val="right"/>
              <w:ind w:right="26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Interest paid, net of amounts capitalized</w:t>
            </w:r>
          </w:p>
        </w:tc>
        <w:tc>
          <w:tcPr>
            <w:tcW w:w="3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(11.5)</w:t>
            </w:r>
          </w:p>
        </w:tc>
        <w:tc>
          <w:tcPr>
            <w:tcW w:w="4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(34.3)</w:t>
            </w:r>
          </w:p>
        </w:tc>
        <w:tc>
          <w:tcPr>
            <w:tcW w:w="4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Non-cash investing and financing activities:</w:t>
            </w: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180" w:type="dxa"/>
            <w:vAlign w:val="bottom"/>
          </w:tcPr>
          <w:p>
            <w:pPr>
              <w:ind w:left="200"/>
              <w:spacing w:after="0"/>
              <w:rPr>
                <w:sz w:val="20"/>
                <w:szCs w:val="20"/>
                <w:color w:val="auto"/>
              </w:rPr>
            </w:pPr>
            <w:r>
              <w:rPr>
                <w:rFonts w:ascii="Arial" w:cs="Arial" w:eastAsia="Arial" w:hAnsi="Arial"/>
                <w:sz w:val="18"/>
                <w:szCs w:val="18"/>
                <w:color w:val="auto"/>
              </w:rPr>
              <w:t>Equipment acquisitions on contracts payable and capital leases</w:t>
            </w:r>
          </w:p>
        </w:tc>
        <w:tc>
          <w:tcPr>
            <w:tcW w:w="3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138.7</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202.9</w:t>
            </w: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177.0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1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Conversion of notes to equity</w:t>
            </w:r>
          </w:p>
        </w:tc>
        <w:tc>
          <w:tcPr>
            <w:tcW w:w="3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684.6</w:t>
            </w:r>
          </w:p>
        </w:tc>
        <w:tc>
          <w:tcPr>
            <w:tcW w:w="2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498.6</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-5535295</wp:posOffset>
            </wp:positionV>
            <wp:extent cx="1270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-5535295</wp:posOffset>
            </wp:positionV>
            <wp:extent cx="1270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-5535295</wp:posOffset>
            </wp:positionV>
            <wp:extent cx="1270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-5535295</wp:posOffset>
            </wp:positionV>
            <wp:extent cx="1270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-5535295</wp:posOffset>
            </wp:positionV>
            <wp:extent cx="1270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-5535295</wp:posOffset>
            </wp:positionV>
            <wp:extent cx="1270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-5226050</wp:posOffset>
            </wp:positionV>
            <wp:extent cx="1270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-5226050</wp:posOffset>
            </wp:positionV>
            <wp:extent cx="1270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-5226050</wp:posOffset>
            </wp:positionV>
            <wp:extent cx="1270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-5226050</wp:posOffset>
            </wp:positionV>
            <wp:extent cx="1270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-5226050</wp:posOffset>
            </wp:positionV>
            <wp:extent cx="1270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-5226050</wp:posOffset>
            </wp:positionV>
            <wp:extent cx="1270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-3425190</wp:posOffset>
            </wp:positionV>
            <wp:extent cx="1270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-3425190</wp:posOffset>
            </wp:positionV>
            <wp:extent cx="1270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-3425190</wp:posOffset>
            </wp:positionV>
            <wp:extent cx="1270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-3425190</wp:posOffset>
            </wp:positionV>
            <wp:extent cx="1270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-3425190</wp:posOffset>
            </wp:positionV>
            <wp:extent cx="1270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-3425190</wp:posOffset>
            </wp:positionV>
            <wp:extent cx="1270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-3116580</wp:posOffset>
            </wp:positionV>
            <wp:extent cx="1270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-3116580</wp:posOffset>
            </wp:positionV>
            <wp:extent cx="1270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-3116580</wp:posOffset>
            </wp:positionV>
            <wp:extent cx="1270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-3116580</wp:posOffset>
            </wp:positionV>
            <wp:extent cx="1270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-3116580</wp:posOffset>
            </wp:positionV>
            <wp:extent cx="1270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-3116580</wp:posOffset>
            </wp:positionV>
            <wp:extent cx="1270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-2001520</wp:posOffset>
            </wp:positionV>
            <wp:extent cx="1270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-2001520</wp:posOffset>
            </wp:positionV>
            <wp:extent cx="1270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-2001520</wp:posOffset>
            </wp:positionV>
            <wp:extent cx="1270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-2001520</wp:posOffset>
            </wp:positionV>
            <wp:extent cx="1270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-2001520</wp:posOffset>
            </wp:positionV>
            <wp:extent cx="1270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-2001520</wp:posOffset>
            </wp:positionV>
            <wp:extent cx="1270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-1692910</wp:posOffset>
            </wp:positionV>
            <wp:extent cx="1270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-1692910</wp:posOffset>
            </wp:positionV>
            <wp:extent cx="1270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-1692910</wp:posOffset>
            </wp:positionV>
            <wp:extent cx="1270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-1692910</wp:posOffset>
            </wp:positionV>
            <wp:extent cx="1270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-1692910</wp:posOffset>
            </wp:positionV>
            <wp:extent cx="1270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-1692910</wp:posOffset>
            </wp:positionV>
            <wp:extent cx="1270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-1247140</wp:posOffset>
            </wp:positionV>
            <wp:extent cx="1270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-1247140</wp:posOffset>
            </wp:positionV>
            <wp:extent cx="1270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-1247140</wp:posOffset>
            </wp:positionV>
            <wp:extent cx="1270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-1247140</wp:posOffset>
            </wp:positionV>
            <wp:extent cx="1270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-1247140</wp:posOffset>
            </wp:positionV>
            <wp:extent cx="1270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-1247140</wp:posOffset>
            </wp:positionV>
            <wp:extent cx="1270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(All tabular amounts in millions except per share amounts)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225" w:lineRule="exact"/>
        <w:rPr>
          <w:sz w:val="20"/>
          <w:szCs w:val="20"/>
          <w:color w:val="auto"/>
        </w:rPr>
      </w:pPr>
    </w:p>
    <w:p>
      <w:pPr>
        <w:ind w:right="40" w:firstLine="351"/>
        <w:spacing w:after="0" w:line="258" w:lineRule="auto"/>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Micron Technology, Inc., and its subsidiaries (hereinafter referred to collectively as the "Company") principally design, develop,</w:t>
      </w:r>
      <w:r>
        <w:rPr>
          <w:rFonts w:ascii="Arial" w:cs="Arial" w:eastAsia="Arial" w:hAnsi="Arial"/>
          <w:sz w:val="18"/>
          <w:szCs w:val="18"/>
          <w:b w:val="1"/>
          <w:bCs w:val="1"/>
          <w:color w:val="auto"/>
        </w:rPr>
        <w:t xml:space="preserve"> </w:t>
      </w:r>
      <w:r>
        <w:rPr>
          <w:rFonts w:ascii="Arial" w:cs="Arial" w:eastAsia="Arial" w:hAnsi="Arial"/>
          <w:sz w:val="18"/>
          <w:szCs w:val="18"/>
          <w:color w:val="auto"/>
        </w:rPr>
        <w:t>manufacture and market semiconductor products. All significant intercompany accounts and transactions have been eliminated. The Company's fiscal year is the 52 or 53-week period ending on the Thursday closest to August 31. Fiscal years 2002, 2001 and 2000 each contained 52 weeks and ended on August 29, 2002, August 30, 2001, and August 31, 2000, respectively.</w:t>
      </w:r>
    </w:p>
    <w:p>
      <w:pPr>
        <w:spacing w:after="0" w:line="196"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On August 6, 2001, Micron Electronics, Inc. ("MEI"), completed a merger with Interland, Inc., in a stock-for-stock acquisition (the "Interland Merger"). Upon completion of the Interland Merger, MEI changed its name to Interland, Inc. ("Interland"), and the Company's ownership interest was reduced from 61% to 43% of MEI's outstanding common stock. On August 30, 2001, the Company contributed all of its shares of Interland common stock to the Micron Technology Foundation (the "Foundation"). The Foundation's results are not consolidated with the Company's results. MEI's 2001 financial results are included in the</w:t>
      </w:r>
    </w:p>
    <w:p>
      <w:pPr>
        <w:sectPr>
          <w:pgSz w:w="11900" w:h="16884" w:orient="portrait"/>
          <w:cols w:equalWidth="0" w:num="1">
            <w:col w:w="11340"/>
          </w:cols>
          <w:pgMar w:left="240" w:top="158" w:right="319" w:bottom="0" w:gutter="0" w:footer="0" w:header="0"/>
        </w:sectPr>
      </w:pPr>
    </w:p>
    <w:bookmarkStart w:id="21" w:name="page22"/>
    <w:bookmarkEnd w:id="21"/>
    <w:p>
      <w:pPr>
        <w:ind w:right="280"/>
        <w:spacing w:after="0" w:line="256" w:lineRule="auto"/>
        <w:rPr>
          <w:sz w:val="20"/>
          <w:szCs w:val="20"/>
          <w:color w:val="auto"/>
        </w:rPr>
      </w:pPr>
      <w:r>
        <w:rPr>
          <w:rFonts w:ascii="Arial" w:cs="Arial" w:eastAsia="Arial" w:hAnsi="Arial"/>
          <w:sz w:val="18"/>
          <w:szCs w:val="18"/>
          <w:color w:val="auto"/>
        </w:rPr>
        <w:t>Company's consolidated financial statements for eleven months through the date of the Interland Merger. The Company's consolidated financial statements for 2000 includes the financial results of MEI for the full year. (See "Other Non-Operating Income (Expense)" note.) As a result of MEI's disposal of its PC operations in 2001, the Company's consolidated financial statements presents the net effect of discontinued PC Operations separate from the results of the Company's continuing operations. (See "Discontinued PC Operations" note.)</w:t>
      </w:r>
    </w:p>
    <w:p>
      <w:pPr>
        <w:spacing w:after="0" w:line="191" w:lineRule="exact"/>
        <w:rPr>
          <w:sz w:val="20"/>
          <w:szCs w:val="20"/>
          <w:color w:val="auto"/>
        </w:rPr>
      </w:pPr>
    </w:p>
    <w:p>
      <w:pPr>
        <w:ind w:left="360"/>
        <w:spacing w:after="0"/>
        <w:tabs>
          <w:tab w:leader="none" w:pos="3140" w:val="left"/>
        </w:tabs>
        <w:rPr>
          <w:sz w:val="20"/>
          <w:szCs w:val="20"/>
          <w:color w:val="auto"/>
        </w:rPr>
      </w:pPr>
      <w:r>
        <w:rPr>
          <w:rFonts w:ascii="Arial" w:cs="Arial" w:eastAsia="Arial" w:hAnsi="Arial"/>
          <w:sz w:val="18"/>
          <w:szCs w:val="18"/>
          <w:b w:val="1"/>
          <w:bCs w:val="1"/>
          <w:color w:val="auto"/>
        </w:rPr>
        <w:t>Restatements and reclassifications:</w:t>
      </w:r>
      <w:r>
        <w:rPr>
          <w:sz w:val="20"/>
          <w:szCs w:val="20"/>
          <w:color w:val="auto"/>
        </w:rPr>
        <w:tab/>
      </w:r>
      <w:r>
        <w:rPr>
          <w:rFonts w:ascii="Arial" w:cs="Arial" w:eastAsia="Arial" w:hAnsi="Arial"/>
          <w:sz w:val="16"/>
          <w:szCs w:val="16"/>
          <w:color w:val="auto"/>
        </w:rPr>
        <w:t>Per share calculations reflect a two-for-one stock split effected in the form of a stock dividend on May 1, 2000.</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Certain reclassifications have been made, none of which affected the results of operations, to present the financial statements on a consistent basis.</w:t>
      </w:r>
    </w:p>
    <w:p>
      <w:pPr>
        <w:spacing w:after="0" w:line="236" w:lineRule="exact"/>
        <w:rPr>
          <w:sz w:val="20"/>
          <w:szCs w:val="20"/>
          <w:color w:val="auto"/>
        </w:rPr>
      </w:pPr>
    </w:p>
    <w:p>
      <w:pPr>
        <w:ind w:right="20" w:firstLine="351"/>
        <w:spacing w:after="0" w:line="296" w:lineRule="auto"/>
        <w:rPr>
          <w:sz w:val="20"/>
          <w:szCs w:val="20"/>
          <w:color w:val="auto"/>
        </w:rPr>
      </w:pPr>
      <w:r>
        <w:rPr>
          <w:rFonts w:ascii="Arial" w:cs="Arial" w:eastAsia="Arial" w:hAnsi="Arial"/>
          <w:sz w:val="16"/>
          <w:szCs w:val="16"/>
          <w:b w:val="1"/>
          <w:bCs w:val="1"/>
          <w:color w:val="auto"/>
        </w:rPr>
        <w:t xml:space="preserve">Use of estimates: </w:t>
      </w:r>
      <w:r>
        <w:rPr>
          <w:rFonts w:ascii="Arial" w:cs="Arial" w:eastAsia="Arial" w:hAnsi="Arial"/>
          <w:sz w:val="16"/>
          <w:szCs w:val="16"/>
          <w:color w:val="auto"/>
        </w:rPr>
        <w:t>The preparation of financial statements and related disclosures in conformity with United States generally accepted accounting</w:t>
      </w:r>
      <w:r>
        <w:rPr>
          <w:rFonts w:ascii="Arial" w:cs="Arial" w:eastAsia="Arial" w:hAnsi="Arial"/>
          <w:sz w:val="16"/>
          <w:szCs w:val="16"/>
          <w:b w:val="1"/>
          <w:bCs w:val="1"/>
          <w:color w:val="auto"/>
        </w:rPr>
        <w:t xml:space="preserve"> </w:t>
      </w:r>
      <w:r>
        <w:rPr>
          <w:rFonts w:ascii="Arial" w:cs="Arial" w:eastAsia="Arial" w:hAnsi="Arial"/>
          <w:sz w:val="16"/>
          <w:szCs w:val="16"/>
          <w:color w:val="auto"/>
        </w:rPr>
        <w:t>principles requires management to make estimates and judgments that affect the reported amounts of assets, liabilities, revenues, expenses and related disclosures. Estimates and judgments are based on historical experience, forecasted future events and on various other assumptions that the Company believes to be reasonable under the circumstances. Estimates and judgments may differ under different assumptions or conditions. The Company evaluates its estimates and judgments on an ongoing basis. Actual results could differ from those estimates.</w:t>
      </w:r>
    </w:p>
    <w:p>
      <w:pPr>
        <w:spacing w:after="0" w:line="162" w:lineRule="exact"/>
        <w:rPr>
          <w:sz w:val="20"/>
          <w:szCs w:val="20"/>
          <w:color w:val="auto"/>
        </w:rPr>
      </w:pPr>
    </w:p>
    <w:p>
      <w:pPr>
        <w:ind w:right="280" w:firstLine="351"/>
        <w:spacing w:after="0" w:line="339" w:lineRule="auto"/>
        <w:rPr>
          <w:sz w:val="20"/>
          <w:szCs w:val="20"/>
          <w:color w:val="auto"/>
        </w:rPr>
      </w:pPr>
      <w:r>
        <w:rPr>
          <w:rFonts w:ascii="Arial" w:cs="Arial" w:eastAsia="Arial" w:hAnsi="Arial"/>
          <w:sz w:val="16"/>
          <w:szCs w:val="16"/>
          <w:b w:val="1"/>
          <w:bCs w:val="1"/>
          <w:color w:val="auto"/>
        </w:rPr>
        <w:t xml:space="preserve">Revenue recognition: </w:t>
      </w:r>
      <w:r>
        <w:rPr>
          <w:rFonts w:ascii="Arial" w:cs="Arial" w:eastAsia="Arial" w:hAnsi="Arial"/>
          <w:sz w:val="16"/>
          <w:szCs w:val="16"/>
          <w:color w:val="auto"/>
        </w:rPr>
        <w:t>Revenue from product sales to direct customers is recognized when title transfers to the customer, primarily upon shipment.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defers recognition of sales to certain customers that have rights of return and price protection until such customers have sold the products.</w:t>
      </w:r>
    </w:p>
    <w:p>
      <w:pPr>
        <w:spacing w:after="0" w:line="128" w:lineRule="exact"/>
        <w:rPr>
          <w:sz w:val="20"/>
          <w:szCs w:val="20"/>
          <w:color w:val="auto"/>
        </w:rPr>
      </w:pPr>
    </w:p>
    <w:p>
      <w:pPr>
        <w:ind w:right="20" w:firstLine="351"/>
        <w:spacing w:after="0" w:line="301" w:lineRule="auto"/>
        <w:rPr>
          <w:sz w:val="20"/>
          <w:szCs w:val="20"/>
          <w:color w:val="auto"/>
        </w:rPr>
      </w:pPr>
      <w:r>
        <w:rPr>
          <w:rFonts w:ascii="Arial" w:cs="Arial" w:eastAsia="Arial" w:hAnsi="Arial"/>
          <w:sz w:val="16"/>
          <w:szCs w:val="16"/>
          <w:b w:val="1"/>
          <w:bCs w:val="1"/>
          <w:color w:val="auto"/>
        </w:rPr>
        <w:t xml:space="preserve">Stock-based compensation: </w:t>
      </w:r>
      <w:r>
        <w:rPr>
          <w:rFonts w:ascii="Arial" w:cs="Arial" w:eastAsia="Arial" w:hAnsi="Arial"/>
          <w:sz w:val="16"/>
          <w:szCs w:val="16"/>
          <w:color w:val="auto"/>
        </w:rPr>
        <w:t>Employee stock plans are accounted for using the intrinsic value method prescribed by Accounting Principles Board ("APB")</w:t>
      </w:r>
      <w:r>
        <w:rPr>
          <w:rFonts w:ascii="Arial" w:cs="Arial" w:eastAsia="Arial" w:hAnsi="Arial"/>
          <w:sz w:val="16"/>
          <w:szCs w:val="16"/>
          <w:b w:val="1"/>
          <w:bCs w:val="1"/>
          <w:color w:val="auto"/>
        </w:rPr>
        <w:t xml:space="preserve"> </w:t>
      </w:r>
      <w:r>
        <w:rPr>
          <w:rFonts w:ascii="Arial" w:cs="Arial" w:eastAsia="Arial" w:hAnsi="Arial"/>
          <w:sz w:val="16"/>
          <w:szCs w:val="16"/>
          <w:color w:val="auto"/>
        </w:rPr>
        <w:t>Opinion No. 25, "Accounting for Stock Issued to Employees." The Company utilizes the Black-Scholes model to value stock options for pro forma presentation of income and per share data as if the fair value-based accounting method in Statement of Financial Accounting Standards ("SFAS") No. 123, "Accounting for Stock-Based Compensation," had been used to account for stock-based compensation.</w:t>
      </w:r>
    </w:p>
    <w:p>
      <w:pPr>
        <w:spacing w:after="0" w:line="157" w:lineRule="exact"/>
        <w:rPr>
          <w:sz w:val="20"/>
          <w:szCs w:val="20"/>
          <w:color w:val="auto"/>
        </w:rPr>
      </w:pPr>
    </w:p>
    <w:p>
      <w:pPr>
        <w:ind w:right="80" w:firstLine="341"/>
        <w:spacing w:after="0" w:line="275" w:lineRule="auto"/>
        <w:rPr>
          <w:sz w:val="20"/>
          <w:szCs w:val="20"/>
          <w:color w:val="auto"/>
        </w:rPr>
      </w:pPr>
      <w:r>
        <w:rPr>
          <w:rFonts w:ascii="Arial" w:cs="Arial" w:eastAsia="Arial" w:hAnsi="Arial"/>
          <w:sz w:val="18"/>
          <w:szCs w:val="18"/>
          <w:b w:val="1"/>
          <w:bCs w:val="1"/>
          <w:color w:val="auto"/>
        </w:rPr>
        <w:t xml:space="preserve">Advertising: </w:t>
      </w:r>
      <w:r>
        <w:rPr>
          <w:rFonts w:ascii="Arial" w:cs="Arial" w:eastAsia="Arial" w:hAnsi="Arial"/>
          <w:sz w:val="18"/>
          <w:szCs w:val="18"/>
          <w:color w:val="auto"/>
        </w:rPr>
        <w:t>Advertising costs are charged to operations as incurred. The Company incurred $13.6 million, $24.1 million and $33.1 million of advertising</w:t>
      </w:r>
      <w:r>
        <w:rPr>
          <w:rFonts w:ascii="Arial" w:cs="Arial" w:eastAsia="Arial" w:hAnsi="Arial"/>
          <w:sz w:val="18"/>
          <w:szCs w:val="18"/>
          <w:b w:val="1"/>
          <w:bCs w:val="1"/>
          <w:color w:val="auto"/>
        </w:rPr>
        <w:t xml:space="preserve"> </w:t>
      </w:r>
      <w:r>
        <w:rPr>
          <w:rFonts w:ascii="Arial" w:cs="Arial" w:eastAsia="Arial" w:hAnsi="Arial"/>
          <w:sz w:val="18"/>
          <w:szCs w:val="18"/>
          <w:color w:val="auto"/>
        </w:rPr>
        <w:t>costs in 2002, 2001 and 2000, respectively.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60" w:firstLine="351"/>
        <w:spacing w:after="0" w:line="258" w:lineRule="auto"/>
        <w:rPr>
          <w:sz w:val="20"/>
          <w:szCs w:val="20"/>
          <w:color w:val="auto"/>
        </w:rPr>
      </w:pPr>
      <w:r>
        <w:rPr>
          <w:rFonts w:ascii="Arial" w:cs="Arial" w:eastAsia="Arial" w:hAnsi="Arial"/>
          <w:sz w:val="18"/>
          <w:szCs w:val="18"/>
          <w:b w:val="1"/>
          <w:bCs w:val="1"/>
          <w:color w:val="auto"/>
        </w:rPr>
        <w:t xml:space="preserve">Research and development: </w:t>
      </w:r>
      <w:r>
        <w:rPr>
          <w:rFonts w:ascii="Arial" w:cs="Arial" w:eastAsia="Arial" w:hAnsi="Arial"/>
          <w:sz w:val="18"/>
          <w:szCs w:val="18"/>
          <w:color w:val="auto"/>
        </w:rPr>
        <w:t>Costs related to the conceptual formulation and design of products and processes are expensed as research and development.</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Determining when product development is complete requires judgment by the Company. The Company deems that development for a product is complete once the product has been thoroughly reviewed and tested for performance and reliability and is internally qualified for sale to customers. Subsequent to product qualification, product costs are valued in inventory.</w:t>
      </w:r>
    </w:p>
    <w:p>
      <w:pPr>
        <w:spacing w:after="0" w:line="190" w:lineRule="exact"/>
        <w:rPr>
          <w:sz w:val="20"/>
          <w:szCs w:val="20"/>
          <w:color w:val="auto"/>
        </w:rPr>
      </w:pPr>
    </w:p>
    <w:p>
      <w:pPr>
        <w:jc w:val="both"/>
        <w:ind w:right="440" w:firstLine="351"/>
        <w:spacing w:after="0" w:line="310" w:lineRule="auto"/>
        <w:rPr>
          <w:sz w:val="20"/>
          <w:szCs w:val="20"/>
          <w:color w:val="auto"/>
        </w:rPr>
      </w:pPr>
      <w:r>
        <w:rPr>
          <w:rFonts w:ascii="Arial" w:cs="Arial" w:eastAsia="Arial" w:hAnsi="Arial"/>
          <w:sz w:val="16"/>
          <w:szCs w:val="16"/>
          <w:b w:val="1"/>
          <w:bCs w:val="1"/>
          <w:color w:val="auto"/>
        </w:rPr>
        <w:t xml:space="preserve">Foreign currency: </w:t>
      </w:r>
      <w:r>
        <w:rPr>
          <w:rFonts w:ascii="Arial" w:cs="Arial" w:eastAsia="Arial" w:hAnsi="Arial"/>
          <w:sz w:val="16"/>
          <w:szCs w:val="16"/>
          <w:color w:val="auto"/>
        </w:rPr>
        <w:t>The U.S. dollar is the Company's functional currency for substantially all of its operations. For international operations where the</w:t>
      </w:r>
      <w:r>
        <w:rPr>
          <w:rFonts w:ascii="Arial" w:cs="Arial" w:eastAsia="Arial" w:hAnsi="Arial"/>
          <w:sz w:val="16"/>
          <w:szCs w:val="16"/>
          <w:b w:val="1"/>
          <w:bCs w:val="1"/>
          <w:color w:val="auto"/>
        </w:rPr>
        <w:t xml:space="preserve"> </w:t>
      </w:r>
      <w:r>
        <w:rPr>
          <w:rFonts w:ascii="Arial" w:cs="Arial" w:eastAsia="Arial" w:hAnsi="Arial"/>
          <w:sz w:val="16"/>
          <w:szCs w:val="16"/>
          <w:color w:val="auto"/>
        </w:rPr>
        <w:t>functional currency is other than the U.S. dollar, assets and liabilities are translated into U.S. dollars at exchange rates in effect at the balance sheet date and income and expense items are translated at the average exchange rates prevailing during the period.</w:t>
      </w:r>
    </w:p>
    <w:p>
      <w:pPr>
        <w:spacing w:after="0" w:line="151" w:lineRule="exact"/>
        <w:rPr>
          <w:sz w:val="20"/>
          <w:szCs w:val="20"/>
          <w:color w:val="auto"/>
        </w:rPr>
      </w:pPr>
    </w:p>
    <w:p>
      <w:pPr>
        <w:jc w:val="both"/>
        <w:ind w:right="280" w:firstLine="351"/>
        <w:spacing w:after="0" w:line="310" w:lineRule="auto"/>
        <w:rPr>
          <w:sz w:val="20"/>
          <w:szCs w:val="20"/>
          <w:color w:val="auto"/>
        </w:rPr>
      </w:pPr>
      <w:r>
        <w:rPr>
          <w:rFonts w:ascii="Arial" w:cs="Arial" w:eastAsia="Arial" w:hAnsi="Arial"/>
          <w:sz w:val="16"/>
          <w:szCs w:val="16"/>
          <w:b w:val="1"/>
          <w:bCs w:val="1"/>
          <w:color w:val="auto"/>
        </w:rPr>
        <w:t xml:space="preserve">Earnings per share: </w:t>
      </w:r>
      <w:r>
        <w:rPr>
          <w:rFonts w:ascii="Arial" w:cs="Arial" w:eastAsia="Arial" w:hAnsi="Arial"/>
          <w:sz w:val="16"/>
          <w:szCs w:val="16"/>
          <w:color w:val="auto"/>
        </w:rPr>
        <w:t>Basic earnings per share is computed based on the weighted-average number of common shares outstanding. Diluted earnings per</w:t>
      </w:r>
      <w:r>
        <w:rPr>
          <w:rFonts w:ascii="Arial" w:cs="Arial" w:eastAsia="Arial" w:hAnsi="Arial"/>
          <w:sz w:val="16"/>
          <w:szCs w:val="16"/>
          <w:b w:val="1"/>
          <w:bCs w:val="1"/>
          <w:color w:val="auto"/>
        </w:rPr>
        <w:t xml:space="preserve"> </w:t>
      </w:r>
      <w:r>
        <w:rPr>
          <w:rFonts w:ascii="Arial" w:cs="Arial" w:eastAsia="Arial" w:hAnsi="Arial"/>
          <w:sz w:val="16"/>
          <w:szCs w:val="16"/>
          <w:color w:val="auto"/>
        </w:rPr>
        <w:t>share is computed based on the weighted-average number of common shares outstanding plus the dilutive effects of convertible debentures, stock options and warrants. Basic and diluted earnings per share computations include redeemable common stock accretion.</w:t>
      </w:r>
    </w:p>
    <w:p>
      <w:pPr>
        <w:spacing w:after="0" w:line="151" w:lineRule="exact"/>
        <w:rPr>
          <w:sz w:val="20"/>
          <w:szCs w:val="20"/>
          <w:color w:val="auto"/>
        </w:rPr>
      </w:pPr>
    </w:p>
    <w:p>
      <w:pPr>
        <w:ind w:right="80" w:firstLine="351"/>
        <w:spacing w:after="0" w:line="258" w:lineRule="auto"/>
        <w:rPr>
          <w:sz w:val="20"/>
          <w:szCs w:val="20"/>
          <w:color w:val="auto"/>
        </w:rPr>
      </w:pPr>
      <w:r>
        <w:rPr>
          <w:rFonts w:ascii="Arial" w:cs="Arial" w:eastAsia="Arial" w:hAnsi="Arial"/>
          <w:sz w:val="18"/>
          <w:szCs w:val="18"/>
          <w:b w:val="1"/>
          <w:bCs w:val="1"/>
          <w:color w:val="auto"/>
        </w:rPr>
        <w:t xml:space="preserve">Financial instruments: </w:t>
      </w:r>
      <w:r>
        <w:rPr>
          <w:rFonts w:ascii="Arial" w:cs="Arial" w:eastAsia="Arial" w:hAnsi="Arial"/>
          <w:sz w:val="18"/>
          <w:szCs w:val="18"/>
          <w:color w:val="auto"/>
        </w:rPr>
        <w:t>Cash equivalents include highly liquid short-term investments with original maturities of three months or less, readily convertible</w:t>
      </w:r>
      <w:r>
        <w:rPr>
          <w:rFonts w:ascii="Arial" w:cs="Arial" w:eastAsia="Arial" w:hAnsi="Arial"/>
          <w:sz w:val="18"/>
          <w:szCs w:val="18"/>
          <w:b w:val="1"/>
          <w:bCs w:val="1"/>
          <w:color w:val="auto"/>
        </w:rPr>
        <w:t xml:space="preserve"> </w:t>
      </w:r>
      <w:r>
        <w:rPr>
          <w:rFonts w:ascii="Arial" w:cs="Arial" w:eastAsia="Arial" w:hAnsi="Arial"/>
          <w:sz w:val="18"/>
          <w:szCs w:val="18"/>
          <w:color w:val="auto"/>
        </w:rPr>
        <w:t>to known amounts of cash. Investments with original maturities greater than three months and remaining maturities less than one year are classified as short-term investments. Investments with remaining maturities greater than one year are classified as other noncurrent assets. Securities classified as available-for-sale are stated at market value.</w:t>
      </w:r>
    </w:p>
    <w:p>
      <w:pPr>
        <w:spacing w:after="0" w:line="196"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amounts reported as cash and equivalents, short-term investments, receivables, other assets, accounts payable and accrued expenses and equipment purchase contracts approximate their fair values. The fair value of the Company's debt as of August 29, 2002, and August 30, 2001, approximated $429 million and $491 million, respectively. The fair value estimates presented herein were based on market interest rates and other market information available to management as of each balance sheet date presented. The use of different market assumptions and/or estimation methodologies could have a material effect on the estimated fair value amounts. The approximate fair values do not take into consideration expenses that could be incurred in an actual settlement.</w:t>
      </w:r>
    </w:p>
    <w:p>
      <w:pPr>
        <w:spacing w:after="0" w:line="164" w:lineRule="exact"/>
        <w:rPr>
          <w:sz w:val="20"/>
          <w:szCs w:val="20"/>
          <w:color w:val="auto"/>
        </w:rPr>
      </w:pPr>
    </w:p>
    <w:p>
      <w:pPr>
        <w:ind w:right="860" w:firstLine="351"/>
        <w:spacing w:after="0" w:line="339" w:lineRule="auto"/>
        <w:rPr>
          <w:sz w:val="20"/>
          <w:szCs w:val="20"/>
          <w:color w:val="auto"/>
        </w:rPr>
      </w:pPr>
      <w:r>
        <w:rPr>
          <w:rFonts w:ascii="Arial" w:cs="Arial" w:eastAsia="Arial" w:hAnsi="Arial"/>
          <w:sz w:val="16"/>
          <w:szCs w:val="16"/>
          <w:b w:val="1"/>
          <w:bCs w:val="1"/>
          <w:color w:val="auto"/>
        </w:rPr>
        <w:t xml:space="preserve">Certain concentrations: </w:t>
      </w:r>
      <w:r>
        <w:rPr>
          <w:rFonts w:ascii="Arial" w:cs="Arial" w:eastAsia="Arial" w:hAnsi="Arial"/>
          <w:sz w:val="16"/>
          <w:szCs w:val="16"/>
          <w:color w:val="auto"/>
        </w:rPr>
        <w:t>Approximately 80% of the Company's sales of semiconductor products for 2002 was to the computer market. Certain</w:t>
      </w:r>
      <w:r>
        <w:rPr>
          <w:rFonts w:ascii="Arial" w:cs="Arial" w:eastAsia="Arial" w:hAnsi="Arial"/>
          <w:sz w:val="16"/>
          <w:szCs w:val="16"/>
          <w:b w:val="1"/>
          <w:bCs w:val="1"/>
          <w:color w:val="auto"/>
        </w:rPr>
        <w:t xml:space="preserve"> </w:t>
      </w:r>
      <w:r>
        <w:rPr>
          <w:rFonts w:ascii="Arial" w:cs="Arial" w:eastAsia="Arial" w:hAnsi="Arial"/>
          <w:sz w:val="16"/>
          <w:szCs w:val="16"/>
          <w:color w:val="auto"/>
        </w:rPr>
        <w:t>components used by the Company in manufacturing semiconductor memory products are purchased from a limited number of suppliers.</w:t>
      </w:r>
    </w:p>
    <w:p>
      <w:pPr>
        <w:spacing w:after="0" w:line="134"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principally of cash, investment securities and trade accounts receivable. The Company invests cash through high-credit-quality financial institutions and, by policy, limits the concentration of credit exposure by restricting investments with any single obligor. A concentration of credit risk may exist with respect to trade receivables as a substantial portion of the Company's customers are affiliated with the computer, telecommunications and networking industries. The Company performs ongoing credit evaluations of customers worldwide and generally does not require collateral from its customers. Historically, the Company has not experienced significant losses on receivables.</w:t>
      </w:r>
    </w:p>
    <w:p>
      <w:pPr>
        <w:spacing w:after="0" w:line="164" w:lineRule="exact"/>
        <w:rPr>
          <w:sz w:val="20"/>
          <w:szCs w:val="20"/>
          <w:color w:val="auto"/>
        </w:rPr>
      </w:pPr>
    </w:p>
    <w:p>
      <w:pPr>
        <w:ind w:right="20" w:firstLine="351"/>
        <w:spacing w:after="0" w:line="258" w:lineRule="auto"/>
        <w:rPr>
          <w:sz w:val="20"/>
          <w:szCs w:val="20"/>
          <w:color w:val="auto"/>
        </w:rPr>
      </w:pPr>
      <w:r>
        <w:rPr>
          <w:rFonts w:ascii="Arial" w:cs="Arial" w:eastAsia="Arial" w:hAnsi="Arial"/>
          <w:sz w:val="18"/>
          <w:szCs w:val="18"/>
          <w:b w:val="1"/>
          <w:bCs w:val="1"/>
          <w:color w:val="auto"/>
        </w:rPr>
        <w:t xml:space="preserve">Inventories: </w:t>
      </w:r>
      <w:r>
        <w:rPr>
          <w:rFonts w:ascii="Arial" w:cs="Arial" w:eastAsia="Arial" w:hAnsi="Arial"/>
          <w:sz w:val="18"/>
          <w:szCs w:val="18"/>
          <w:color w:val="auto"/>
        </w:rPr>
        <w:t>Inventories are stated at the lower of average cost or market value. Cost includes labor, material and overhead costs, including product and</w:t>
      </w:r>
      <w:r>
        <w:rPr>
          <w:rFonts w:ascii="Arial" w:cs="Arial" w:eastAsia="Arial" w:hAnsi="Arial"/>
          <w:sz w:val="18"/>
          <w:szCs w:val="18"/>
          <w:b w:val="1"/>
          <w:bCs w:val="1"/>
          <w:color w:val="auto"/>
        </w:rPr>
        <w:t xml:space="preserve"> </w:t>
      </w:r>
      <w:r>
        <w:rPr>
          <w:rFonts w:ascii="Arial" w:cs="Arial" w:eastAsia="Arial" w:hAnsi="Arial"/>
          <w:sz w:val="18"/>
          <w:szCs w:val="18"/>
          <w:color w:val="auto"/>
        </w:rPr>
        <w:t>process technology costs. Determining market value of inventories involves judgment in that it requires the Company to project unit prices and volumes for future periods in which it expects to sell the inventory. As a result of these analyses, the Company records a charge to cost of goods sold in advance of when the inventory is actually sold to reflect market values that are below the Company's costs.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140" w:firstLine="351"/>
        <w:spacing w:after="0" w:line="339" w:lineRule="auto"/>
        <w:rPr>
          <w:sz w:val="20"/>
          <w:szCs w:val="20"/>
          <w:color w:val="auto"/>
        </w:rPr>
      </w:pPr>
      <w:r>
        <w:rPr>
          <w:rFonts w:ascii="Arial" w:cs="Arial" w:eastAsia="Arial" w:hAnsi="Arial"/>
          <w:sz w:val="15"/>
          <w:szCs w:val="15"/>
          <w:b w:val="1"/>
          <w:bCs w:val="1"/>
          <w:color w:val="auto"/>
        </w:rPr>
        <w:t xml:space="preserve">Product and process technology: </w:t>
      </w:r>
      <w:r>
        <w:rPr>
          <w:rFonts w:ascii="Arial" w:cs="Arial" w:eastAsia="Arial" w:hAnsi="Arial"/>
          <w:sz w:val="15"/>
          <w:szCs w:val="15"/>
          <w:color w:val="auto"/>
        </w:rPr>
        <w:t>Costs incurred to acquire product and process technology or to patent technology developed by the Company are</w:t>
      </w:r>
      <w:r>
        <w:rPr>
          <w:rFonts w:ascii="Arial" w:cs="Arial" w:eastAsia="Arial" w:hAnsi="Arial"/>
          <w:sz w:val="15"/>
          <w:szCs w:val="15"/>
          <w:b w:val="1"/>
          <w:bCs w:val="1"/>
          <w:color w:val="auto"/>
        </w:rPr>
        <w:t xml:space="preserve"> </w:t>
      </w:r>
      <w:r>
        <w:rPr>
          <w:rFonts w:ascii="Arial" w:cs="Arial" w:eastAsia="Arial" w:hAnsi="Arial"/>
          <w:sz w:val="15"/>
          <w:szCs w:val="15"/>
          <w:color w:val="auto"/>
        </w:rPr>
        <w:t>capitalized and amortized on a straight-line basis over periods currently ranging up to 10 years. The Company capitalizes a portion of costs incurred based on its analysis of historical and projected patent issuance rates. Capitalized product and process technology costs are amortized over the shorter of (i) the estimated</w:t>
      </w:r>
    </w:p>
    <w:p>
      <w:pPr>
        <w:sectPr>
          <w:pgSz w:w="11900" w:h="16838" w:orient="portrait"/>
          <w:cols w:equalWidth="0" w:num="1">
            <w:col w:w="11420"/>
          </w:cols>
          <w:pgMar w:left="240" w:top="131" w:right="239" w:bottom="0" w:gutter="0" w:footer="0" w:header="0"/>
        </w:sectPr>
      </w:pPr>
    </w:p>
    <w:bookmarkStart w:id="22" w:name="page23"/>
    <w:bookmarkEnd w:id="22"/>
    <w:p>
      <w:pPr>
        <w:spacing w:after="0"/>
        <w:rPr>
          <w:sz w:val="20"/>
          <w:szCs w:val="20"/>
          <w:color w:val="auto"/>
        </w:rPr>
      </w:pPr>
      <w:r>
        <w:rPr>
          <w:rFonts w:ascii="Arial" w:cs="Arial" w:eastAsia="Arial" w:hAnsi="Arial"/>
          <w:sz w:val="16"/>
          <w:szCs w:val="16"/>
          <w:color w:val="auto"/>
        </w:rPr>
        <w:t>useful life of the technology (the determination of which requires judgment by the Company), (ii) the patent term or (iii) the term of the technology agreement.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Fully-amortized costs are removed from product and process technology and accumulated amortization.</w:t>
      </w:r>
    </w:p>
    <w:p>
      <w:pPr>
        <w:spacing w:after="0" w:line="213" w:lineRule="exact"/>
        <w:rPr>
          <w:sz w:val="20"/>
          <w:szCs w:val="20"/>
          <w:color w:val="auto"/>
        </w:rPr>
      </w:pPr>
    </w:p>
    <w:p>
      <w:pPr>
        <w:jc w:val="both"/>
        <w:ind w:right="80" w:firstLine="351"/>
        <w:spacing w:after="0" w:line="301" w:lineRule="auto"/>
        <w:rPr>
          <w:sz w:val="20"/>
          <w:szCs w:val="20"/>
          <w:color w:val="auto"/>
        </w:rPr>
      </w:pPr>
      <w:r>
        <w:rPr>
          <w:rFonts w:ascii="Arial" w:cs="Arial" w:eastAsia="Arial" w:hAnsi="Arial"/>
          <w:sz w:val="16"/>
          <w:szCs w:val="16"/>
          <w:b w:val="1"/>
          <w:bCs w:val="1"/>
          <w:color w:val="auto"/>
        </w:rPr>
        <w:t xml:space="preserve">Property, plant and equipment: </w:t>
      </w:r>
      <w:r>
        <w:rPr>
          <w:rFonts w:ascii="Arial" w:cs="Arial" w:eastAsia="Arial" w:hAnsi="Arial"/>
          <w:sz w:val="16"/>
          <w:szCs w:val="16"/>
          <w:color w:val="auto"/>
        </w:rPr>
        <w:t>Property, plant and equipment are stated at cost and depreciated using the straight-line method over the estimated useful</w:t>
      </w:r>
      <w:r>
        <w:rPr>
          <w:rFonts w:ascii="Arial" w:cs="Arial" w:eastAsia="Arial" w:hAnsi="Arial"/>
          <w:sz w:val="16"/>
          <w:szCs w:val="16"/>
          <w:b w:val="1"/>
          <w:bCs w:val="1"/>
          <w:color w:val="auto"/>
        </w:rPr>
        <w:t xml:space="preserve"> </w:t>
      </w:r>
      <w:r>
        <w:rPr>
          <w:rFonts w:ascii="Arial" w:cs="Arial" w:eastAsia="Arial" w:hAnsi="Arial"/>
          <w:sz w:val="16"/>
          <w:szCs w:val="16"/>
          <w:color w:val="auto"/>
        </w:rPr>
        <w:t>lives of 5 to 30 years for buildings, 2 to 20 years for equipment and 2 to 5 years for software. Assets held for sale are carried at the lower of cost or market value and are included in other noncurrent assets. When property or equipment is retired or otherwise disposed of, the net book value of the asset is removed from the Company's accounts and any net gain or loss is included in the Company's results of operations.</w:t>
      </w:r>
    </w:p>
    <w:p>
      <w:pPr>
        <w:spacing w:after="0" w:line="163"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Company capitalizes interest on borrowings during the active construction period of major capital projects. Capitalized interest is added to the cost of the underlying assets and is amortized over the useful lives of the assets. The Company capitalized interest costs of $10.2 million, $9.8 million and $6.4 million in 2002, 2001 and 2000, respectively, in connection with various capital projects.</w:t>
      </w:r>
    </w:p>
    <w:p>
      <w:pPr>
        <w:spacing w:after="0" w:line="188"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b w:val="1"/>
          <w:bCs w:val="1"/>
          <w:color w:val="auto"/>
        </w:rPr>
        <w:t xml:space="preserve">Recently issued accounting standards: </w:t>
      </w:r>
      <w:r>
        <w:rPr>
          <w:rFonts w:ascii="Arial" w:cs="Arial" w:eastAsia="Arial" w:hAnsi="Arial"/>
          <w:sz w:val="18"/>
          <w:szCs w:val="18"/>
          <w:color w:val="auto"/>
        </w:rPr>
        <w:t>In June 2002, the Financial Accounting Standards Board ("FASB") issued SFAS No. 146, "Accounting for Costs</w:t>
      </w:r>
      <w:r>
        <w:rPr>
          <w:rFonts w:ascii="Arial" w:cs="Arial" w:eastAsia="Arial" w:hAnsi="Arial"/>
          <w:sz w:val="18"/>
          <w:szCs w:val="18"/>
          <w:b w:val="1"/>
          <w:bCs w:val="1"/>
          <w:color w:val="auto"/>
        </w:rPr>
        <w:t xml:space="preserve"> </w:t>
      </w:r>
      <w:r>
        <w:rPr>
          <w:rFonts w:ascii="Arial" w:cs="Arial" w:eastAsia="Arial" w:hAnsi="Arial"/>
          <w:sz w:val="18"/>
          <w:szCs w:val="18"/>
          <w:color w:val="auto"/>
        </w:rPr>
        <w:t>Associated with Exit or Disposal Activities." SFAS No. 146 addresses financial accounting and reporting for costs associated with exit or disposal activities and nullifies Emerging Issues Task Force ("EITF") Issue No. 94-3. The adoption of SFAS No. 146 is effective for exit or disposal activities that are initiated after December 31, 2002. The Company does not expect the adoption of SFAS No. 146 to have a significant impact on the Company's future results of operations or financial position.</w:t>
      </w:r>
    </w:p>
    <w:p>
      <w:pPr>
        <w:spacing w:after="0" w:line="199"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In April 2002, the FASB issued SFAS No. 145, "Rescission of FASB Statements No. 4, 44 and 64, Amendment of FASB Statement No. 13 and Technical Corrections." SFAS No. 145 updates, clarifies and simplifies certain accounting pronouncements. The adoption of SFAS No. 145 is effective for the Company in fiscal 2003. The Company does not expect the adoption of SFAS No. 145 to have an impact on the Company's future results of operations or financial position.</w:t>
      </w:r>
    </w:p>
    <w:p>
      <w:pPr>
        <w:spacing w:after="0" w:line="161"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In August 2001, the FASB issued SFAS No. 144, "Accounting for the Impairment or Disposal of Long-Lived Assets." SFAS No. 144 supersedes previous guidance for financial accounting and reporting for the impairment or disposal of long-lived assets and for segments of a business to be disposed of. The adoption of SFAS No. 144 is effective for the Company in fiscal 2003. The Company does not expect the adoption of SFAS No. 144 to have a significant impact on the Company's future results of operations or financial position.</w:t>
      </w:r>
    </w:p>
    <w:p>
      <w:pPr>
        <w:spacing w:after="0" w:line="197" w:lineRule="exact"/>
        <w:rPr>
          <w:sz w:val="20"/>
          <w:szCs w:val="20"/>
          <w:color w:val="auto"/>
        </w:rPr>
      </w:pPr>
    </w:p>
    <w:p>
      <w:pPr>
        <w:jc w:val="both"/>
        <w:ind w:right="100" w:firstLine="351"/>
        <w:spacing w:after="0" w:line="256" w:lineRule="auto"/>
        <w:rPr>
          <w:sz w:val="20"/>
          <w:szCs w:val="20"/>
          <w:color w:val="auto"/>
        </w:rPr>
      </w:pPr>
      <w:r>
        <w:rPr>
          <w:rFonts w:ascii="Arial" w:cs="Arial" w:eastAsia="Arial" w:hAnsi="Arial"/>
          <w:sz w:val="18"/>
          <w:szCs w:val="18"/>
          <w:color w:val="auto"/>
        </w:rPr>
        <w:t>In June 2001, the FASB issued SFAS No. 143, "Accounting for Asset Retirement Obligations." SFAS No. 143 addresses financial accounting and reporting for obligations associated with the retirement of tangible long-lived assets and the associated retirement costs. The adoption of SFAS No. 143 is effective for the Company in fiscal 2003. The Company does not expect the adoption of SFAS No. 143 to have a significant impact on the Company's future results of operations or financial position.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Balance Sheet Information</w:t>
      </w:r>
    </w:p>
    <w:p>
      <w:pPr>
        <w:spacing w:after="0" w:line="227" w:lineRule="exact"/>
        <w:rPr>
          <w:sz w:val="20"/>
          <w:szCs w:val="20"/>
          <w:color w:val="auto"/>
        </w:rPr>
      </w:pPr>
    </w:p>
    <w:tbl>
      <w:tblPr>
        <w:tblLayout w:type="fixed"/>
        <w:tblInd w:w="1600" w:type="dxa"/>
        <w:tblCellMar>
          <w:top w:w="0" w:type="dxa"/>
          <w:left w:w="0" w:type="dxa"/>
          <w:bottom w:w="0" w:type="dxa"/>
          <w:right w:w="0" w:type="dxa"/>
        </w:tblCellMar>
      </w:tblPr>
      <w:tr>
        <w:trPr>
          <w:trHeight w:val="174"/>
        </w:trPr>
        <w:tc>
          <w:tcPr>
            <w:tcW w:w="5540" w:type="dxa"/>
            <w:vAlign w:val="bottom"/>
            <w:gridSpan w:val="2"/>
          </w:tcPr>
          <w:p>
            <w:pPr>
              <w:spacing w:after="0"/>
              <w:rPr>
                <w:sz w:val="20"/>
                <w:szCs w:val="20"/>
                <w:color w:val="auto"/>
              </w:rPr>
            </w:pPr>
            <w:r>
              <w:rPr>
                <w:rFonts w:ascii="Arial" w:cs="Arial" w:eastAsia="Arial" w:hAnsi="Arial"/>
                <w:sz w:val="14"/>
                <w:szCs w:val="14"/>
                <w:b w:val="1"/>
                <w:bCs w:val="1"/>
                <w:color w:val="auto"/>
              </w:rPr>
              <w:t>Investment Securities</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ind w:right="314"/>
              <w:spacing w:after="0"/>
              <w:rPr>
                <w:sz w:val="20"/>
                <w:szCs w:val="20"/>
                <w:color w:val="auto"/>
              </w:rPr>
            </w:pPr>
            <w:r>
              <w:rPr>
                <w:rFonts w:ascii="Arial" w:cs="Arial" w:eastAsia="Arial" w:hAnsi="Arial"/>
                <w:sz w:val="14"/>
                <w:szCs w:val="14"/>
                <w:b w:val="1"/>
                <w:bCs w:val="1"/>
                <w:color w:val="auto"/>
              </w:rPr>
              <w:t>2002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314"/>
              <w:spacing w:after="0"/>
              <w:rPr>
                <w:sz w:val="20"/>
                <w:szCs w:val="20"/>
                <w:color w:val="auto"/>
              </w:rPr>
            </w:pPr>
            <w:r>
              <w:rPr>
                <w:rFonts w:ascii="Arial" w:cs="Arial" w:eastAsia="Arial" w:hAnsi="Arial"/>
                <w:sz w:val="14"/>
                <w:szCs w:val="14"/>
                <w:b w:val="1"/>
                <w:bCs w:val="1"/>
                <w:color w:val="auto"/>
              </w:rPr>
              <w:t>2001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tcPr>
          <w:p>
            <w:pPr>
              <w:ind w:left="240"/>
              <w:spacing w:after="0"/>
              <w:rPr>
                <w:sz w:val="20"/>
                <w:szCs w:val="20"/>
                <w:color w:val="auto"/>
              </w:rPr>
            </w:pPr>
            <w:r>
              <w:rPr>
                <w:rFonts w:ascii="Arial" w:cs="Arial" w:eastAsia="Arial" w:hAnsi="Arial"/>
                <w:sz w:val="18"/>
                <w:szCs w:val="18"/>
                <w:color w:val="auto"/>
              </w:rPr>
              <w:t>U.S. Government and agencies</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527.0</w:t>
            </w:r>
          </w:p>
        </w:tc>
        <w:tc>
          <w:tcPr>
            <w:tcW w:w="140" w:type="dxa"/>
            <w:vAlign w:val="bottom"/>
          </w:tcPr>
          <w:p>
            <w:pPr>
              <w:spacing w:after="0"/>
              <w:rPr>
                <w:sz w:val="19"/>
                <w:szCs w:val="19"/>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864.5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Commercial paper</w:t>
            </w:r>
          </w:p>
        </w:tc>
        <w:tc>
          <w:tcPr>
            <w:tcW w:w="2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163.2</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right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491.0</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tcPr>
          <w:p>
            <w:pPr>
              <w:ind w:left="240"/>
              <w:spacing w:after="0"/>
              <w:rPr>
                <w:sz w:val="20"/>
                <w:szCs w:val="20"/>
                <w:color w:val="auto"/>
              </w:rPr>
            </w:pPr>
            <w:r>
              <w:rPr>
                <w:rFonts w:ascii="Arial" w:cs="Arial" w:eastAsia="Arial" w:hAnsi="Arial"/>
                <w:sz w:val="18"/>
                <w:szCs w:val="18"/>
                <w:color w:val="auto"/>
              </w:rPr>
              <w:t>Certificates of deposit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90.1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245.4</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right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286.1</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1,025.7</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1,741.8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Less cash equivalents</w:t>
            </w:r>
          </w:p>
        </w:tc>
        <w:tc>
          <w:tcPr>
            <w:tcW w:w="2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(275.7)</w:t>
            </w:r>
          </w:p>
        </w:tc>
        <w:tc>
          <w:tcPr>
            <w:tcW w:w="100" w:type="dxa"/>
            <w:vAlign w:val="bottom"/>
            <w:tcBorders>
              <w:bottom w:val="single" w:sz="8" w:color="CCEEFF"/>
              <w:right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(416.1)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tcPr>
          <w:p>
            <w:pPr>
              <w:ind w:left="240"/>
              <w:spacing w:after="0"/>
              <w:rPr>
                <w:sz w:val="20"/>
                <w:szCs w:val="20"/>
                <w:color w:val="auto"/>
              </w:rPr>
            </w:pPr>
            <w:r>
              <w:rPr>
                <w:rFonts w:ascii="Arial" w:cs="Arial" w:eastAsia="Arial" w:hAnsi="Arial"/>
                <w:sz w:val="18"/>
                <w:szCs w:val="18"/>
                <w:color w:val="auto"/>
              </w:rPr>
              <w:t>Less noncurrent investments</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(116.5)</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840" w:type="dxa"/>
            <w:vAlign w:val="bottom"/>
            <w:tcBorders>
              <w:bottom w:val="single" w:sz="8" w:color="808080"/>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820" w:type="dxa"/>
            <w:vAlign w:val="bottom"/>
            <w:tcBorders>
              <w:bottom w:val="single" w:sz="8" w:color="808080"/>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Short-term investments</w:t>
            </w:r>
          </w:p>
        </w:tc>
        <w:tc>
          <w:tcPr>
            <w:tcW w:w="4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587.5</w:t>
            </w:r>
          </w:p>
        </w:tc>
        <w:tc>
          <w:tcPr>
            <w:tcW w:w="1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1,209.2</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40" w:type="dxa"/>
            <w:vAlign w:val="bottom"/>
            <w:tcBorders>
              <w:right w:val="single" w:sz="8" w:color="808080"/>
            </w:tcBorders>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-1849755</wp:posOffset>
            </wp:positionV>
            <wp:extent cx="1270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1023620</wp:posOffset>
            </wp:positionH>
            <wp:positionV relativeFrom="paragraph">
              <wp:posOffset>-1849755</wp:posOffset>
            </wp:positionV>
            <wp:extent cx="1270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-1849755</wp:posOffset>
            </wp:positionV>
            <wp:extent cx="1270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-1849755</wp:posOffset>
            </wp:positionV>
            <wp:extent cx="1270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-1849755</wp:posOffset>
            </wp:positionV>
            <wp:extent cx="1270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-1849755</wp:posOffset>
            </wp:positionV>
            <wp:extent cx="1270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-940435</wp:posOffset>
            </wp:positionV>
            <wp:extent cx="1270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-940435</wp:posOffset>
            </wp:positionV>
            <wp:extent cx="1270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-940435</wp:posOffset>
            </wp:positionV>
            <wp:extent cx="1270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-940435</wp:posOffset>
            </wp:positionV>
            <wp:extent cx="1270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-340360</wp:posOffset>
            </wp:positionV>
            <wp:extent cx="1270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-340360</wp:posOffset>
            </wp:positionV>
            <wp:extent cx="1270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-340360</wp:posOffset>
            </wp:positionV>
            <wp:extent cx="1270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-340360</wp:posOffset>
            </wp:positionV>
            <wp:extent cx="1270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80" w:firstLine="341"/>
        <w:spacing w:after="0" w:line="268" w:lineRule="auto"/>
        <w:rPr>
          <w:sz w:val="20"/>
          <w:szCs w:val="20"/>
          <w:color w:val="auto"/>
        </w:rPr>
      </w:pPr>
      <w:r>
        <w:rPr>
          <w:rFonts w:ascii="Arial" w:cs="Arial" w:eastAsia="Arial" w:hAnsi="Arial"/>
          <w:sz w:val="18"/>
          <w:szCs w:val="18"/>
          <w:color w:val="auto"/>
        </w:rPr>
        <w:t>As of August 29, 2002, $756.0 million of securities mature within one year, $108.1 million mature from one to five years, $40.2 million mature from five to ten years and $11.4 million mature after ten years.</w:t>
      </w:r>
    </w:p>
    <w:p>
      <w:pPr>
        <w:spacing w:after="0" w:line="182"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5680" w:type="dxa"/>
            <w:vAlign w:val="bottom"/>
            <w:gridSpan w:val="2"/>
          </w:tcPr>
          <w:p>
            <w:pPr>
              <w:spacing w:after="0"/>
              <w:rPr>
                <w:sz w:val="20"/>
                <w:szCs w:val="20"/>
                <w:color w:val="auto"/>
              </w:rPr>
            </w:pPr>
            <w:r>
              <w:rPr>
                <w:rFonts w:ascii="Arial" w:cs="Arial" w:eastAsia="Arial" w:hAnsi="Arial"/>
                <w:sz w:val="14"/>
                <w:szCs w:val="14"/>
                <w:b w:val="1"/>
                <w:bCs w:val="1"/>
                <w:color w:val="auto"/>
              </w:rPr>
              <w:t>Receivables</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35"/>
              <w:spacing w:after="0"/>
              <w:rPr>
                <w:sz w:val="20"/>
                <w:szCs w:val="20"/>
                <w:color w:val="auto"/>
              </w:rPr>
            </w:pPr>
            <w:r>
              <w:rPr>
                <w:rFonts w:ascii="Arial" w:cs="Arial" w:eastAsia="Arial" w:hAnsi="Arial"/>
                <w:sz w:val="14"/>
                <w:szCs w:val="14"/>
                <w:b w:val="1"/>
                <w:bCs w:val="1"/>
                <w:color w:val="auto"/>
              </w:rPr>
              <w:t>2002</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ind w:right="215"/>
              <w:spacing w:after="0"/>
              <w:rPr>
                <w:sz w:val="20"/>
                <w:szCs w:val="20"/>
                <w:color w:val="auto"/>
              </w:rPr>
            </w:pPr>
            <w:r>
              <w:rPr>
                <w:rFonts w:ascii="Arial" w:cs="Arial" w:eastAsia="Arial" w:hAnsi="Arial"/>
                <w:sz w:val="14"/>
                <w:szCs w:val="14"/>
                <w:b w:val="1"/>
                <w:bCs w:val="1"/>
                <w:color w:val="auto"/>
              </w:rPr>
              <w:t>2001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Income taxes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122.2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560.2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Taxes other than income</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Joint venture</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537.9</w:t>
            </w:r>
          </w:p>
        </w:tc>
        <w:tc>
          <w:tcPr>
            <w:tcW w:w="220" w:type="dxa"/>
            <w:vAlign w:val="bottom"/>
          </w:tcPr>
          <w:p>
            <w:pPr>
              <w:spacing w:after="0"/>
              <w:rPr>
                <w:sz w:val="24"/>
                <w:szCs w:val="24"/>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791.6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568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680" w:type="dxa"/>
            <w:vAlign w:val="bottom"/>
            <w:gridSpan w:val="2"/>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0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9"/>
        </w:trPr>
        <w:tc>
          <w:tcPr>
            <w:tcW w:w="5680" w:type="dxa"/>
            <w:vAlign w:val="bottom"/>
            <w:gridSpan w:val="2"/>
          </w:tcPr>
          <w:p>
            <w:pPr>
              <w:spacing w:after="0"/>
              <w:rPr>
                <w:sz w:val="20"/>
                <w:szCs w:val="20"/>
                <w:color w:val="auto"/>
              </w:rPr>
            </w:pPr>
            <w:r>
              <w:rPr>
                <w:rFonts w:ascii="Arial" w:cs="Arial" w:eastAsia="Arial" w:hAnsi="Arial"/>
                <w:sz w:val="14"/>
                <w:szCs w:val="14"/>
                <w:b w:val="1"/>
                <w:bCs w:val="1"/>
                <w:color w:val="auto"/>
              </w:rPr>
              <w:t>Inventories</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ind w:right="235"/>
              <w:spacing w:after="0"/>
              <w:rPr>
                <w:sz w:val="20"/>
                <w:szCs w:val="20"/>
                <w:color w:val="auto"/>
              </w:rPr>
            </w:pPr>
            <w:r>
              <w:rPr>
                <w:rFonts w:ascii="Arial" w:cs="Arial" w:eastAsia="Arial" w:hAnsi="Arial"/>
                <w:sz w:val="14"/>
                <w:szCs w:val="14"/>
                <w:b w:val="1"/>
                <w:bCs w:val="1"/>
                <w:color w:val="auto"/>
              </w:rPr>
              <w:t>2002</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ind w:right="215"/>
              <w:spacing w:after="0"/>
              <w:rPr>
                <w:sz w:val="20"/>
                <w:szCs w:val="20"/>
                <w:color w:val="auto"/>
              </w:rPr>
            </w:pPr>
            <w:r>
              <w:rPr>
                <w:rFonts w:ascii="Arial" w:cs="Arial" w:eastAsia="Arial" w:hAnsi="Arial"/>
                <w:sz w:val="14"/>
                <w:szCs w:val="14"/>
                <w:b w:val="1"/>
                <w:bCs w:val="1"/>
                <w:color w:val="auto"/>
              </w:rPr>
              <w:t>2001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60" w:type="dxa"/>
            <w:vAlign w:val="bottom"/>
          </w:tcPr>
          <w:p>
            <w:pPr>
              <w:spacing w:after="0"/>
              <w:rPr>
                <w:sz w:val="9"/>
                <w:szCs w:val="9"/>
                <w:color w:val="auto"/>
              </w:rPr>
            </w:pPr>
          </w:p>
        </w:tc>
        <w:tc>
          <w:tcPr>
            <w:tcW w:w="440" w:type="dxa"/>
            <w:vAlign w:val="bottom"/>
            <w:gridSpan w:val="2"/>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660" w:type="dxa"/>
            <w:vAlign w:val="bottom"/>
            <w:tcBorders>
              <w:top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Borders>
              <w:top w:val="single" w:sz="8" w:color="808080"/>
            </w:tcBorders>
          </w:tcPr>
          <w:p>
            <w:pPr>
              <w:spacing w:after="0"/>
              <w:rPr>
                <w:sz w:val="9"/>
                <w:szCs w:val="9"/>
                <w:color w:val="auto"/>
              </w:rPr>
            </w:pPr>
          </w:p>
        </w:tc>
        <w:tc>
          <w:tcPr>
            <w:tcW w:w="700" w:type="dxa"/>
            <w:vAlign w:val="bottom"/>
            <w:tcBorders>
              <w:top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top w:val="single" w:sz="8" w:color="808080"/>
            </w:tcBorders>
          </w:tcPr>
          <w:p>
            <w:pPr>
              <w:spacing w:after="0"/>
              <w:rPr>
                <w:sz w:val="9"/>
                <w:szCs w:val="9"/>
                <w:color w:val="auto"/>
              </w:rPr>
            </w:pPr>
          </w:p>
        </w:tc>
        <w:tc>
          <w:tcPr>
            <w:tcW w:w="660" w:type="dxa"/>
            <w:vAlign w:val="bottom"/>
            <w:tcBorders>
              <w:top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Work in process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supplies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-2319020</wp:posOffset>
            </wp:positionV>
            <wp:extent cx="1270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-2319020</wp:posOffset>
            </wp:positionV>
            <wp:extent cx="1270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-2319020</wp:posOffset>
            </wp:positionV>
            <wp:extent cx="1270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-2319020</wp:posOffset>
            </wp:positionV>
            <wp:extent cx="1270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-2319020</wp:posOffset>
            </wp:positionV>
            <wp:extent cx="1270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-2319020</wp:posOffset>
            </wp:positionV>
            <wp:extent cx="1270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-1203960</wp:posOffset>
            </wp:positionV>
            <wp:extent cx="1270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-1203960</wp:posOffset>
            </wp:positionV>
            <wp:extent cx="1270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-1203960</wp:posOffset>
            </wp:positionV>
            <wp:extent cx="1270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-1203960</wp:posOffset>
            </wp:positionV>
            <wp:extent cx="1270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-492760</wp:posOffset>
            </wp:positionV>
            <wp:extent cx="1270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-492760</wp:posOffset>
            </wp:positionV>
            <wp:extent cx="1270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-492760</wp:posOffset>
            </wp:positionV>
            <wp:extent cx="1270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-492760</wp:posOffset>
            </wp:positionV>
            <wp:extent cx="1270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-492760</wp:posOffset>
            </wp:positionV>
            <wp:extent cx="1270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-492760</wp:posOffset>
            </wp:positionV>
            <wp:extent cx="1270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00"/>
          </w:cols>
          <w:pgMar w:left="240" w:top="131" w:right="259" w:bottom="0" w:gutter="0" w:footer="0" w:header="0"/>
        </w:sectPr>
      </w:pPr>
    </w:p>
    <w:bookmarkStart w:id="23" w:name="page24"/>
    <w:bookmarkEnd w:id="23"/>
    <w:tbl>
      <w:tblPr>
        <w:tblLayout w:type="fixed"/>
        <w:tblInd w:w="1720" w:type="dxa"/>
        <w:tblCellMar>
          <w:top w:w="0" w:type="dxa"/>
          <w:left w:w="0" w:type="dxa"/>
          <w:bottom w:w="0" w:type="dxa"/>
          <w:right w:w="0" w:type="dxa"/>
        </w:tblCellMar>
      </w:tblPr>
      <w:tr>
        <w:trPr>
          <w:trHeight w:val="222"/>
        </w:trPr>
        <w:tc>
          <w:tcPr>
            <w:tcW w:w="6220" w:type="dxa"/>
            <w:vAlign w:val="bottom"/>
            <w:gridSpan w:val="3"/>
          </w:tcPr>
          <w:p>
            <w:pPr>
              <w:jc w:val="right"/>
              <w:ind w:right="4240"/>
              <w:spacing w:after="0"/>
              <w:rPr>
                <w:sz w:val="20"/>
                <w:szCs w:val="20"/>
                <w:color w:val="auto"/>
              </w:rPr>
            </w:pPr>
            <w:r>
              <w:rPr>
                <w:rFonts w:ascii="Arial" w:cs="Arial" w:eastAsia="Arial" w:hAnsi="Arial"/>
                <w:sz w:val="18"/>
                <w:szCs w:val="18"/>
                <w:color w:val="auto"/>
                <w:w w:val="87"/>
              </w:rPr>
              <w:t>Allowance for obsolescence</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(27.1)</w:t>
            </w:r>
          </w:p>
        </w:tc>
        <w:tc>
          <w:tcPr>
            <w:tcW w:w="28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9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9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545.4</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9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9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-323215</wp:posOffset>
            </wp:positionV>
            <wp:extent cx="1270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-323215</wp:posOffset>
            </wp:positionV>
            <wp:extent cx="1270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-323215</wp:posOffset>
            </wp:positionV>
            <wp:extent cx="1270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-323215</wp:posOffset>
            </wp:positionV>
            <wp:extent cx="1270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The Company recognized write-downs of $376.1 million and $726.9 million in 2002 and 2001, respectively, to record work in process and finished goods inventories of semiconductor products at their estimated market values.</w:t>
      </w:r>
    </w:p>
    <w:p>
      <w:pPr>
        <w:spacing w:after="0" w:line="182" w:lineRule="exact"/>
        <w:rPr>
          <w:sz w:val="20"/>
          <w:szCs w:val="20"/>
          <w:color w:val="auto"/>
        </w:rPr>
      </w:pPr>
    </w:p>
    <w:tbl>
      <w:tblPr>
        <w:tblLayout w:type="fixed"/>
        <w:tblInd w:w="1660" w:type="dxa"/>
        <w:tblCellMar>
          <w:top w:w="0" w:type="dxa"/>
          <w:left w:w="0" w:type="dxa"/>
          <w:bottom w:w="0" w:type="dxa"/>
          <w:right w:w="0" w:type="dxa"/>
        </w:tblCellMar>
      </w:tblPr>
      <w:tr>
        <w:trPr>
          <w:trHeight w:val="174"/>
        </w:trPr>
        <w:tc>
          <w:tcPr>
            <w:tcW w:w="2920" w:type="dxa"/>
            <w:vAlign w:val="bottom"/>
          </w:tcPr>
          <w:p>
            <w:pPr>
              <w:spacing w:after="0"/>
              <w:rPr>
                <w:sz w:val="20"/>
                <w:szCs w:val="20"/>
                <w:color w:val="auto"/>
              </w:rPr>
            </w:pPr>
            <w:r>
              <w:rPr>
                <w:rFonts w:ascii="Arial" w:cs="Arial" w:eastAsia="Arial" w:hAnsi="Arial"/>
                <w:sz w:val="14"/>
                <w:szCs w:val="14"/>
                <w:b w:val="1"/>
                <w:bCs w:val="1"/>
                <w:color w:val="auto"/>
              </w:rPr>
              <w:t>Property, Plant and Equipment</w:t>
            </w:r>
          </w:p>
        </w:tc>
        <w:tc>
          <w:tcPr>
            <w:tcW w:w="2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354"/>
              <w:spacing w:after="0"/>
              <w:rPr>
                <w:sz w:val="20"/>
                <w:szCs w:val="20"/>
                <w:color w:val="auto"/>
              </w:rPr>
            </w:pPr>
            <w:r>
              <w:rPr>
                <w:rFonts w:ascii="Arial" w:cs="Arial" w:eastAsia="Arial" w:hAnsi="Arial"/>
                <w:sz w:val="14"/>
                <w:szCs w:val="14"/>
                <w:b w:val="1"/>
                <w:bCs w:val="1"/>
                <w:color w:val="auto"/>
              </w:rPr>
              <w:t>2002</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334"/>
              <w:spacing w:after="0"/>
              <w:rPr>
                <w:sz w:val="20"/>
                <w:szCs w:val="20"/>
                <w:color w:val="auto"/>
              </w:rPr>
            </w:pPr>
            <w:r>
              <w:rPr>
                <w:rFonts w:ascii="Arial" w:cs="Arial" w:eastAsia="Arial" w:hAnsi="Arial"/>
                <w:sz w:val="14"/>
                <w:szCs w:val="14"/>
                <w:b w:val="1"/>
                <w:bCs w:val="1"/>
                <w:color w:val="auto"/>
              </w:rPr>
              <w:t>2001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920" w:type="dxa"/>
            <w:vAlign w:val="bottom"/>
            <w:tcBorders>
              <w:bottom w:val="single" w:sz="8" w:color="808080"/>
            </w:tcBorders>
          </w:tcPr>
          <w:p>
            <w:pPr>
              <w:spacing w:after="0"/>
              <w:rPr>
                <w:sz w:val="9"/>
                <w:szCs w:val="9"/>
                <w:color w:val="auto"/>
              </w:rPr>
            </w:pPr>
          </w:p>
        </w:tc>
        <w:tc>
          <w:tcPr>
            <w:tcW w:w="23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920" w:type="dxa"/>
            <w:vAlign w:val="bottom"/>
          </w:tcPr>
          <w:p>
            <w:pPr>
              <w:spacing w:after="0"/>
              <w:rPr>
                <w:sz w:val="9"/>
                <w:szCs w:val="9"/>
                <w:color w:val="auto"/>
              </w:rPr>
            </w:pPr>
          </w:p>
        </w:tc>
        <w:tc>
          <w:tcPr>
            <w:tcW w:w="2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8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Buildings</w:t>
            </w:r>
          </w:p>
        </w:tc>
        <w:tc>
          <w:tcPr>
            <w:tcW w:w="2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2,219.8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1,815.1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2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6,024.9</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2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294.2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2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92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29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8,839.8</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8,198.9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2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(4,140.3)</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(3,494.8)</w:t>
            </w:r>
          </w:p>
        </w:tc>
        <w:tc>
          <w:tcPr>
            <w:tcW w:w="0" w:type="dxa"/>
            <w:vAlign w:val="bottom"/>
          </w:tcPr>
          <w:p>
            <w:pPr>
              <w:spacing w:after="0"/>
              <w:rPr>
                <w:sz w:val="1"/>
                <w:szCs w:val="1"/>
                <w:color w:val="auto"/>
              </w:rPr>
            </w:pPr>
          </w:p>
        </w:tc>
      </w:tr>
      <w:tr>
        <w:trPr>
          <w:trHeight w:val="118"/>
        </w:trPr>
        <w:tc>
          <w:tcPr>
            <w:tcW w:w="2920" w:type="dxa"/>
            <w:vAlign w:val="bottom"/>
          </w:tcPr>
          <w:p>
            <w:pPr>
              <w:spacing w:after="0"/>
              <w:rPr>
                <w:sz w:val="10"/>
                <w:szCs w:val="10"/>
                <w:color w:val="auto"/>
              </w:rPr>
            </w:pPr>
          </w:p>
        </w:tc>
        <w:tc>
          <w:tcPr>
            <w:tcW w:w="2600" w:type="dxa"/>
            <w:vAlign w:val="bottom"/>
            <w:gridSpan w:val="2"/>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920" w:type="dxa"/>
            <w:vAlign w:val="bottom"/>
          </w:tcPr>
          <w:p>
            <w:pPr>
              <w:spacing w:after="0"/>
              <w:rPr>
                <w:sz w:val="24"/>
                <w:szCs w:val="24"/>
                <w:color w:val="auto"/>
              </w:rPr>
            </w:pPr>
          </w:p>
        </w:tc>
        <w:tc>
          <w:tcPr>
            <w:tcW w:w="28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4,699.5</w:t>
            </w:r>
          </w:p>
        </w:tc>
        <w:tc>
          <w:tcPr>
            <w:tcW w:w="240" w:type="dxa"/>
            <w:vAlign w:val="bottom"/>
          </w:tcPr>
          <w:p>
            <w:pPr>
              <w:spacing w:after="0"/>
              <w:rPr>
                <w:sz w:val="24"/>
                <w:szCs w:val="24"/>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4,704.1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920" w:type="dxa"/>
            <w:vAlign w:val="bottom"/>
          </w:tcPr>
          <w:p>
            <w:pPr>
              <w:spacing w:after="0"/>
              <w:rPr>
                <w:sz w:val="9"/>
                <w:szCs w:val="9"/>
                <w:color w:val="auto"/>
              </w:rPr>
            </w:pPr>
          </w:p>
        </w:tc>
        <w:tc>
          <w:tcPr>
            <w:tcW w:w="2360" w:type="dxa"/>
            <w:vAlign w:val="bottom"/>
            <w:vMerge w:val="restart"/>
          </w:tcPr>
          <w:p>
            <w:pPr>
              <w:jc w:val="right"/>
              <w:ind w:right="1052"/>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920" w:type="dxa"/>
            <w:vAlign w:val="bottom"/>
          </w:tcPr>
          <w:p>
            <w:pPr>
              <w:spacing w:after="0"/>
              <w:rPr>
                <w:sz w:val="5"/>
                <w:szCs w:val="5"/>
                <w:color w:val="auto"/>
              </w:rPr>
            </w:pPr>
          </w:p>
        </w:tc>
        <w:tc>
          <w:tcPr>
            <w:tcW w:w="23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920" w:type="dxa"/>
            <w:vAlign w:val="bottom"/>
          </w:tcPr>
          <w:p>
            <w:pPr>
              <w:spacing w:after="0"/>
              <w:rPr>
                <w:sz w:val="24"/>
                <w:szCs w:val="24"/>
                <w:color w:val="auto"/>
              </w:rPr>
            </w:pPr>
          </w:p>
        </w:tc>
        <w:tc>
          <w:tcPr>
            <w:tcW w:w="23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4393565</wp:posOffset>
            </wp:positionH>
            <wp:positionV relativeFrom="paragraph">
              <wp:posOffset>-1931670</wp:posOffset>
            </wp:positionV>
            <wp:extent cx="1270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1057910</wp:posOffset>
            </wp:positionH>
            <wp:positionV relativeFrom="paragraph">
              <wp:posOffset>-1931670</wp:posOffset>
            </wp:positionV>
            <wp:extent cx="1270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-1931670</wp:posOffset>
            </wp:positionV>
            <wp:extent cx="1270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-1931670</wp:posOffset>
            </wp:positionV>
            <wp:extent cx="1270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-1931670</wp:posOffset>
            </wp:positionV>
            <wp:extent cx="1270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-1931670</wp:posOffset>
            </wp:positionV>
            <wp:extent cx="1270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-1091565</wp:posOffset>
            </wp:positionV>
            <wp:extent cx="1270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-1091565</wp:posOffset>
            </wp:positionV>
            <wp:extent cx="1270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-1091565</wp:posOffset>
            </wp:positionV>
            <wp:extent cx="1270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-1091565</wp:posOffset>
            </wp:positionV>
            <wp:extent cx="1270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-662940</wp:posOffset>
            </wp:positionV>
            <wp:extent cx="1270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-662940</wp:posOffset>
            </wp:positionV>
            <wp:extent cx="1270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-662940</wp:posOffset>
            </wp:positionV>
            <wp:extent cx="1270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-662940</wp:posOffset>
            </wp:positionV>
            <wp:extent cx="1270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As of August 29, 2002, construction in progress included costs of $199.0 million related to facilities in Lehi, Utah, which are not ready for their intended use and are not being depreciated. Timing for completion of the Lehi facility is dependent upon market conditions, including, but not limited to, worldwide market supply of, and demand for, semiconductor products and the Company's operations, cash flows and alternative capacity expansion opportunities. As of August 29, 2002, the Company has approximately $200 million of assets in Lehi which are being depreciated but are not currently in use.</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Depreciation expense was $1,127.5 million, $1,049.6 million and $902.0 million for 2002, 2001 and 2000, respectively.</w:t>
      </w:r>
    </w:p>
    <w:p>
      <w:pPr>
        <w:spacing w:after="0" w:line="221" w:lineRule="exact"/>
        <w:rPr>
          <w:sz w:val="20"/>
          <w:szCs w:val="20"/>
          <w:color w:val="auto"/>
        </w:rPr>
      </w:pPr>
    </w:p>
    <w:tbl>
      <w:tblPr>
        <w:tblLayout w:type="fixed"/>
        <w:tblInd w:w="1660" w:type="dxa"/>
        <w:tblCellMar>
          <w:top w:w="0" w:type="dxa"/>
          <w:left w:w="0" w:type="dxa"/>
          <w:bottom w:w="0" w:type="dxa"/>
          <w:right w:w="0" w:type="dxa"/>
        </w:tblCellMar>
      </w:tblPr>
      <w:tr>
        <w:trPr>
          <w:trHeight w:val="174"/>
        </w:trPr>
        <w:tc>
          <w:tcPr>
            <w:tcW w:w="6040" w:type="dxa"/>
            <w:vAlign w:val="bottom"/>
            <w:gridSpan w:val="3"/>
          </w:tcPr>
          <w:p>
            <w:pPr>
              <w:ind w:left="120"/>
              <w:spacing w:after="0"/>
              <w:rPr>
                <w:sz w:val="20"/>
                <w:szCs w:val="20"/>
                <w:color w:val="auto"/>
              </w:rPr>
            </w:pPr>
            <w:r>
              <w:rPr>
                <w:rFonts w:ascii="Arial" w:cs="Arial" w:eastAsia="Arial" w:hAnsi="Arial"/>
                <w:sz w:val="14"/>
                <w:szCs w:val="14"/>
                <w:b w:val="1"/>
                <w:bCs w:val="1"/>
                <w:color w:val="auto"/>
              </w:rPr>
              <w:t>Accounts Payable and Accrued Expenses</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ind w:right="235"/>
              <w:spacing w:after="0"/>
              <w:rPr>
                <w:sz w:val="20"/>
                <w:szCs w:val="20"/>
                <w:color w:val="auto"/>
              </w:rPr>
            </w:pPr>
            <w:r>
              <w:rPr>
                <w:rFonts w:ascii="Arial" w:cs="Arial" w:eastAsia="Arial" w:hAnsi="Arial"/>
                <w:sz w:val="14"/>
                <w:szCs w:val="14"/>
                <w:b w:val="1"/>
                <w:bCs w:val="1"/>
                <w:color w:val="auto"/>
              </w:rPr>
              <w:t>2002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55"/>
              <w:spacing w:after="0"/>
              <w:rPr>
                <w:sz w:val="20"/>
                <w:szCs w:val="20"/>
                <w:color w:val="auto"/>
              </w:rPr>
            </w:pPr>
            <w:r>
              <w:rPr>
                <w:rFonts w:ascii="Arial" w:cs="Arial" w:eastAsia="Arial" w:hAnsi="Arial"/>
                <w:sz w:val="14"/>
                <w:szCs w:val="14"/>
                <w:b w:val="1"/>
                <w:bCs w:val="1"/>
                <w:color w:val="auto"/>
              </w:rPr>
              <w:t>2001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120" w:type="dxa"/>
            <w:vAlign w:val="bottom"/>
          </w:tcPr>
          <w:p>
            <w:pPr>
              <w:spacing w:after="0"/>
              <w:rPr>
                <w:sz w:val="9"/>
                <w:szCs w:val="9"/>
                <w:color w:val="auto"/>
              </w:rPr>
            </w:pPr>
          </w:p>
        </w:tc>
        <w:tc>
          <w:tcPr>
            <w:tcW w:w="56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20" w:type="dxa"/>
            <w:vAlign w:val="bottom"/>
            <w:vMerge w:val="restart"/>
          </w:tcPr>
          <w:p>
            <w:pPr>
              <w:spacing w:after="0"/>
              <w:rPr>
                <w:sz w:val="9"/>
                <w:szCs w:val="9"/>
                <w:color w:val="auto"/>
              </w:rPr>
            </w:pPr>
          </w:p>
        </w:tc>
        <w:tc>
          <w:tcPr>
            <w:tcW w:w="5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20" w:type="dxa"/>
            <w:vAlign w:val="bottom"/>
            <w:vMerge w:val="continue"/>
          </w:tcPr>
          <w:p>
            <w:pPr>
              <w:spacing w:after="0"/>
              <w:rPr>
                <w:sz w:val="18"/>
                <w:szCs w:val="18"/>
                <w:color w:val="auto"/>
              </w:rPr>
            </w:pPr>
          </w:p>
        </w:tc>
        <w:tc>
          <w:tcPr>
            <w:tcW w:w="59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331.7</w:t>
            </w:r>
          </w:p>
        </w:tc>
        <w:tc>
          <w:tcPr>
            <w:tcW w:w="120" w:type="dxa"/>
            <w:vAlign w:val="bottom"/>
            <w:tcBorders>
              <w:left w:val="single" w:sz="8" w:color="CCEEFF"/>
            </w:tcBorders>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307.8</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Salaries, wages and benefits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106.2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9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Taxes other than income</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Interest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9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taxes</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20" w:type="dxa"/>
            <w:vAlign w:val="bottom"/>
          </w:tcPr>
          <w:p>
            <w:pPr>
              <w:spacing w:after="0"/>
              <w:rPr>
                <w:sz w:val="19"/>
                <w:szCs w:val="19"/>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Other</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65.3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120" w:type="dxa"/>
            <w:vAlign w:val="bottom"/>
          </w:tcPr>
          <w:p>
            <w:pPr>
              <w:spacing w:after="0"/>
              <w:rPr>
                <w:sz w:val="9"/>
                <w:szCs w:val="9"/>
                <w:color w:val="auto"/>
              </w:rPr>
            </w:pPr>
          </w:p>
        </w:tc>
        <w:tc>
          <w:tcPr>
            <w:tcW w:w="5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20" w:type="dxa"/>
            <w:vAlign w:val="bottom"/>
          </w:tcPr>
          <w:p>
            <w:pPr>
              <w:spacing w:after="0"/>
              <w:rPr>
                <w:sz w:val="9"/>
                <w:szCs w:val="9"/>
                <w:color w:val="auto"/>
              </w:rPr>
            </w:pPr>
          </w:p>
        </w:tc>
        <w:tc>
          <w:tcPr>
            <w:tcW w:w="5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6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554.1</w:t>
            </w:r>
          </w:p>
        </w:tc>
        <w:tc>
          <w:tcPr>
            <w:tcW w:w="120" w:type="dxa"/>
            <w:vAlign w:val="bottom"/>
            <w:tcBorders>
              <w:left w:val="single" w:sz="8" w:color="CCEEFF"/>
            </w:tcBorders>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512.9</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6040" w:type="dxa"/>
            <w:vAlign w:val="bottom"/>
            <w:gridSpan w:val="3"/>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040" w:type="dxa"/>
            <w:vAlign w:val="bottom"/>
            <w:tcBorders>
              <w:right w:val="single" w:sz="8" w:color="808080"/>
            </w:tcBorders>
            <w:gridSpan w:val="3"/>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100" w:type="dxa"/>
            <w:vAlign w:val="bottom"/>
            <w:tcBorders>
              <w:left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509"/>
        </w:trPr>
        <w:tc>
          <w:tcPr>
            <w:tcW w:w="6040" w:type="dxa"/>
            <w:vAlign w:val="bottom"/>
            <w:gridSpan w:val="3"/>
          </w:tcPr>
          <w:p>
            <w:pPr>
              <w:spacing w:after="0"/>
              <w:rPr>
                <w:sz w:val="20"/>
                <w:szCs w:val="20"/>
                <w:color w:val="auto"/>
              </w:rPr>
            </w:pPr>
            <w:r>
              <w:rPr>
                <w:rFonts w:ascii="Arial" w:cs="Arial" w:eastAsia="Arial" w:hAnsi="Arial"/>
                <w:sz w:val="14"/>
                <w:szCs w:val="14"/>
                <w:b w:val="1"/>
                <w:bCs w:val="1"/>
                <w:color w:val="auto"/>
              </w:rPr>
              <w:t>Debt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right"/>
              <w:ind w:right="155"/>
              <w:spacing w:after="0"/>
              <w:rPr>
                <w:sz w:val="20"/>
                <w:szCs w:val="20"/>
                <w:color w:val="auto"/>
              </w:rPr>
            </w:pPr>
            <w:r>
              <w:rPr>
                <w:rFonts w:ascii="Arial" w:cs="Arial" w:eastAsia="Arial" w:hAnsi="Arial"/>
                <w:sz w:val="14"/>
                <w:szCs w:val="14"/>
                <w:b w:val="1"/>
                <w:bCs w:val="1"/>
                <w:color w:val="auto"/>
              </w:rPr>
              <w:t>2002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ind w:right="235"/>
              <w:spacing w:after="0"/>
              <w:rPr>
                <w:sz w:val="20"/>
                <w:szCs w:val="20"/>
                <w:color w:val="auto"/>
              </w:rPr>
            </w:pPr>
            <w:r>
              <w:rPr>
                <w:rFonts w:ascii="Arial" w:cs="Arial" w:eastAsia="Arial" w:hAnsi="Arial"/>
                <w:sz w:val="14"/>
                <w:szCs w:val="14"/>
                <w:b w:val="1"/>
                <w:bCs w:val="1"/>
                <w:color w:val="auto"/>
                <w:w w:val="96"/>
              </w:rPr>
              <w:t>2001</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6040" w:type="dxa"/>
            <w:vAlign w:val="bottom"/>
            <w:tcBorders>
              <w:bottom w:val="single" w:sz="8" w:color="808080"/>
            </w:tcBorders>
            <w:gridSpan w:val="3"/>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20" w:type="dxa"/>
            <w:vAlign w:val="bottom"/>
          </w:tcPr>
          <w:p>
            <w:pPr>
              <w:spacing w:after="0"/>
              <w:rPr>
                <w:sz w:val="9"/>
                <w:szCs w:val="9"/>
                <w:color w:val="auto"/>
              </w:rPr>
            </w:pPr>
          </w:p>
        </w:tc>
        <w:tc>
          <w:tcPr>
            <w:tcW w:w="5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60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w w:val="90"/>
              </w:rPr>
              <w:t>Notes payable in periodic installments through July 2015, weighted average interest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0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rate of 2.3% and 2.7%</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241.7</w:t>
            </w:r>
          </w:p>
        </w:tc>
        <w:tc>
          <w:tcPr>
            <w:tcW w:w="120" w:type="dxa"/>
            <w:vAlign w:val="bottom"/>
            <w:tcBorders>
              <w:left w:val="single" w:sz="8" w:color="CCEEFF"/>
            </w:tcBorders>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305.6</w:t>
            </w:r>
          </w:p>
        </w:tc>
        <w:tc>
          <w:tcPr>
            <w:tcW w:w="60" w:type="dxa"/>
            <w:vAlign w:val="bottom"/>
            <w:shd w:val="clear" w:color="auto" w:fill="CCEEFF"/>
          </w:tcPr>
          <w:p>
            <w:pPr>
              <w:spacing w:after="0"/>
              <w:rPr>
                <w:sz w:val="19"/>
                <w:szCs w:val="19"/>
                <w:color w:val="auto"/>
              </w:rPr>
            </w:pPr>
          </w:p>
        </w:tc>
        <w:tc>
          <w:tcPr>
            <w:tcW w:w="10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6040" w:type="dxa"/>
            <w:vAlign w:val="bottom"/>
            <w:gridSpan w:val="3"/>
          </w:tcPr>
          <w:p>
            <w:pPr>
              <w:spacing w:after="0"/>
              <w:rPr>
                <w:sz w:val="20"/>
                <w:szCs w:val="20"/>
                <w:color w:val="auto"/>
              </w:rPr>
            </w:pPr>
            <w:r>
              <w:rPr>
                <w:rFonts w:ascii="Arial" w:cs="Arial" w:eastAsia="Arial" w:hAnsi="Arial"/>
                <w:sz w:val="18"/>
                <w:szCs w:val="18"/>
                <w:color w:val="auto"/>
                <w:w w:val="88"/>
              </w:rPr>
              <w:t>Subordinated notes payable, face amount of $210.0 million and stated interest rate of</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gridSpan w:val="3"/>
          </w:tcPr>
          <w:p>
            <w:pPr>
              <w:spacing w:after="0"/>
              <w:rPr>
                <w:sz w:val="20"/>
                <w:szCs w:val="20"/>
                <w:color w:val="auto"/>
              </w:rPr>
            </w:pPr>
            <w:r>
              <w:rPr>
                <w:rFonts w:ascii="Arial" w:cs="Arial" w:eastAsia="Arial" w:hAnsi="Arial"/>
                <w:sz w:val="18"/>
                <w:szCs w:val="18"/>
                <w:color w:val="auto"/>
              </w:rPr>
              <w:t>6.5%, due October 2005, with an effective yield to maturity of 10.7%, net of</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40" w:type="dxa"/>
            <w:vAlign w:val="bottom"/>
            <w:gridSpan w:val="3"/>
          </w:tcPr>
          <w:p>
            <w:pPr>
              <w:spacing w:after="0"/>
              <w:rPr>
                <w:sz w:val="20"/>
                <w:szCs w:val="20"/>
                <w:color w:val="auto"/>
              </w:rPr>
            </w:pPr>
            <w:r>
              <w:rPr>
                <w:rFonts w:ascii="Arial" w:cs="Arial" w:eastAsia="Arial" w:hAnsi="Arial"/>
                <w:sz w:val="18"/>
                <w:szCs w:val="18"/>
                <w:color w:val="auto"/>
              </w:rPr>
              <w:t>unamortized discount of $22.2 million and $28.1 million</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187.8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181.9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0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w w:val="94"/>
              </w:rPr>
              <w:t>Capitalized lease obligations payable in monthly installments through December</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0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2005, weighted average interest rate of 2.4% and 3.0%</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20" w:type="dxa"/>
            <w:vAlign w:val="bottom"/>
            <w:tcBorders>
              <w:lef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60" w:type="dxa"/>
            <w:vAlign w:val="bottom"/>
            <w:shd w:val="clear" w:color="auto" w:fill="CCEEFF"/>
          </w:tcPr>
          <w:p>
            <w:pPr>
              <w:spacing w:after="0"/>
              <w:rPr>
                <w:sz w:val="19"/>
                <w:szCs w:val="19"/>
                <w:color w:val="auto"/>
              </w:rPr>
            </w:pPr>
          </w:p>
        </w:tc>
        <w:tc>
          <w:tcPr>
            <w:tcW w:w="10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120" w:type="dxa"/>
            <w:vAlign w:val="bottom"/>
          </w:tcPr>
          <w:p>
            <w:pPr>
              <w:spacing w:after="0"/>
              <w:rPr>
                <w:sz w:val="10"/>
                <w:szCs w:val="10"/>
                <w:color w:val="auto"/>
              </w:rPr>
            </w:pPr>
          </w:p>
        </w:tc>
        <w:tc>
          <w:tcPr>
            <w:tcW w:w="5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12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453.9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531.2</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0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(86.2)</w:t>
            </w:r>
          </w:p>
        </w:tc>
        <w:tc>
          <w:tcPr>
            <w:tcW w:w="0" w:type="dxa"/>
            <w:vAlign w:val="bottom"/>
          </w:tcPr>
          <w:p>
            <w:pPr>
              <w:spacing w:after="0"/>
              <w:rPr>
                <w:sz w:val="1"/>
                <w:szCs w:val="1"/>
                <w:color w:val="auto"/>
              </w:rPr>
            </w:pPr>
          </w:p>
        </w:tc>
      </w:tr>
      <w:tr>
        <w:trPr>
          <w:trHeight w:val="118"/>
        </w:trPr>
        <w:tc>
          <w:tcPr>
            <w:tcW w:w="120" w:type="dxa"/>
            <w:vAlign w:val="bottom"/>
          </w:tcPr>
          <w:p>
            <w:pPr>
              <w:spacing w:after="0"/>
              <w:rPr>
                <w:sz w:val="10"/>
                <w:szCs w:val="10"/>
                <w:color w:val="auto"/>
              </w:rPr>
            </w:pPr>
          </w:p>
        </w:tc>
        <w:tc>
          <w:tcPr>
            <w:tcW w:w="5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12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360.8</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445.0</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120" w:type="dxa"/>
            <w:vAlign w:val="bottom"/>
          </w:tcPr>
          <w:p>
            <w:pPr>
              <w:spacing w:after="0"/>
              <w:rPr>
                <w:sz w:val="9"/>
                <w:szCs w:val="9"/>
                <w:color w:val="auto"/>
              </w:rPr>
            </w:pPr>
          </w:p>
        </w:tc>
        <w:tc>
          <w:tcPr>
            <w:tcW w:w="5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20" w:type="dxa"/>
            <w:vAlign w:val="bottom"/>
          </w:tcPr>
          <w:p>
            <w:pPr>
              <w:spacing w:after="0"/>
              <w:rPr>
                <w:sz w:val="5"/>
                <w:szCs w:val="5"/>
                <w:color w:val="auto"/>
              </w:rPr>
            </w:pPr>
          </w:p>
        </w:tc>
        <w:tc>
          <w:tcPr>
            <w:tcW w:w="5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120" w:type="dxa"/>
            <w:vAlign w:val="bottom"/>
            <w:tcBorders>
              <w:lef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-3556000</wp:posOffset>
            </wp:positionV>
            <wp:extent cx="1270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1126490</wp:posOffset>
            </wp:positionH>
            <wp:positionV relativeFrom="paragraph">
              <wp:posOffset>-3556000</wp:posOffset>
            </wp:positionV>
            <wp:extent cx="1270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-3556000</wp:posOffset>
            </wp:positionV>
            <wp:extent cx="1270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-3556000</wp:posOffset>
            </wp:positionV>
            <wp:extent cx="1270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-3556000</wp:posOffset>
            </wp:positionV>
            <wp:extent cx="1270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-3556000</wp:posOffset>
            </wp:positionV>
            <wp:extent cx="1270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-2578735</wp:posOffset>
            </wp:positionV>
            <wp:extent cx="1270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-2578735</wp:posOffset>
            </wp:positionV>
            <wp:extent cx="1270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-2578735</wp:posOffset>
            </wp:positionV>
            <wp:extent cx="1270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-2578735</wp:posOffset>
            </wp:positionV>
            <wp:extent cx="1270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-1866900</wp:posOffset>
            </wp:positionV>
            <wp:extent cx="1270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1057910</wp:posOffset>
            </wp:positionH>
            <wp:positionV relativeFrom="paragraph">
              <wp:posOffset>-1866900</wp:posOffset>
            </wp:positionV>
            <wp:extent cx="1270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-1866900</wp:posOffset>
            </wp:positionV>
            <wp:extent cx="1270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-1866900</wp:posOffset>
            </wp:positionV>
            <wp:extent cx="1270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-1866900</wp:posOffset>
            </wp:positionV>
            <wp:extent cx="1270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-1866900</wp:posOffset>
            </wp:positionV>
            <wp:extent cx="1270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-751840</wp:posOffset>
            </wp:positionV>
            <wp:extent cx="1270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-751840</wp:posOffset>
            </wp:positionV>
            <wp:extent cx="1270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-751840</wp:posOffset>
            </wp:positionV>
            <wp:extent cx="1270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-751840</wp:posOffset>
            </wp:positionV>
            <wp:extent cx="1270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-323215</wp:posOffset>
            </wp:positionV>
            <wp:extent cx="1270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-323215</wp:posOffset>
            </wp:positionV>
            <wp:extent cx="1270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-323215</wp:posOffset>
            </wp:positionV>
            <wp:extent cx="1270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-323215</wp:posOffset>
            </wp:positionV>
            <wp:extent cx="1270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120" w:firstLine="341"/>
        <w:spacing w:after="0" w:line="268" w:lineRule="auto"/>
        <w:rPr>
          <w:sz w:val="20"/>
          <w:szCs w:val="20"/>
          <w:color w:val="auto"/>
        </w:rPr>
      </w:pPr>
      <w:r>
        <w:rPr>
          <w:rFonts w:ascii="Arial" w:cs="Arial" w:eastAsia="Arial" w:hAnsi="Arial"/>
          <w:sz w:val="18"/>
          <w:szCs w:val="18"/>
          <w:color w:val="auto"/>
        </w:rPr>
        <w:t>As of August 29, 2002, notes payable and capital lease obligations of $212.4 million and $20.7 million, respectively, denominated in Japanese Yen, were at weighted average interest rates of 1.6% and 1.8%, respectively.</w:t>
      </w:r>
    </w:p>
    <w:p>
      <w:pPr>
        <w:spacing w:after="0" w:line="186"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color w:val="auto"/>
        </w:rPr>
        <w:t>Certain notes payable are collateralized by property, plant and equipment with a total cost of $102.3 million and accumulated depreciation of $91.9 million as of August 29, 2002. Equipment under capital leases and accumulated amortization thereon were $14.5 million and $5.7 million, respectively, as of August 29, 2002, and $30.3 million and $17.3 million, respectively, as of August 30, 2001.</w:t>
      </w:r>
    </w:p>
    <w:p>
      <w:pPr>
        <w:spacing w:after="0" w:line="194"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Company has pledged $50.0 million, which is included in other noncurrent assets in the accompanying consolidated balance sheet, as cash collateral for a fully drawn revolving line of credit for TECH Semiconductor Singapore Pte. Ltd. (See "Joint Venture" note.)</w:t>
      </w:r>
    </w:p>
    <w:p>
      <w:pPr>
        <w:sectPr>
          <w:pgSz w:w="11900" w:h="16838" w:orient="portrait"/>
          <w:cols w:equalWidth="0" w:num="1">
            <w:col w:w="11380"/>
          </w:cols>
          <w:pgMar w:left="240" w:top="131" w:right="279" w:bottom="522" w:gutter="0" w:footer="0" w:header="0"/>
        </w:sectPr>
      </w:pP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522" w:gutter="0" w:footer="0" w:header="0"/>
          <w:type w:val="continuous"/>
        </w:sectPr>
      </w:pPr>
    </w:p>
    <w:bookmarkStart w:id="24" w:name="page25"/>
    <w:bookmarkEnd w:id="24"/>
    <w:p>
      <w:pPr>
        <w:ind w:left="360"/>
        <w:spacing w:after="0"/>
        <w:rPr>
          <w:sz w:val="20"/>
          <w:szCs w:val="20"/>
          <w:color w:val="auto"/>
        </w:rPr>
      </w:pPr>
      <w:r>
        <w:rPr>
          <w:rFonts w:ascii="Arial" w:cs="Arial" w:eastAsia="Arial" w:hAnsi="Arial"/>
          <w:sz w:val="18"/>
          <w:szCs w:val="18"/>
          <w:color w:val="auto"/>
        </w:rPr>
        <w:t>Payments on notes and capital lease obligations are:</w:t>
      </w:r>
    </w:p>
    <w:p>
      <w:pPr>
        <w:spacing w:after="0" w:line="208" w:lineRule="exact"/>
        <w:rPr>
          <w:sz w:val="20"/>
          <w:szCs w:val="20"/>
          <w:color w:val="auto"/>
        </w:rPr>
      </w:pPr>
    </w:p>
    <w:tbl>
      <w:tblPr>
        <w:tblLayout w:type="fixed"/>
        <w:tblInd w:w="16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Capital</w:t>
            </w:r>
          </w:p>
        </w:tc>
        <w:tc>
          <w:tcPr>
            <w:tcW w:w="0" w:type="dxa"/>
            <w:vAlign w:val="bottom"/>
          </w:tcPr>
          <w:p>
            <w:pPr>
              <w:spacing w:after="0"/>
              <w:rPr>
                <w:sz w:val="1"/>
                <w:szCs w:val="1"/>
                <w:color w:val="auto"/>
              </w:rPr>
            </w:pPr>
          </w:p>
        </w:tc>
      </w:tr>
      <w:tr>
        <w:trPr>
          <w:trHeight w:val="174"/>
        </w:trPr>
        <w:tc>
          <w:tcPr>
            <w:tcW w:w="5760" w:type="dxa"/>
            <w:vAlign w:val="bottom"/>
            <w:gridSpan w:val="2"/>
          </w:tcPr>
          <w:p>
            <w:pPr>
              <w:spacing w:after="0"/>
              <w:rPr>
                <w:sz w:val="20"/>
                <w:szCs w:val="20"/>
                <w:color w:val="auto"/>
              </w:rPr>
            </w:pPr>
            <w:r>
              <w:rPr>
                <w:rFonts w:ascii="Arial" w:cs="Arial" w:eastAsia="Arial" w:hAnsi="Arial"/>
                <w:sz w:val="14"/>
                <w:szCs w:val="14"/>
                <w:b w:val="1"/>
                <w:bCs w:val="1"/>
                <w:color w:val="auto"/>
              </w:rPr>
              <w:t>Fiscal year</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Notes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Leases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7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2003</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2004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2006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232.6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2008 and thereafter</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Discount and interest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w:t>
            </w:r>
          </w:p>
        </w:tc>
        <w:tc>
          <w:tcPr>
            <w:tcW w:w="1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429.5</w:t>
            </w:r>
          </w:p>
        </w:tc>
        <w:tc>
          <w:tcPr>
            <w:tcW w:w="140" w:type="dxa"/>
            <w:vAlign w:val="bottom"/>
          </w:tcPr>
          <w:p>
            <w:pPr>
              <w:spacing w:after="0"/>
              <w:rPr>
                <w:sz w:val="24"/>
                <w:szCs w:val="24"/>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24.4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7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40" w:type="dxa"/>
            <w:vAlign w:val="bottom"/>
            <w:tcBorders>
              <w:right w:val="single" w:sz="8" w:color="808080"/>
            </w:tcBorders>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-1437640</wp:posOffset>
            </wp:positionV>
            <wp:extent cx="1270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1023620</wp:posOffset>
            </wp:positionH>
            <wp:positionV relativeFrom="paragraph">
              <wp:posOffset>-1437640</wp:posOffset>
            </wp:positionV>
            <wp:extent cx="1270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-1437640</wp:posOffset>
            </wp:positionV>
            <wp:extent cx="1270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-1437640</wp:posOffset>
            </wp:positionV>
            <wp:extent cx="1270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-1437640</wp:posOffset>
            </wp:positionV>
            <wp:extent cx="1270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-1437640</wp:posOffset>
            </wp:positionV>
            <wp:extent cx="1270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-323215</wp:posOffset>
            </wp:positionV>
            <wp:extent cx="1270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-323215</wp:posOffset>
            </wp:positionV>
            <wp:extent cx="1270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-323215</wp:posOffset>
            </wp:positionV>
            <wp:extent cx="1270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-323215</wp:posOffset>
            </wp:positionV>
            <wp:extent cx="1270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231" w:lineRule="exact"/>
        <w:rPr>
          <w:sz w:val="20"/>
          <w:szCs w:val="20"/>
          <w:color w:val="auto"/>
        </w:rPr>
      </w:pPr>
    </w:p>
    <w:p>
      <w:pPr>
        <w:ind w:right="460" w:firstLine="351"/>
        <w:spacing w:after="0" w:line="306" w:lineRule="auto"/>
        <w:rPr>
          <w:sz w:val="20"/>
          <w:szCs w:val="20"/>
          <w:color w:val="auto"/>
        </w:rPr>
      </w:pPr>
      <w:r>
        <w:rPr>
          <w:rFonts w:ascii="Arial" w:cs="Arial" w:eastAsia="Arial" w:hAnsi="Arial"/>
          <w:sz w:val="16"/>
          <w:szCs w:val="16"/>
          <w:color w:val="auto"/>
        </w:rPr>
        <w:t>During 2002, the Company expended $52.7 million to acquire product and process technology or patent technology developed by the Company and $9.4 million for other intangible assets with weighted average useful lives of 9 and 5 years, respectively. No significant residual value is estimated for these intangibles. During 2002, the Company recorded goodwill of $12.3 million and, as of August 29, 2002, goodwill was $15.5 million.</w:t>
      </w:r>
    </w:p>
    <w:p>
      <w:pPr>
        <w:spacing w:after="0" w:line="161" w:lineRule="exact"/>
        <w:rPr>
          <w:sz w:val="20"/>
          <w:szCs w:val="20"/>
          <w:color w:val="auto"/>
        </w:rPr>
      </w:pPr>
    </w:p>
    <w:p>
      <w:pPr>
        <w:ind w:right="680" w:firstLine="348"/>
        <w:spacing w:after="0" w:line="268" w:lineRule="auto"/>
        <w:rPr>
          <w:sz w:val="20"/>
          <w:szCs w:val="20"/>
          <w:color w:val="auto"/>
        </w:rPr>
      </w:pPr>
      <w:r>
        <w:rPr>
          <w:rFonts w:ascii="Arial" w:cs="Arial" w:eastAsia="Arial" w:hAnsi="Arial"/>
          <w:sz w:val="18"/>
          <w:szCs w:val="18"/>
          <w:color w:val="auto"/>
        </w:rPr>
        <w:t>The pro forma effect of adopting SFAS No. 142, "Goodwill and Other Intangible Assets," on the Company's historical financial results did not vary significantly from the actual results.</w:t>
      </w:r>
    </w:p>
    <w:p>
      <w:pPr>
        <w:spacing w:after="0" w:line="186" w:lineRule="exact"/>
        <w:rPr>
          <w:sz w:val="20"/>
          <w:szCs w:val="20"/>
          <w:color w:val="auto"/>
        </w:rPr>
      </w:pPr>
    </w:p>
    <w:p>
      <w:pPr>
        <w:ind w:right="340" w:firstLine="341"/>
        <w:spacing w:after="0" w:line="259" w:lineRule="auto"/>
        <w:rPr>
          <w:sz w:val="20"/>
          <w:szCs w:val="20"/>
          <w:color w:val="auto"/>
        </w:rPr>
      </w:pPr>
      <w:r>
        <w:rPr>
          <w:rFonts w:ascii="Arial" w:cs="Arial" w:eastAsia="Arial" w:hAnsi="Arial"/>
          <w:sz w:val="18"/>
          <w:szCs w:val="18"/>
          <w:color w:val="auto"/>
        </w:rPr>
        <w:t>Amortization expense for intangible assets was $47.1 million, $49.2 million and, and $50.3 million in 2002, 2001, and 2000, respectively. Annual amortization expense for intangible assets held as of August 29, 2002 is estimated to be $49.3 million for 2003, $45.2 million in 2004, $42.5 million in 2005, $40.8 million in 2006, and $39.4 million in 2007. Intangible assets consisted of the following: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94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w w:val="86"/>
              </w:rPr>
              <w:t>August 29, 2002</w:t>
            </w:r>
          </w:p>
        </w:tc>
        <w:tc>
          <w:tcPr>
            <w:tcW w:w="180" w:type="dxa"/>
            <w:vAlign w:val="bottom"/>
          </w:tcPr>
          <w:p>
            <w:pPr>
              <w:spacing w:after="0"/>
              <w:rPr>
                <w:sz w:val="15"/>
                <w:szCs w:val="15"/>
                <w:color w:val="auto"/>
              </w:rPr>
            </w:pPr>
          </w:p>
        </w:tc>
        <w:tc>
          <w:tcPr>
            <w:tcW w:w="2780" w:type="dxa"/>
            <w:vAlign w:val="bottom"/>
            <w:gridSpan w:val="5"/>
          </w:tcPr>
          <w:p>
            <w:pPr>
              <w:jc w:val="right"/>
              <w:ind w:right="1080"/>
              <w:spacing w:after="0"/>
              <w:rPr>
                <w:sz w:val="20"/>
                <w:szCs w:val="20"/>
                <w:color w:val="auto"/>
              </w:rPr>
            </w:pPr>
            <w:r>
              <w:rPr>
                <w:rFonts w:ascii="Arial" w:cs="Arial" w:eastAsia="Arial" w:hAnsi="Arial"/>
                <w:sz w:val="14"/>
                <w:szCs w:val="14"/>
                <w:b w:val="1"/>
                <w:bCs w:val="1"/>
                <w:color w:val="auto"/>
              </w:rPr>
              <w:t>August 30, 2001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center"/>
              <w:ind w:right="122"/>
              <w:spacing w:after="0"/>
              <w:rPr>
                <w:sz w:val="20"/>
                <w:szCs w:val="20"/>
                <w:color w:val="auto"/>
              </w:rPr>
            </w:pPr>
            <w:r>
              <w:rPr>
                <w:rFonts w:ascii="Arial" w:cs="Arial" w:eastAsia="Arial" w:hAnsi="Arial"/>
                <w:sz w:val="14"/>
                <w:szCs w:val="14"/>
                <w:b w:val="1"/>
                <w:bCs w:val="1"/>
                <w:color w:val="auto"/>
                <w:w w:val="83"/>
              </w:rPr>
              <w:t>Gross</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center"/>
              <w:ind w:right="122"/>
              <w:spacing w:after="0"/>
              <w:rPr>
                <w:sz w:val="20"/>
                <w:szCs w:val="20"/>
                <w:color w:val="auto"/>
              </w:rPr>
            </w:pPr>
            <w:r>
              <w:rPr>
                <w:rFonts w:ascii="Arial" w:cs="Arial" w:eastAsia="Arial" w:hAnsi="Arial"/>
                <w:sz w:val="14"/>
                <w:szCs w:val="14"/>
                <w:b w:val="1"/>
                <w:bCs w:val="1"/>
                <w:color w:val="auto"/>
                <w:w w:val="78"/>
              </w:rPr>
              <w:t>Gross</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center"/>
              <w:ind w:right="122"/>
              <w:spacing w:after="0" w:line="149" w:lineRule="exact"/>
              <w:rPr>
                <w:sz w:val="20"/>
                <w:szCs w:val="20"/>
                <w:color w:val="auto"/>
              </w:rPr>
            </w:pPr>
            <w:r>
              <w:rPr>
                <w:rFonts w:ascii="Arial" w:cs="Arial" w:eastAsia="Arial" w:hAnsi="Arial"/>
                <w:sz w:val="14"/>
                <w:szCs w:val="14"/>
                <w:b w:val="1"/>
                <w:bCs w:val="1"/>
                <w:color w:val="auto"/>
                <w:w w:val="93"/>
              </w:rPr>
              <w:t>Carrying</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8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2"/>
                <w:szCs w:val="12"/>
                <w:color w:val="auto"/>
              </w:rPr>
            </w:pPr>
          </w:p>
        </w:tc>
        <w:tc>
          <w:tcPr>
            <w:tcW w:w="960" w:type="dxa"/>
            <w:vAlign w:val="bottom"/>
          </w:tcPr>
          <w:p>
            <w:pPr>
              <w:jc w:val="center"/>
              <w:ind w:right="122"/>
              <w:spacing w:after="0" w:line="149" w:lineRule="exact"/>
              <w:rPr>
                <w:sz w:val="20"/>
                <w:szCs w:val="20"/>
                <w:color w:val="auto"/>
              </w:rPr>
            </w:pPr>
            <w:r>
              <w:rPr>
                <w:rFonts w:ascii="Arial" w:cs="Arial" w:eastAsia="Arial" w:hAnsi="Arial"/>
                <w:sz w:val="14"/>
                <w:szCs w:val="14"/>
                <w:b w:val="1"/>
                <w:bCs w:val="1"/>
                <w:color w:val="auto"/>
                <w:w w:val="90"/>
              </w:rPr>
              <w:t>Carrying</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center"/>
              <w:ind w:right="122"/>
              <w:spacing w:after="0"/>
              <w:rPr>
                <w:sz w:val="20"/>
                <w:szCs w:val="20"/>
                <w:color w:val="auto"/>
              </w:rPr>
            </w:pPr>
            <w:r>
              <w:rPr>
                <w:rFonts w:ascii="Arial" w:cs="Arial" w:eastAsia="Arial" w:hAnsi="Arial"/>
                <w:sz w:val="14"/>
                <w:szCs w:val="14"/>
                <w:b w:val="1"/>
                <w:bCs w:val="1"/>
                <w:color w:val="auto"/>
                <w:w w:val="86"/>
              </w:rPr>
              <w:t>Amount</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Amortization</w:t>
            </w:r>
          </w:p>
        </w:tc>
        <w:tc>
          <w:tcPr>
            <w:tcW w:w="180" w:type="dxa"/>
            <w:vAlign w:val="bottom"/>
          </w:tcPr>
          <w:p>
            <w:pPr>
              <w:spacing w:after="0"/>
              <w:rPr>
                <w:sz w:val="15"/>
                <w:szCs w:val="15"/>
                <w:color w:val="auto"/>
              </w:rPr>
            </w:pPr>
          </w:p>
        </w:tc>
        <w:tc>
          <w:tcPr>
            <w:tcW w:w="960" w:type="dxa"/>
            <w:vAlign w:val="bottom"/>
          </w:tcPr>
          <w:p>
            <w:pPr>
              <w:jc w:val="center"/>
              <w:ind w:right="122"/>
              <w:spacing w:after="0"/>
              <w:rPr>
                <w:sz w:val="20"/>
                <w:szCs w:val="20"/>
                <w:color w:val="auto"/>
              </w:rPr>
            </w:pPr>
            <w:r>
              <w:rPr>
                <w:rFonts w:ascii="Arial" w:cs="Arial" w:eastAsia="Arial" w:hAnsi="Arial"/>
                <w:sz w:val="14"/>
                <w:szCs w:val="14"/>
                <w:b w:val="1"/>
                <w:bCs w:val="1"/>
                <w:color w:val="auto"/>
                <w:w w:val="90"/>
              </w:rPr>
              <w:t>Amount</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Product and process technology</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320.5</w:t>
            </w:r>
          </w:p>
        </w:tc>
        <w:tc>
          <w:tcPr>
            <w:tcW w:w="42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79"/>
              </w:rPr>
              <w:t>$</w:t>
            </w:r>
          </w:p>
        </w:tc>
        <w:tc>
          <w:tcPr>
            <w:tcW w:w="15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(91.5)</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271.8</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Joint venture supply arrangement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98.0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(20.6)</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115.5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w:t>
            </w: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433.5</w:t>
            </w:r>
          </w:p>
        </w:tc>
        <w:tc>
          <w:tcPr>
            <w:tcW w:w="420" w:type="dxa"/>
            <w:vAlign w:val="bottom"/>
            <w:gridSpan w:val="2"/>
          </w:tcPr>
          <w:p>
            <w:pPr>
              <w:jc w:val="center"/>
              <w:ind w:left="12"/>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(116.5)</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392.9</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10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260" w:type="dxa"/>
            <w:vAlign w:val="bottom"/>
            <w:tcBorders>
              <w:right w:val="single" w:sz="8" w:color="808080"/>
            </w:tcBorders>
            <w:shd w:val="clear" w:color="auto" w:fill="808080"/>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6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80" w:type="dxa"/>
            <w:vAlign w:val="bottom"/>
            <w:tcBorders>
              <w:right w:val="single" w:sz="8" w:color="808080"/>
            </w:tcBorders>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-1326515</wp:posOffset>
            </wp:positionV>
            <wp:extent cx="1270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3244850</wp:posOffset>
            </wp:positionH>
            <wp:positionV relativeFrom="paragraph">
              <wp:posOffset>-1326515</wp:posOffset>
            </wp:positionV>
            <wp:extent cx="1270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-1326515</wp:posOffset>
            </wp:positionV>
            <wp:extent cx="1270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-1326515</wp:posOffset>
            </wp:positionV>
            <wp:extent cx="1270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-889000</wp:posOffset>
            </wp:positionV>
            <wp:extent cx="1270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3244850</wp:posOffset>
            </wp:positionH>
            <wp:positionV relativeFrom="paragraph">
              <wp:posOffset>-889000</wp:posOffset>
            </wp:positionV>
            <wp:extent cx="1270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-889000</wp:posOffset>
            </wp:positionV>
            <wp:extent cx="1270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-889000</wp:posOffset>
            </wp:positionV>
            <wp:extent cx="1270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-889000</wp:posOffset>
            </wp:positionV>
            <wp:extent cx="1270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-889000</wp:posOffset>
            </wp:positionV>
            <wp:extent cx="1270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-889000</wp:posOffset>
            </wp:positionV>
            <wp:extent cx="1270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-889000</wp:posOffset>
            </wp:positionV>
            <wp:extent cx="1270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-323215</wp:posOffset>
            </wp:positionV>
            <wp:extent cx="1270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3244850</wp:posOffset>
            </wp:positionH>
            <wp:positionV relativeFrom="paragraph">
              <wp:posOffset>-323215</wp:posOffset>
            </wp:positionV>
            <wp:extent cx="1270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-323215</wp:posOffset>
            </wp:positionV>
            <wp:extent cx="1270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-323215</wp:posOffset>
            </wp:positionV>
            <wp:extent cx="1270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-323215</wp:posOffset>
            </wp:positionV>
            <wp:extent cx="1270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-323215</wp:posOffset>
            </wp:positionV>
            <wp:extent cx="1270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-323215</wp:posOffset>
            </wp:positionV>
            <wp:extent cx="1270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-323215</wp:posOffset>
            </wp:positionV>
            <wp:extent cx="1270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231" w:lineRule="exact"/>
        <w:rPr>
          <w:sz w:val="20"/>
          <w:szCs w:val="20"/>
          <w:color w:val="auto"/>
        </w:rPr>
      </w:pPr>
    </w:p>
    <w:p>
      <w:pPr>
        <w:ind w:right="40" w:firstLine="341"/>
        <w:spacing w:after="0" w:line="298" w:lineRule="auto"/>
        <w:rPr>
          <w:sz w:val="20"/>
          <w:szCs w:val="20"/>
          <w:color w:val="auto"/>
        </w:rPr>
      </w:pPr>
      <w:r>
        <w:rPr>
          <w:rFonts w:ascii="Arial" w:cs="Arial" w:eastAsia="Arial" w:hAnsi="Arial"/>
          <w:sz w:val="16"/>
          <w:szCs w:val="16"/>
          <w:color w:val="auto"/>
        </w:rPr>
        <w:t>As of August 29, 2002, the Company had commitments of $579.6 million for the acquisition of property, plant and equipment. The Company leases certain facilities and equipment under operating leases. Total rental expense on all operating leases was $16.2 million, $25.0 million and $23.1 million for 2002, 2001 and 2000, respectively. Minimum future rental commitments under operating leases aggregate $58.6 million as of August 29, 2002, and are payable (in millions): 2003, $12.1; 2004, $6.9; 2005, $5.3; 2006, $3.7; 2007, $3.3; and 2008 and thereafter, $27.8.</w:t>
      </w:r>
    </w:p>
    <w:p>
      <w:pPr>
        <w:spacing w:after="0" w:line="167"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From time to time, others have asserted, and may in the future assert, that the Company's products or processes infringe their product or process technology rights. In this regard, the Company is currently engaged in litigation with Rambus, Inc. ("Rambus") relating to certain patents of Rambus and certain of the Company's claims and defenses. Lawsuits between Rambus and the Company are pending in the United States, Germany, France, the United Kingdom and Italy. The Company is unable to predict the outcome of these suits. A court determination that the Company's manufacturing</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processes or products infringe the product or process rights of others could result in significant liability and/or require the Company to make material changes to its products and/or manufacturing processes. Any of the foregoing results could have a material adverse effect on the Company's business, results of operations or financial condition. The Company has accrued a liability and charged operations for the estimated costs of settlement or adjudication of asserted and unasserted claims for alleged infringement prior to the balance sheet date.</w:t>
      </w:r>
    </w:p>
    <w:p>
      <w:pPr>
        <w:spacing w:after="0" w:line="197" w:lineRule="exact"/>
        <w:rPr>
          <w:sz w:val="20"/>
          <w:szCs w:val="20"/>
          <w:color w:val="auto"/>
        </w:rPr>
      </w:pPr>
    </w:p>
    <w:p>
      <w:pPr>
        <w:ind w:firstLine="351"/>
        <w:spacing w:after="0" w:line="310" w:lineRule="auto"/>
        <w:rPr>
          <w:sz w:val="20"/>
          <w:szCs w:val="20"/>
          <w:color w:val="auto"/>
        </w:rPr>
      </w:pPr>
      <w:r>
        <w:rPr>
          <w:rFonts w:ascii="Arial" w:cs="Arial" w:eastAsia="Arial" w:hAnsi="Arial"/>
          <w:sz w:val="15"/>
          <w:szCs w:val="15"/>
          <w:color w:val="auto"/>
        </w:rPr>
        <w:t>On June 17, 2002, the Company received a grand jury subpoena from the U.S. District Court for the Northern District of California seeking information regarding an investigation by the Antitrust Division of the Department of Justice (the "DOJ") into possible antitrust violations in the "Dynamic Random Access Memory" or "DRAM" industry. The Company is cooperating fully with the DOJ in its investigation. Subsequent to the commencement of the DOJ investigation, 21 purported class action lawsuits were filed against the Company and other DRAM suppliers in various federal and state courts alleging violations of the Federal Sherman Antitrust Act or California's Cartwright Antitrust Act and Unfair Competition Law relating to the sale and pricing of DRAM products. The complaints seek treble damages for the alleged damages sustained by purported class members, in addition to restitution, costs and attorneys' fees, as well as an injunction against the allegedly unlawful conduct. The Company is unable to predict the outcome of these suits. A court determination that the Company has violated federal or state antitrust laws could result in significant liability and could have a material adverse effect on the Company's results of operations or financial condition.</w:t>
      </w:r>
    </w:p>
    <w:p>
      <w:pPr>
        <w:spacing w:after="0" w:line="162"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Company is currently a party to various other legal actions arising out of the normal course of business, none of which is expected to have a material effect on the Company's financial position or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Redeemable Common Stock</w:t>
      </w:r>
    </w:p>
    <w:p>
      <w:pPr>
        <w:sectPr>
          <w:pgSz w:w="11900" w:h="16838" w:orient="portrait"/>
          <w:cols w:equalWidth="0" w:num="1">
            <w:col w:w="11400"/>
          </w:cols>
          <w:pgMar w:left="240" w:top="131" w:right="259" w:bottom="0" w:gutter="0" w:footer="0" w:header="0"/>
        </w:sectPr>
      </w:pPr>
    </w:p>
    <w:bookmarkStart w:id="25" w:name="page26"/>
    <w:bookmarkEnd w:id="25"/>
    <w:p>
      <w:pPr>
        <w:ind w:right="80" w:firstLine="351"/>
        <w:spacing w:after="0" w:line="294" w:lineRule="auto"/>
        <w:rPr>
          <w:sz w:val="20"/>
          <w:szCs w:val="20"/>
          <w:color w:val="auto"/>
        </w:rPr>
      </w:pPr>
      <w:r>
        <w:rPr>
          <w:rFonts w:ascii="Arial" w:cs="Arial" w:eastAsia="Arial" w:hAnsi="Arial"/>
          <w:sz w:val="16"/>
          <w:szCs w:val="16"/>
          <w:color w:val="auto"/>
        </w:rPr>
        <w:t>In connection with the issuance of the 1.5 million shares of common stock for the Toshiba DRAM Acquisition, the Company granted Toshiba an option to require the Company to repurchase on October 21, 2003, all of these shares for $67.5 million in cash. The option expires if the closing price of the Company's common stock is at or above $45.05 per share for 20 consecutive days. The carrying value of the redeemable common stock is accreted to its redemption amount of $67.5 million by a charge directly to retained earnings and is included in the computations of earning per share. Accretion of redeemable common stock was $2.1 million in 2002. (See "Acquisitions—Toshiba Corporation DRAM Assets" note.)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Equity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During the fourth quarter of 2001, the Company received $480.2 million from the issuance of warrants to purchase 29.1 million shares of the Company's common stock. The warrants entitle the holders to exercise their warrants and purchase shares of Common Stock for $56.00 per share (the "Exercise Price") at any time through May 15, 2008 (the "Expiration Date"). Warrants exercised prior to the Expiration Date will be settled on a "net share" basis, wherein investors receive common stock equal to the difference between $56.00 and the average closing sale price for the common shares over the 30 trading days immediately preceding the Exercise Date. At expiration, the Company may elect to settle the warrants on a net share basis or for cash, provided certain conditions are satisfied. As of August 29, 2002, there have been no exercises of warrants and all warrants issued remain outstanding.</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Accumulated other comprehensive income (loss), net of tax, consists of:</w:t>
      </w:r>
    </w:p>
    <w:p>
      <w:pPr>
        <w:spacing w:after="0" w:line="221"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ind w:right="177"/>
              <w:spacing w:after="0"/>
              <w:rPr>
                <w:sz w:val="20"/>
                <w:szCs w:val="20"/>
                <w:color w:val="auto"/>
              </w:rPr>
            </w:pPr>
            <w:r>
              <w:rPr>
                <w:rFonts w:ascii="Arial" w:cs="Arial" w:eastAsia="Arial" w:hAnsi="Arial"/>
                <w:sz w:val="14"/>
                <w:szCs w:val="14"/>
                <w:b w:val="1"/>
                <w:bCs w:val="1"/>
                <w:color w:val="auto"/>
              </w:rPr>
              <w:t>2002</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177"/>
              <w:spacing w:after="0"/>
              <w:rPr>
                <w:sz w:val="20"/>
                <w:szCs w:val="20"/>
                <w:color w:val="auto"/>
              </w:rPr>
            </w:pPr>
            <w:r>
              <w:rPr>
                <w:rFonts w:ascii="Arial" w:cs="Arial" w:eastAsia="Arial" w:hAnsi="Arial"/>
                <w:sz w:val="14"/>
                <w:szCs w:val="14"/>
                <w:b w:val="1"/>
                <w:bCs w:val="1"/>
                <w:color w:val="auto"/>
              </w:rPr>
              <w:t>2001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Unrealized gain (loss) on investments</w:t>
            </w: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income (loss)</w:t>
            </w:r>
          </w:p>
        </w:tc>
        <w:tc>
          <w:tcPr>
            <w:tcW w:w="1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1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5466080</wp:posOffset>
            </wp:positionH>
            <wp:positionV relativeFrom="paragraph">
              <wp:posOffset>-768985</wp:posOffset>
            </wp:positionV>
            <wp:extent cx="1270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-768985</wp:posOffset>
            </wp:positionV>
            <wp:extent cx="1270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-768985</wp:posOffset>
            </wp:positionV>
            <wp:extent cx="1270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-768985</wp:posOffset>
            </wp:positionV>
            <wp:extent cx="1270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-340360</wp:posOffset>
            </wp:positionV>
            <wp:extent cx="1270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-340360</wp:posOffset>
            </wp:positionV>
            <wp:extent cx="1270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-340360</wp:posOffset>
            </wp:positionV>
            <wp:extent cx="1270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-340360</wp:posOffset>
            </wp:positionV>
            <wp:extent cx="1270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Plans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Plans</w:t>
      </w:r>
    </w:p>
    <w:p>
      <w:pPr>
        <w:spacing w:after="0" w:line="225" w:lineRule="exact"/>
        <w:rPr>
          <w:sz w:val="20"/>
          <w:szCs w:val="20"/>
          <w:color w:val="auto"/>
        </w:rPr>
      </w:pPr>
    </w:p>
    <w:p>
      <w:pPr>
        <w:ind w:right="60" w:firstLine="341"/>
        <w:spacing w:after="0" w:line="291" w:lineRule="auto"/>
        <w:rPr>
          <w:sz w:val="20"/>
          <w:szCs w:val="20"/>
          <w:color w:val="auto"/>
        </w:rPr>
      </w:pPr>
      <w:r>
        <w:rPr>
          <w:rFonts w:ascii="Arial" w:cs="Arial" w:eastAsia="Arial" w:hAnsi="Arial"/>
          <w:sz w:val="16"/>
          <w:szCs w:val="16"/>
          <w:color w:val="auto"/>
        </w:rPr>
        <w:t>As of August 29, 2002, the Company had an aggregate of 112.9 million shares of its common stock reserved for issuance under its various stock option plans, of which 80.4 million shares are subject to outstanding options and 32.5 million shares are available for future grants. Options are subject to terms and conditions as determined by the Company's Board of Directors. Stock options granted after June 16, 1999, are exercisable in increments of 25% during each year of employment beginning one year from the date of grant. Stock options granted prior to June 16, 1999, are exercisable in increments of 20% during each year of employment beginning one year from the date of grant. All stock options issued prior to January 19, 1998, expire six years from the date of grant and all subsequent options granted expire ten years from the date of grant.</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Option activity under the Company's stock option plans is summarized: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gridSpan w:val="2"/>
          </w:tcPr>
          <w:p>
            <w:pPr>
              <w:jc w:val="right"/>
              <w:spacing w:after="0"/>
              <w:rPr>
                <w:sz w:val="20"/>
                <w:szCs w:val="20"/>
                <w:color w:val="auto"/>
              </w:rPr>
            </w:pPr>
            <w:r>
              <w:rPr>
                <w:rFonts w:ascii="Arial" w:cs="Arial" w:eastAsia="Arial" w:hAnsi="Arial"/>
                <w:sz w:val="14"/>
                <w:szCs w:val="14"/>
                <w:b w:val="1"/>
                <w:bCs w:val="1"/>
                <w:color w:val="auto"/>
                <w:w w:val="83"/>
              </w:rPr>
              <w:t>2002</w:t>
            </w: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gridSpan w:val="2"/>
          </w:tcPr>
          <w:p>
            <w:pPr>
              <w:ind w:left="20"/>
              <w:spacing w:after="0"/>
              <w:rPr>
                <w:sz w:val="20"/>
                <w:szCs w:val="20"/>
                <w:color w:val="auto"/>
              </w:rPr>
            </w:pPr>
            <w:r>
              <w:rPr>
                <w:rFonts w:ascii="Arial" w:cs="Arial" w:eastAsia="Arial" w:hAnsi="Arial"/>
                <w:sz w:val="14"/>
                <w:szCs w:val="14"/>
                <w:b w:val="1"/>
                <w:bCs w:val="1"/>
                <w:color w:val="auto"/>
                <w:w w:val="83"/>
              </w:rPr>
              <w:t>2001</w:t>
            </w: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gridSpan w:val="2"/>
          </w:tcPr>
          <w:p>
            <w:pPr>
              <w:ind w:left="20"/>
              <w:spacing w:after="0"/>
              <w:rPr>
                <w:sz w:val="20"/>
                <w:szCs w:val="20"/>
                <w:color w:val="auto"/>
              </w:rPr>
            </w:pPr>
            <w:r>
              <w:rPr>
                <w:rFonts w:ascii="Arial" w:cs="Arial" w:eastAsia="Arial" w:hAnsi="Arial"/>
                <w:sz w:val="14"/>
                <w:szCs w:val="14"/>
                <w:b w:val="1"/>
                <w:bCs w:val="1"/>
                <w:color w:val="auto"/>
                <w:w w:val="83"/>
              </w:rPr>
              <w:t>2000</w:t>
            </w: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40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center"/>
              <w:ind w:right="160"/>
              <w:spacing w:after="0"/>
              <w:rPr>
                <w:sz w:val="20"/>
                <w:szCs w:val="20"/>
                <w:color w:val="auto"/>
              </w:rPr>
            </w:pPr>
            <w:r>
              <w:rPr>
                <w:rFonts w:ascii="Arial" w:cs="Arial" w:eastAsia="Arial" w:hAnsi="Arial"/>
                <w:sz w:val="14"/>
                <w:szCs w:val="14"/>
                <w:b w:val="1"/>
                <w:bCs w:val="1"/>
                <w:color w:val="auto"/>
                <w:w w:val="85"/>
              </w:rPr>
              <w:t>Weighted</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center"/>
              <w:ind w:right="180"/>
              <w:spacing w:after="0"/>
              <w:rPr>
                <w:sz w:val="20"/>
                <w:szCs w:val="20"/>
                <w:color w:val="auto"/>
              </w:rPr>
            </w:pPr>
            <w:r>
              <w:rPr>
                <w:rFonts w:ascii="Arial" w:cs="Arial" w:eastAsia="Arial" w:hAnsi="Arial"/>
                <w:sz w:val="14"/>
                <w:szCs w:val="14"/>
                <w:b w:val="1"/>
                <w:bCs w:val="1"/>
                <w:color w:val="auto"/>
                <w:w w:val="88"/>
              </w:rPr>
              <w:t>Weighted</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average</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average</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w w:val="81"/>
              </w:rPr>
              <w:t>exercise</w:t>
            </w:r>
          </w:p>
        </w:tc>
        <w:tc>
          <w:tcPr>
            <w:tcW w:w="22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Number</w:t>
            </w: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w w:val="81"/>
              </w:rPr>
              <w:t>exercise</w:t>
            </w:r>
          </w:p>
        </w:tc>
        <w:tc>
          <w:tcPr>
            <w:tcW w:w="22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Number</w:t>
            </w: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1"/>
              </w:rPr>
              <w:t>exercise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9"/>
              </w:rPr>
              <w:t>of shares</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center"/>
              <w:ind w:right="160"/>
              <w:spacing w:after="0"/>
              <w:rPr>
                <w:sz w:val="20"/>
                <w:szCs w:val="20"/>
                <w:color w:val="auto"/>
              </w:rPr>
            </w:pPr>
            <w:r>
              <w:rPr>
                <w:rFonts w:ascii="Arial" w:cs="Arial" w:eastAsia="Arial" w:hAnsi="Arial"/>
                <w:sz w:val="14"/>
                <w:szCs w:val="14"/>
                <w:b w:val="1"/>
                <w:bCs w:val="1"/>
                <w:color w:val="auto"/>
                <w:w w:val="89"/>
              </w:rPr>
              <w:t>price</w:t>
            </w:r>
          </w:p>
        </w:tc>
        <w:tc>
          <w:tcPr>
            <w:tcW w:w="22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9"/>
              </w:rPr>
              <w:t>of shares</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center"/>
              <w:ind w:right="180"/>
              <w:spacing w:after="0"/>
              <w:rPr>
                <w:sz w:val="20"/>
                <w:szCs w:val="20"/>
                <w:color w:val="auto"/>
              </w:rPr>
            </w:pPr>
            <w:r>
              <w:rPr>
                <w:rFonts w:ascii="Arial" w:cs="Arial" w:eastAsia="Arial" w:hAnsi="Arial"/>
                <w:sz w:val="14"/>
                <w:szCs w:val="14"/>
                <w:b w:val="1"/>
                <w:bCs w:val="1"/>
                <w:color w:val="auto"/>
                <w:w w:val="83"/>
              </w:rPr>
              <w:t>price</w:t>
            </w:r>
          </w:p>
        </w:tc>
        <w:tc>
          <w:tcPr>
            <w:tcW w:w="220" w:type="dxa"/>
            <w:vAlign w:val="bottom"/>
          </w:tcPr>
          <w:p>
            <w:pPr>
              <w:spacing w:after="0"/>
              <w:rPr>
                <w:sz w:val="15"/>
                <w:szCs w:val="15"/>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9"/>
              </w:rPr>
              <w:t>of shares</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price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40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28.39</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spacing w:after="0"/>
              <w:rPr>
                <w:sz w:val="20"/>
                <w:szCs w:val="20"/>
                <w:color w:val="auto"/>
              </w:rPr>
            </w:pPr>
            <w:r>
              <w:rPr>
                <w:rFonts w:ascii="Arial" w:cs="Arial" w:eastAsia="Arial" w:hAnsi="Arial"/>
                <w:sz w:val="18"/>
                <w:szCs w:val="18"/>
                <w:color w:val="auto"/>
              </w:rPr>
              <w:t>24.5</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22.20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20.4</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35.80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17.2</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Cancelled or expired</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30.97</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30.08</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(2.0)</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40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end of year</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4420" w:type="dxa"/>
            <w:vAlign w:val="bottom"/>
            <w:gridSpan w:val="2"/>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420" w:type="dxa"/>
            <w:vAlign w:val="bottom"/>
            <w:gridSpan w:val="2"/>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4420" w:type="dxa"/>
            <w:vAlign w:val="bottom"/>
            <w:gridSpan w:val="2"/>
          </w:tcPr>
          <w:p>
            <w:pPr>
              <w:spacing w:after="0"/>
              <w:rPr>
                <w:sz w:val="20"/>
                <w:szCs w:val="20"/>
                <w:color w:val="auto"/>
              </w:rPr>
            </w:pPr>
            <w:r>
              <w:rPr>
                <w:rFonts w:ascii="Arial" w:cs="Arial" w:eastAsia="Arial" w:hAnsi="Arial"/>
                <w:sz w:val="18"/>
                <w:szCs w:val="18"/>
                <w:color w:val="auto"/>
              </w:rPr>
              <w:t>Exercisable at end of year</w:t>
            </w:r>
          </w:p>
        </w:tc>
        <w:tc>
          <w:tcPr>
            <w:tcW w:w="780" w:type="dxa"/>
            <w:vAlign w:val="bottom"/>
          </w:tcPr>
          <w:p>
            <w:pPr>
              <w:jc w:val="right"/>
              <w:spacing w:after="0"/>
              <w:rPr>
                <w:sz w:val="20"/>
                <w:szCs w:val="20"/>
                <w:color w:val="auto"/>
              </w:rPr>
            </w:pPr>
            <w:r>
              <w:rPr>
                <w:rFonts w:ascii="Arial" w:cs="Arial" w:eastAsia="Arial" w:hAnsi="Arial"/>
                <w:sz w:val="18"/>
                <w:szCs w:val="18"/>
                <w:color w:val="auto"/>
              </w:rPr>
              <w:t>28.6</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26.43</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16.6</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22.61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9.9</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17.64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4033520</wp:posOffset>
            </wp:positionH>
            <wp:positionV relativeFrom="paragraph">
              <wp:posOffset>-1760220</wp:posOffset>
            </wp:positionV>
            <wp:extent cx="1270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2807335</wp:posOffset>
            </wp:positionH>
            <wp:positionV relativeFrom="paragraph">
              <wp:posOffset>-1760220</wp:posOffset>
            </wp:positionV>
            <wp:extent cx="1270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-1760220</wp:posOffset>
            </wp:positionV>
            <wp:extent cx="1270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-1760220</wp:posOffset>
            </wp:positionV>
            <wp:extent cx="1270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-1760220</wp:posOffset>
            </wp:positionV>
            <wp:extent cx="1270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-1760220</wp:posOffset>
            </wp:positionV>
            <wp:extent cx="1270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-1228725</wp:posOffset>
            </wp:positionV>
            <wp:extent cx="1270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2807335</wp:posOffset>
            </wp:positionH>
            <wp:positionV relativeFrom="paragraph">
              <wp:posOffset>-1228725</wp:posOffset>
            </wp:positionV>
            <wp:extent cx="1270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-1228725</wp:posOffset>
            </wp:positionV>
            <wp:extent cx="1270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-1228725</wp:posOffset>
            </wp:positionV>
            <wp:extent cx="1270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-1228725</wp:posOffset>
            </wp:positionV>
            <wp:extent cx="1270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-1228725</wp:posOffset>
            </wp:positionV>
            <wp:extent cx="1270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-1228725</wp:posOffset>
            </wp:positionV>
            <wp:extent cx="1270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-1228725</wp:posOffset>
            </wp:positionV>
            <wp:extent cx="1270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-1228725</wp:posOffset>
            </wp:positionV>
            <wp:extent cx="1270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-1228725</wp:posOffset>
            </wp:positionV>
            <wp:extent cx="1270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-1228725</wp:posOffset>
            </wp:positionV>
            <wp:extent cx="1270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-1228725</wp:posOffset>
            </wp:positionV>
            <wp:extent cx="1270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-525780</wp:posOffset>
            </wp:positionV>
            <wp:extent cx="1270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2807335</wp:posOffset>
            </wp:positionH>
            <wp:positionV relativeFrom="paragraph">
              <wp:posOffset>-525780</wp:posOffset>
            </wp:positionV>
            <wp:extent cx="1270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-525780</wp:posOffset>
            </wp:positionV>
            <wp:extent cx="1270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-525780</wp:posOffset>
            </wp:positionV>
            <wp:extent cx="1270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-525780</wp:posOffset>
            </wp:positionV>
            <wp:extent cx="1270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-525780</wp:posOffset>
            </wp:positionV>
            <wp:extent cx="1270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information about options outstanding as of August 29, 2002: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w w:val="89"/>
              </w:rPr>
              <w:t>Outstanding options</w:t>
            </w: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14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84"/>
              </w:rPr>
              <w:t>Exercisable options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Weighted</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average</w:t>
            </w: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remaining</w:t>
            </w: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ind w:right="18"/>
              <w:spacing w:after="0" w:line="149" w:lineRule="exact"/>
              <w:rPr>
                <w:sz w:val="20"/>
                <w:szCs w:val="20"/>
                <w:color w:val="auto"/>
              </w:rPr>
            </w:pPr>
            <w:r>
              <w:rPr>
                <w:rFonts w:ascii="Arial" w:cs="Arial" w:eastAsia="Arial" w:hAnsi="Arial"/>
                <w:sz w:val="14"/>
                <w:szCs w:val="14"/>
                <w:b w:val="1"/>
                <w:bCs w:val="1"/>
                <w:color w:val="auto"/>
                <w:w w:val="99"/>
              </w:rPr>
              <w:t>Number of</w:t>
            </w:r>
          </w:p>
        </w:tc>
        <w:tc>
          <w:tcPr>
            <w:tcW w:w="200" w:type="dxa"/>
            <w:vAlign w:val="bottom"/>
          </w:tcPr>
          <w:p>
            <w:pPr>
              <w:spacing w:after="0"/>
              <w:rPr>
                <w:sz w:val="12"/>
                <w:szCs w:val="12"/>
                <w:color w:val="auto"/>
              </w:rPr>
            </w:pPr>
          </w:p>
        </w:tc>
        <w:tc>
          <w:tcPr>
            <w:tcW w:w="12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contractual life</w:t>
            </w:r>
          </w:p>
        </w:tc>
        <w:tc>
          <w:tcPr>
            <w:tcW w:w="1400" w:type="dxa"/>
            <w:vAlign w:val="bottom"/>
            <w:gridSpan w:val="3"/>
          </w:tcPr>
          <w:p>
            <w:pPr>
              <w:jc w:val="right"/>
              <w:ind w:right="340"/>
              <w:spacing w:after="0" w:line="149" w:lineRule="exact"/>
              <w:rPr>
                <w:sz w:val="20"/>
                <w:szCs w:val="20"/>
                <w:color w:val="auto"/>
              </w:rPr>
            </w:pPr>
            <w:r>
              <w:rPr>
                <w:rFonts w:ascii="Arial" w:cs="Arial" w:eastAsia="Arial" w:hAnsi="Arial"/>
                <w:sz w:val="14"/>
                <w:szCs w:val="14"/>
                <w:b w:val="1"/>
                <w:bCs w:val="1"/>
                <w:color w:val="auto"/>
                <w:w w:val="86"/>
              </w:rPr>
              <w:t>Weighted average</w:t>
            </w: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Number of</w:t>
            </w:r>
          </w:p>
        </w:tc>
        <w:tc>
          <w:tcPr>
            <w:tcW w:w="11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Weighted average</w:t>
            </w:r>
          </w:p>
        </w:tc>
        <w:tc>
          <w:tcPr>
            <w:tcW w:w="0" w:type="dxa"/>
            <w:vAlign w:val="bottom"/>
          </w:tcPr>
          <w:p>
            <w:pPr>
              <w:spacing w:after="0"/>
              <w:rPr>
                <w:sz w:val="1"/>
                <w:szCs w:val="1"/>
                <w:color w:val="auto"/>
              </w:rPr>
            </w:pPr>
          </w:p>
        </w:tc>
      </w:tr>
      <w:tr>
        <w:trPr>
          <w:trHeight w:val="174"/>
        </w:trPr>
        <w:tc>
          <w:tcPr>
            <w:tcW w:w="4400" w:type="dxa"/>
            <w:vAlign w:val="bottom"/>
            <w:gridSpan w:val="3"/>
          </w:tcPr>
          <w:p>
            <w:pPr>
              <w:spacing w:after="0"/>
              <w:rPr>
                <w:sz w:val="20"/>
                <w:szCs w:val="20"/>
                <w:color w:val="auto"/>
              </w:rPr>
            </w:pPr>
            <w:r>
              <w:rPr>
                <w:rFonts w:ascii="Arial" w:cs="Arial" w:eastAsia="Arial" w:hAnsi="Arial"/>
                <w:sz w:val="14"/>
                <w:szCs w:val="14"/>
                <w:b w:val="1"/>
                <w:bCs w:val="1"/>
                <w:color w:val="auto"/>
              </w:rPr>
              <w:t>Range of exercise prices</w:t>
            </w:r>
          </w:p>
        </w:tc>
        <w:tc>
          <w:tcPr>
            <w:tcW w:w="820" w:type="dxa"/>
            <w:vAlign w:val="bottom"/>
          </w:tcPr>
          <w:p>
            <w:pPr>
              <w:jc w:val="right"/>
              <w:ind w:right="138"/>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5"/>
                <w:szCs w:val="15"/>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(in years)</w:t>
            </w:r>
          </w:p>
        </w:tc>
        <w:tc>
          <w:tcPr>
            <w:tcW w:w="120" w:type="dxa"/>
            <w:vAlign w:val="bottom"/>
          </w:tcPr>
          <w:p>
            <w:pPr>
              <w:spacing w:after="0"/>
              <w:rPr>
                <w:sz w:val="15"/>
                <w:szCs w:val="15"/>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5"/>
              </w:rPr>
              <w:t>exercise price</w:t>
            </w: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shares</w:t>
            </w:r>
          </w:p>
        </w:tc>
        <w:tc>
          <w:tcPr>
            <w:tcW w:w="120" w:type="dxa"/>
            <w:vAlign w:val="bottom"/>
          </w:tcPr>
          <w:p>
            <w:pPr>
              <w:spacing w:after="0"/>
              <w:rPr>
                <w:sz w:val="15"/>
                <w:szCs w:val="15"/>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3"/>
              </w:rPr>
              <w:t>exercise price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$0.28 - $14.02</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10.14</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$14.02 - $22.89</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34.7</w:t>
            </w:r>
          </w:p>
        </w:tc>
        <w:tc>
          <w:tcPr>
            <w:tcW w:w="1420" w:type="dxa"/>
            <w:vAlign w:val="bottom"/>
            <w:gridSpan w:val="3"/>
          </w:tcPr>
          <w:p>
            <w:pPr>
              <w:jc w:val="right"/>
              <w:ind w:right="20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18.64</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$22.89 - $34.06</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4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28.42</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13.7</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$34.06 - $40.06</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8.5</w:t>
            </w:r>
          </w:p>
        </w:tc>
        <w:tc>
          <w:tcPr>
            <w:tcW w:w="1420" w:type="dxa"/>
            <w:vAlign w:val="bottom"/>
            <w:gridSpan w:val="3"/>
          </w:tcPr>
          <w:p>
            <w:pPr>
              <w:jc w:val="right"/>
              <w:ind w:right="200"/>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36.84</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$40.06 - $96.56</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4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65.58</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-1480820</wp:posOffset>
            </wp:positionV>
            <wp:extent cx="1270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2790190</wp:posOffset>
            </wp:positionH>
            <wp:positionV relativeFrom="paragraph">
              <wp:posOffset>-1480820</wp:posOffset>
            </wp:positionV>
            <wp:extent cx="1270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-1480820</wp:posOffset>
            </wp:positionV>
            <wp:extent cx="1270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-1480820</wp:posOffset>
            </wp:positionV>
            <wp:extent cx="1270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2644140</wp:posOffset>
            </wp:positionH>
            <wp:positionV relativeFrom="paragraph">
              <wp:posOffset>-854710</wp:posOffset>
            </wp:positionV>
            <wp:extent cx="1270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-854710</wp:posOffset>
            </wp:positionV>
            <wp:extent cx="1270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3304540</wp:posOffset>
            </wp:positionH>
            <wp:positionV relativeFrom="paragraph">
              <wp:posOffset>-854710</wp:posOffset>
            </wp:positionV>
            <wp:extent cx="1270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2790190</wp:posOffset>
            </wp:positionH>
            <wp:positionV relativeFrom="paragraph">
              <wp:posOffset>-854710</wp:posOffset>
            </wp:positionV>
            <wp:extent cx="1270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-854710</wp:posOffset>
            </wp:positionV>
            <wp:extent cx="1270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3441700</wp:posOffset>
            </wp:positionH>
            <wp:positionV relativeFrom="paragraph">
              <wp:posOffset>-854710</wp:posOffset>
            </wp:positionV>
            <wp:extent cx="1270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-854710</wp:posOffset>
            </wp:positionV>
            <wp:extent cx="1270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-854710</wp:posOffset>
            </wp:positionV>
            <wp:extent cx="1270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-854710</wp:posOffset>
            </wp:positionV>
            <wp:extent cx="1270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-854710</wp:posOffset>
            </wp:positionV>
            <wp:extent cx="1270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-854710</wp:posOffset>
            </wp:positionV>
            <wp:extent cx="1270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-854710</wp:posOffset>
            </wp:positionV>
            <wp:extent cx="1270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3304540</wp:posOffset>
            </wp:positionH>
            <wp:positionV relativeFrom="paragraph">
              <wp:posOffset>-14605</wp:posOffset>
            </wp:positionV>
            <wp:extent cx="1270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2790190</wp:posOffset>
            </wp:positionH>
            <wp:positionV relativeFrom="paragraph">
              <wp:posOffset>-14605</wp:posOffset>
            </wp:positionV>
            <wp:extent cx="1270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-14605</wp:posOffset>
            </wp:positionV>
            <wp:extent cx="1270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-14605</wp:posOffset>
            </wp:positionV>
            <wp:extent cx="1270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00"/>
          </w:cols>
          <w:pgMar w:left="240" w:top="131" w:right="259" w:bottom="0" w:gutter="0" w:footer="0" w:header="0"/>
        </w:sectPr>
      </w:pPr>
    </w:p>
    <w:bookmarkStart w:id="26" w:name="page27"/>
    <w:bookmarkEnd w:id="26"/>
    <w:p>
      <w:pPr>
        <w:ind w:left="4920"/>
        <w:spacing w:after="0"/>
        <w:tabs>
          <w:tab w:leader="none" w:pos="6200" w:val="left"/>
          <w:tab w:leader="none" w:pos="7340" w:val="left"/>
          <w:tab w:leader="none" w:pos="8520" w:val="left"/>
          <w:tab w:leader="none" w:pos="9740" w:val="left"/>
        </w:tabs>
        <w:rPr>
          <w:sz w:val="20"/>
          <w:szCs w:val="20"/>
          <w:color w:val="auto"/>
        </w:rPr>
      </w:pPr>
      <w:r>
        <w:rPr>
          <w:rFonts w:ascii="Arial" w:cs="Arial" w:eastAsia="Arial" w:hAnsi="Arial"/>
          <w:sz w:val="18"/>
          <w:szCs w:val="18"/>
          <w:color w:val="auto"/>
        </w:rPr>
        <w:t>80.4</w:t>
      </w:r>
      <w:r>
        <w:rPr>
          <w:sz w:val="20"/>
          <w:szCs w:val="20"/>
          <w:color w:val="auto"/>
        </w:rPr>
        <w:tab/>
      </w:r>
      <w:r>
        <w:rPr>
          <w:rFonts w:ascii="Arial" w:cs="Arial" w:eastAsia="Arial" w:hAnsi="Arial"/>
          <w:sz w:val="18"/>
          <w:szCs w:val="18"/>
          <w:color w:val="auto"/>
        </w:rPr>
        <w:t>7.1</w:t>
      </w:r>
      <w:r>
        <w:rPr>
          <w:sz w:val="20"/>
          <w:szCs w:val="20"/>
          <w:color w:val="auto"/>
        </w:rPr>
        <w:tab/>
      </w:r>
      <w:r>
        <w:rPr>
          <w:rFonts w:ascii="Arial" w:cs="Arial" w:eastAsia="Arial" w:hAnsi="Arial"/>
          <w:sz w:val="18"/>
          <w:szCs w:val="18"/>
          <w:color w:val="auto"/>
        </w:rPr>
        <w:t>26.96</w:t>
      </w:r>
      <w:r>
        <w:rPr>
          <w:sz w:val="20"/>
          <w:szCs w:val="20"/>
          <w:color w:val="auto"/>
        </w:rPr>
        <w:tab/>
      </w:r>
      <w:r>
        <w:rPr>
          <w:rFonts w:ascii="Arial" w:cs="Arial" w:eastAsia="Arial" w:hAnsi="Arial"/>
          <w:sz w:val="18"/>
          <w:szCs w:val="18"/>
          <w:color w:val="auto"/>
        </w:rPr>
        <w:t>28.6</w:t>
      </w:r>
      <w:r>
        <w:rPr>
          <w:sz w:val="20"/>
          <w:szCs w:val="20"/>
          <w:color w:val="auto"/>
        </w:rPr>
        <w:tab/>
      </w:r>
      <w:r>
        <w:rPr>
          <w:rFonts w:ascii="Arial" w:cs="Arial" w:eastAsia="Arial" w:hAnsi="Arial"/>
          <w:sz w:val="15"/>
          <w:szCs w:val="15"/>
          <w:color w:val="auto"/>
        </w:rPr>
        <w:t>26.43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2790190</wp:posOffset>
            </wp:positionH>
            <wp:positionV relativeFrom="paragraph">
              <wp:posOffset>77470</wp:posOffset>
            </wp:positionV>
            <wp:extent cx="527050" cy="3873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527050" cy="3873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77470</wp:posOffset>
            </wp:positionV>
            <wp:extent cx="518795" cy="3873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518795" cy="387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Purchase Plan</w:t>
      </w:r>
    </w:p>
    <w:p>
      <w:pPr>
        <w:spacing w:after="0" w:line="225" w:lineRule="exact"/>
        <w:rPr>
          <w:sz w:val="20"/>
          <w:szCs w:val="20"/>
          <w:color w:val="auto"/>
        </w:rPr>
      </w:pPr>
    </w:p>
    <w:p>
      <w:pPr>
        <w:ind w:right="260" w:firstLine="348"/>
        <w:spacing w:after="0" w:line="298" w:lineRule="auto"/>
        <w:rPr>
          <w:sz w:val="20"/>
          <w:szCs w:val="20"/>
          <w:color w:val="auto"/>
        </w:rPr>
      </w:pPr>
      <w:r>
        <w:rPr>
          <w:rFonts w:ascii="Arial" w:cs="Arial" w:eastAsia="Arial" w:hAnsi="Arial"/>
          <w:sz w:val="16"/>
          <w:szCs w:val="16"/>
          <w:color w:val="auto"/>
        </w:rPr>
        <w:t>The Company's 1989 Employee Stock Purchase Plan ("ESPP") allows eligible employees to purchase shares of the Company's common stock through payroll deductions. The shares can be purchased for 85% of the lower of the beginning or ending closing stock prices of each offering period and can be resold when purchased. Purchases are limited to 20% of an employee's eligible compensation. As of August 29, 2002, 15.7 million shares of the Company's common stock had been issued under the ESPP and 2.8 million shares were available for future issuance under the plan.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Directors Stock Incentive Plan</w:t>
      </w:r>
    </w:p>
    <w:p>
      <w:pPr>
        <w:spacing w:after="0" w:line="225" w:lineRule="exact"/>
        <w:rPr>
          <w:sz w:val="20"/>
          <w:szCs w:val="20"/>
          <w:color w:val="auto"/>
        </w:rPr>
      </w:pPr>
    </w:p>
    <w:p>
      <w:pPr>
        <w:ind w:right="60" w:firstLine="341"/>
        <w:spacing w:after="0" w:line="259" w:lineRule="auto"/>
        <w:rPr>
          <w:sz w:val="20"/>
          <w:szCs w:val="20"/>
          <w:color w:val="auto"/>
        </w:rPr>
      </w:pPr>
      <w:r>
        <w:rPr>
          <w:rFonts w:ascii="Arial" w:cs="Arial" w:eastAsia="Arial" w:hAnsi="Arial"/>
          <w:sz w:val="18"/>
          <w:szCs w:val="18"/>
          <w:color w:val="auto"/>
        </w:rPr>
        <w:t>As of August 29, 2002, 9,117 shares of the Company's common stock had been issued under the 1998 Non-Employee Directors Stock Incentive Plan ("DSIP Plan") and 490,883 shares were reserved for future issuance under the DSIP Plan. Shares are issued under the DSIP plan as compensation to non-employee directors of the Company.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right="400" w:firstLine="348"/>
        <w:spacing w:after="0" w:line="259" w:lineRule="auto"/>
        <w:rPr>
          <w:sz w:val="20"/>
          <w:szCs w:val="20"/>
          <w:color w:val="auto"/>
        </w:rPr>
      </w:pPr>
      <w:r>
        <w:rPr>
          <w:rFonts w:ascii="Arial" w:cs="Arial" w:eastAsia="Arial" w:hAnsi="Arial"/>
          <w:sz w:val="18"/>
          <w:szCs w:val="18"/>
          <w:color w:val="auto"/>
        </w:rPr>
        <w:t>The Company recognized $1.4 million, $0.3 million and $3.9 million of stock-based compensation in 2002, 2001 and 2000, respectively. The following presents pro forma income and per share data as if a fair value-based accounting method (using the Black-Scholes option valuation model) had been used to account for stock-based compensation:</w:t>
      </w:r>
    </w:p>
    <w:p>
      <w:pPr>
        <w:spacing w:after="0" w:line="190" w:lineRule="exact"/>
        <w:rPr>
          <w:sz w:val="20"/>
          <w:szCs w:val="20"/>
          <w:color w:val="auto"/>
        </w:rPr>
      </w:pPr>
    </w:p>
    <w:tbl>
      <w:tblPr>
        <w:tblLayout w:type="fixed"/>
        <w:tblInd w:w="15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ind w:right="357"/>
              <w:spacing w:after="0"/>
              <w:rPr>
                <w:sz w:val="20"/>
                <w:szCs w:val="20"/>
                <w:color w:val="auto"/>
              </w:rPr>
            </w:pPr>
            <w:r>
              <w:rPr>
                <w:rFonts w:ascii="Arial" w:cs="Arial" w:eastAsia="Arial" w:hAnsi="Arial"/>
                <w:sz w:val="14"/>
                <w:szCs w:val="14"/>
                <w:b w:val="1"/>
                <w:bCs w:val="1"/>
                <w:color w:val="auto"/>
              </w:rPr>
              <w:t>2002</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297"/>
              <w:spacing w:after="0"/>
              <w:rPr>
                <w:sz w:val="20"/>
                <w:szCs w:val="20"/>
                <w:color w:val="auto"/>
              </w:rPr>
            </w:pPr>
            <w:r>
              <w:rPr>
                <w:rFonts w:ascii="Arial" w:cs="Arial" w:eastAsia="Arial" w:hAnsi="Arial"/>
                <w:sz w:val="14"/>
                <w:szCs w:val="14"/>
                <w:b w:val="1"/>
                <w:bCs w:val="1"/>
                <w:color w:val="auto"/>
              </w:rPr>
              <w:t>2001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37"/>
              <w:spacing w:after="0"/>
              <w:rPr>
                <w:sz w:val="20"/>
                <w:szCs w:val="20"/>
                <w:color w:val="auto"/>
              </w:rPr>
            </w:pPr>
            <w:r>
              <w:rPr>
                <w:rFonts w:ascii="Arial" w:cs="Arial" w:eastAsia="Arial" w:hAnsi="Arial"/>
                <w:sz w:val="14"/>
                <w:szCs w:val="14"/>
                <w:b w:val="1"/>
                <w:bCs w:val="1"/>
                <w:color w:val="auto"/>
              </w:rPr>
              <w:t>2000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Pro forma income (loss) from continuing operations</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(1,286.0)</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(746.9)</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w w:val="96"/>
              </w:rPr>
              <w:t>Pro forma basic earnings (loss) per share from continuing</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60" w:type="dxa"/>
            <w:vAlign w:val="bottom"/>
            <w:gridSpan w:val="2"/>
          </w:tcPr>
          <w:p>
            <w:pPr>
              <w:spacing w:after="0"/>
              <w:rPr>
                <w:sz w:val="20"/>
                <w:szCs w:val="20"/>
                <w:color w:val="auto"/>
              </w:rPr>
            </w:pPr>
            <w:r>
              <w:rPr>
                <w:rFonts w:ascii="Arial" w:cs="Arial" w:eastAsia="Arial" w:hAnsi="Arial"/>
                <w:sz w:val="18"/>
                <w:szCs w:val="18"/>
                <w:color w:val="auto"/>
              </w:rPr>
              <w:t>operations</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w w:val="94"/>
              </w:rPr>
              <w:t>Pro forma diluted earnings (loss) per share from continuing</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operations</w:t>
            </w: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-767080</wp:posOffset>
            </wp:positionV>
            <wp:extent cx="1270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-767080</wp:posOffset>
            </wp:positionV>
            <wp:extent cx="1270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-767080</wp:posOffset>
            </wp:positionV>
            <wp:extent cx="1270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-767080</wp:posOffset>
            </wp:positionV>
            <wp:extent cx="1270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-767080</wp:posOffset>
            </wp:positionV>
            <wp:extent cx="1270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-767080</wp:posOffset>
            </wp:positionV>
            <wp:extent cx="1270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ind w:right="560" w:firstLine="341"/>
        <w:spacing w:after="0" w:line="268" w:lineRule="auto"/>
        <w:rPr>
          <w:sz w:val="20"/>
          <w:szCs w:val="20"/>
          <w:color w:val="auto"/>
        </w:rPr>
      </w:pPr>
      <w:r>
        <w:rPr>
          <w:rFonts w:ascii="Arial" w:cs="Arial" w:eastAsia="Arial" w:hAnsi="Arial"/>
          <w:sz w:val="18"/>
          <w:szCs w:val="18"/>
          <w:color w:val="auto"/>
        </w:rPr>
        <w:t>Assumptions used in the Black-Scholes option valuation model to estimate the value of the Company's options included in the pro forma amounts are presented below:</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4"/>
              </w:rPr>
              <w:t>Stock option</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2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3"/>
              </w:rPr>
              <w:t>Employee stock</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4"/>
              </w:rPr>
              <w:t>plan shares</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0" w:type="dxa"/>
            <w:vAlign w:val="bottom"/>
            <w:gridSpan w:val="6"/>
          </w:tcPr>
          <w:p>
            <w:pPr>
              <w:jc w:val="right"/>
              <w:ind w:right="140"/>
              <w:spacing w:after="0"/>
              <w:rPr>
                <w:sz w:val="20"/>
                <w:szCs w:val="20"/>
                <w:color w:val="auto"/>
              </w:rPr>
            </w:pPr>
            <w:r>
              <w:rPr>
                <w:rFonts w:ascii="Arial" w:cs="Arial" w:eastAsia="Arial" w:hAnsi="Arial"/>
                <w:sz w:val="14"/>
                <w:szCs w:val="14"/>
                <w:b w:val="1"/>
                <w:bCs w:val="1"/>
                <w:color w:val="auto"/>
              </w:rPr>
              <w:t>purchase plan shares</w:t>
            </w: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0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0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ind w:right="214"/>
              <w:spacing w:after="0"/>
              <w:rPr>
                <w:sz w:val="20"/>
                <w:szCs w:val="20"/>
                <w:color w:val="auto"/>
              </w:rPr>
            </w:pPr>
            <w:r>
              <w:rPr>
                <w:rFonts w:ascii="Arial" w:cs="Arial" w:eastAsia="Arial" w:hAnsi="Arial"/>
                <w:sz w:val="14"/>
                <w:szCs w:val="14"/>
                <w:b w:val="1"/>
                <w:bCs w:val="1"/>
                <w:color w:val="auto"/>
              </w:rPr>
              <w:t>2002</w:t>
            </w: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center"/>
              <w:ind w:right="16"/>
              <w:spacing w:after="0"/>
              <w:rPr>
                <w:sz w:val="20"/>
                <w:szCs w:val="20"/>
                <w:color w:val="auto"/>
              </w:rPr>
            </w:pPr>
            <w:r>
              <w:rPr>
                <w:rFonts w:ascii="Arial" w:cs="Arial" w:eastAsia="Arial" w:hAnsi="Arial"/>
                <w:sz w:val="14"/>
                <w:szCs w:val="14"/>
                <w:b w:val="1"/>
                <w:bCs w:val="1"/>
                <w:color w:val="auto"/>
                <w:w w:val="83"/>
              </w:rPr>
              <w:t>2001</w:t>
            </w: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34"/>
              <w:spacing w:after="0"/>
              <w:rPr>
                <w:sz w:val="20"/>
                <w:szCs w:val="20"/>
                <w:color w:val="auto"/>
              </w:rPr>
            </w:pPr>
            <w:r>
              <w:rPr>
                <w:rFonts w:ascii="Arial" w:cs="Arial" w:eastAsia="Arial" w:hAnsi="Arial"/>
                <w:sz w:val="14"/>
                <w:szCs w:val="14"/>
                <w:b w:val="1"/>
                <w:bCs w:val="1"/>
                <w:color w:val="auto"/>
              </w:rPr>
              <w:t>2000</w:t>
            </w: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ind w:right="216"/>
              <w:spacing w:after="0"/>
              <w:rPr>
                <w:sz w:val="20"/>
                <w:szCs w:val="20"/>
                <w:color w:val="auto"/>
              </w:rPr>
            </w:pPr>
            <w:r>
              <w:rPr>
                <w:rFonts w:ascii="Arial" w:cs="Arial" w:eastAsia="Arial" w:hAnsi="Arial"/>
                <w:sz w:val="14"/>
                <w:szCs w:val="14"/>
                <w:b w:val="1"/>
                <w:bCs w:val="1"/>
                <w:color w:val="auto"/>
              </w:rPr>
              <w:t>2002</w:t>
            </w: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34"/>
              <w:spacing w:after="0"/>
              <w:rPr>
                <w:sz w:val="20"/>
                <w:szCs w:val="20"/>
                <w:color w:val="auto"/>
              </w:rPr>
            </w:pPr>
            <w:r>
              <w:rPr>
                <w:rFonts w:ascii="Arial" w:cs="Arial" w:eastAsia="Arial" w:hAnsi="Arial"/>
                <w:sz w:val="14"/>
                <w:szCs w:val="14"/>
                <w:b w:val="1"/>
                <w:bCs w:val="1"/>
                <w:color w:val="auto"/>
              </w:rPr>
              <w:t>2001</w:t>
            </w: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jc w:val="right"/>
              <w:ind w:right="134"/>
              <w:spacing w:after="0"/>
              <w:rPr>
                <w:sz w:val="20"/>
                <w:szCs w:val="20"/>
                <w:color w:val="auto"/>
              </w:rPr>
            </w:pPr>
            <w:r>
              <w:rPr>
                <w:rFonts w:ascii="Arial" w:cs="Arial" w:eastAsia="Arial" w:hAnsi="Arial"/>
                <w:sz w:val="14"/>
                <w:szCs w:val="14"/>
                <w:b w:val="1"/>
                <w:bCs w:val="1"/>
                <w:color w:val="auto"/>
              </w:rPr>
              <w:t>2000</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0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Average expected life in years</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3.50</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Expected volatility</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78%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64%</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69%</w:t>
            </w: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(zero coupon U.S. Treasury note)</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Weighted average fair value at grant:</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Exercise price equal to market price</w:t>
            </w:r>
          </w:p>
        </w:tc>
        <w:tc>
          <w:tcPr>
            <w:tcW w:w="2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16.92</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18.77</w:t>
            </w: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19.50</w:t>
            </w:r>
          </w:p>
        </w:tc>
        <w:tc>
          <w:tcPr>
            <w:tcW w:w="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20" w:type="dxa"/>
            <w:vAlign w:val="bottom"/>
          </w:tcPr>
          <w:p>
            <w:pPr>
              <w:ind w:left="220"/>
              <w:spacing w:after="0"/>
              <w:rPr>
                <w:sz w:val="20"/>
                <w:szCs w:val="20"/>
                <w:color w:val="auto"/>
              </w:rPr>
            </w:pPr>
            <w:r>
              <w:rPr>
                <w:rFonts w:ascii="Arial" w:cs="Arial" w:eastAsia="Arial" w:hAnsi="Arial"/>
                <w:sz w:val="18"/>
                <w:szCs w:val="18"/>
                <w:color w:val="auto"/>
              </w:rPr>
              <w:t>Exercise price less than market price</w:t>
            </w:r>
          </w:p>
        </w:tc>
        <w:tc>
          <w:tcPr>
            <w:tcW w:w="20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22.51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6.51</w:t>
            </w:r>
          </w:p>
        </w:tc>
        <w:tc>
          <w:tcPr>
            <w:tcW w:w="180" w:type="dxa"/>
            <w:vAlign w:val="bottom"/>
          </w:tcPr>
          <w:p>
            <w:pPr>
              <w:spacing w:after="0"/>
              <w:rPr>
                <w:sz w:val="19"/>
                <w:szCs w:val="19"/>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9.12</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Exercise price greater than market price</w:t>
            </w:r>
          </w:p>
        </w:tc>
        <w:tc>
          <w:tcPr>
            <w:tcW w:w="2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15.61</w:t>
            </w: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14.54</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Weighted average exercise price:</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Exercise price equal to market price</w:t>
            </w:r>
          </w:p>
        </w:tc>
        <w:tc>
          <w:tcPr>
            <w:tcW w:w="2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22.25</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35.67</w:t>
            </w: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38.10</w:t>
            </w:r>
          </w:p>
        </w:tc>
        <w:tc>
          <w:tcPr>
            <w:tcW w:w="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20" w:type="dxa"/>
            <w:vAlign w:val="bottom"/>
          </w:tcPr>
          <w:p>
            <w:pPr>
              <w:ind w:left="220"/>
              <w:spacing w:after="0"/>
              <w:rPr>
                <w:sz w:val="20"/>
                <w:szCs w:val="20"/>
                <w:color w:val="auto"/>
              </w:rPr>
            </w:pPr>
            <w:r>
              <w:rPr>
                <w:rFonts w:ascii="Arial" w:cs="Arial" w:eastAsia="Arial" w:hAnsi="Arial"/>
                <w:sz w:val="18"/>
                <w:szCs w:val="18"/>
                <w:color w:val="auto"/>
              </w:rPr>
              <w:t>Exercise price less than market price</w:t>
            </w:r>
          </w:p>
        </w:tc>
        <w:tc>
          <w:tcPr>
            <w:tcW w:w="20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41.42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16.97</w:t>
            </w:r>
          </w:p>
        </w:tc>
        <w:tc>
          <w:tcPr>
            <w:tcW w:w="180" w:type="dxa"/>
            <w:vAlign w:val="bottom"/>
          </w:tcPr>
          <w:p>
            <w:pPr>
              <w:spacing w:after="0"/>
              <w:rPr>
                <w:sz w:val="19"/>
                <w:szCs w:val="19"/>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31.51</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30.73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Exercise price greater than market price</w:t>
            </w: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20.78</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43.11</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-1941830</wp:posOffset>
            </wp:positionV>
            <wp:extent cx="1270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-1941830</wp:posOffset>
            </wp:positionV>
            <wp:extent cx="1270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-1941830</wp:posOffset>
            </wp:positionV>
            <wp:extent cx="1270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-1941830</wp:posOffset>
            </wp:positionV>
            <wp:extent cx="1270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-1692910</wp:posOffset>
            </wp:positionV>
            <wp:extent cx="1270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-1692910</wp:posOffset>
            </wp:positionV>
            <wp:extent cx="1270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-1692910</wp:posOffset>
            </wp:positionV>
            <wp:extent cx="1270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-1692910</wp:posOffset>
            </wp:positionV>
            <wp:extent cx="1270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-1692910</wp:posOffset>
            </wp:positionV>
            <wp:extent cx="1270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-1692910</wp:posOffset>
            </wp:positionV>
            <wp:extent cx="1270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-1692910</wp:posOffset>
            </wp:positionV>
            <wp:extent cx="1270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-1692910</wp:posOffset>
            </wp:positionV>
            <wp:extent cx="1270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-1692910</wp:posOffset>
            </wp:positionV>
            <wp:extent cx="1270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-1692910</wp:posOffset>
            </wp:positionV>
            <wp:extent cx="1270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-1692910</wp:posOffset>
            </wp:positionV>
            <wp:extent cx="1270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-1692910</wp:posOffset>
            </wp:positionV>
            <wp:extent cx="1270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The Black-Scholes option valuation model was developed for use in estimating the fair value of traded options which have no vesting restrictions and are fully transferable. In addition, the Black-Scholes model requires the input of subjective assumptions, including the expected stock price volatility and option life. Because the Company's stock options granted to employees have characteristics significantly different from those of traded options and because changes in the subjective input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color w:val="auto"/>
        </w:rPr>
        <w:t>assumptions can materially affect the fair value estimate, in management's opinion existing models do not provide a reliable measure of the fair value of the Company's stock options granted to employees. For purposes of this valuation model, no dividends have been assumed.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Savings Plan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 has a 401(k) retirement plan ("RAM Plan") under which employees may contribute up to 45% of their eligible pay to various savings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alternatives, none of which include direct investment in the Company's common stock. The Company's contribution provides for an annual match of the first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$1,500 of eligible employee contributions, in addition to contributions based on the Company's financial performance. Contribution expense for the Company's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RAM Plan was $12.8 million, $16.9 million and $20.7 million in 2002, 2001 and 2000,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Operating (Income) Expense</w:t>
      </w:r>
    </w:p>
    <w:p>
      <w:pPr>
        <w:sectPr>
          <w:pgSz w:w="11900" w:h="16838" w:orient="portrait"/>
          <w:cols w:equalWidth="0" w:num="1">
            <w:col w:w="11420"/>
          </w:cols>
          <w:pgMar w:left="240" w:top="131" w:right="239" w:bottom="167" w:gutter="0" w:footer="0" w:header="0"/>
        </w:sectPr>
      </w:pPr>
    </w:p>
    <w:bookmarkStart w:id="27" w:name="page28"/>
    <w:bookmarkEnd w:id="27"/>
    <w:p>
      <w:pPr>
        <w:ind w:firstLine="351"/>
        <w:spacing w:after="0" w:line="298" w:lineRule="auto"/>
        <w:rPr>
          <w:sz w:val="20"/>
          <w:szCs w:val="20"/>
          <w:color w:val="auto"/>
        </w:rPr>
      </w:pPr>
      <w:r>
        <w:rPr>
          <w:rFonts w:ascii="Arial" w:cs="Arial" w:eastAsia="Arial" w:hAnsi="Arial"/>
          <w:sz w:val="16"/>
          <w:szCs w:val="16"/>
          <w:color w:val="auto"/>
        </w:rPr>
        <w:t>Other operating expense for 2002 includes losses of $27.3 million, net of gains, on write-downs and disposals of semiconductor equipment. Other operating expense for 2001 includes losses of $44.2 million from the write-off of certain costs related to the Company's Lehi facility and losses of $19.6 million, net of gains, on write-downs and disposals of semiconductor equipment. Other operating income for 2000 includes a gain of $42.0 million on the sale of the Company's facility located in Richardson, Texas, and losses of $22.7 million, net of gains, on write-downs and disposals of other semiconductor equipment.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Non-Operating Income (Expense)</w:t>
      </w:r>
    </w:p>
    <w:p>
      <w:pPr>
        <w:spacing w:after="0" w:line="231" w:lineRule="exact"/>
        <w:rPr>
          <w:sz w:val="20"/>
          <w:szCs w:val="20"/>
          <w:color w:val="auto"/>
        </w:rPr>
      </w:pPr>
    </w:p>
    <w:p>
      <w:pPr>
        <w:jc w:val="both"/>
        <w:ind w:right="160" w:firstLine="351"/>
        <w:spacing w:after="0" w:line="259" w:lineRule="auto"/>
        <w:rPr>
          <w:sz w:val="20"/>
          <w:szCs w:val="20"/>
          <w:color w:val="auto"/>
        </w:rPr>
      </w:pPr>
      <w:r>
        <w:rPr>
          <w:rFonts w:ascii="Arial" w:cs="Arial" w:eastAsia="Arial" w:hAnsi="Arial"/>
          <w:sz w:val="18"/>
          <w:szCs w:val="18"/>
          <w:color w:val="auto"/>
        </w:rPr>
        <w:t>Other non-operating expense for 2001 includes a charge of $92.4 million to write down the carrying value of the Company's equity interest in Interland to market value. Selling, general and administrative expense for 2001 includes a charge of $94.1 million for the market value of the Interland stock contributed to the Foundation. As of August 30, 2001, the Company no longer held an investment in Interland.</w:t>
      </w:r>
    </w:p>
    <w:p>
      <w:pPr>
        <w:spacing w:after="0" w:line="194"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Other non-operating expense for 2001 includes charges totaling $11.6 million for market value adjustments to long-term fixed-price derivative financial instruments to purchase electricity and natural gas.</w:t>
      </w:r>
    </w:p>
    <w:p>
      <w:pPr>
        <w:spacing w:after="0" w:line="186" w:lineRule="exact"/>
        <w:rPr>
          <w:sz w:val="20"/>
          <w:szCs w:val="20"/>
          <w:color w:val="auto"/>
        </w:rPr>
      </w:pPr>
    </w:p>
    <w:p>
      <w:pPr>
        <w:jc w:val="both"/>
        <w:ind w:right="140" w:firstLine="351"/>
        <w:spacing w:after="0" w:line="259" w:lineRule="auto"/>
        <w:rPr>
          <w:sz w:val="20"/>
          <w:szCs w:val="20"/>
          <w:color w:val="auto"/>
        </w:rPr>
      </w:pPr>
      <w:r>
        <w:rPr>
          <w:rFonts w:ascii="Arial" w:cs="Arial" w:eastAsia="Arial" w:hAnsi="Arial"/>
          <w:sz w:val="18"/>
          <w:szCs w:val="18"/>
          <w:color w:val="auto"/>
        </w:rPr>
        <w:t>In 2000, the Company recognized a gain in other non-operating income of $14.2 million on its contribution of 2.3 million shares of MEI common stock to the Foundation. Selling, general and administrative expense for 2000 includes a contribution charge of $24.9 million for the market value of the Interland stock contributed to the Foundation.</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Income tax (provision) benefit consists of:</w:t>
      </w:r>
    </w:p>
    <w:p>
      <w:pPr>
        <w:spacing w:after="0" w:line="221" w:lineRule="exact"/>
        <w:rPr>
          <w:sz w:val="20"/>
          <w:szCs w:val="20"/>
          <w:color w:val="auto"/>
        </w:rPr>
      </w:pPr>
    </w:p>
    <w:tbl>
      <w:tblPr>
        <w:tblLayout w:type="fixed"/>
        <w:tblInd w:w="15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ind w:right="234"/>
              <w:spacing w:after="0"/>
              <w:rPr>
                <w:sz w:val="20"/>
                <w:szCs w:val="20"/>
                <w:color w:val="auto"/>
              </w:rPr>
            </w:pPr>
            <w:r>
              <w:rPr>
                <w:rFonts w:ascii="Arial" w:cs="Arial" w:eastAsia="Arial" w:hAnsi="Arial"/>
                <w:sz w:val="14"/>
                <w:szCs w:val="14"/>
                <w:b w:val="1"/>
                <w:bCs w:val="1"/>
                <w:color w:val="auto"/>
              </w:rPr>
              <w:t>2002</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34"/>
              <w:spacing w:after="0"/>
              <w:rPr>
                <w:sz w:val="20"/>
                <w:szCs w:val="20"/>
                <w:color w:val="auto"/>
              </w:rPr>
            </w:pPr>
            <w:r>
              <w:rPr>
                <w:rFonts w:ascii="Arial" w:cs="Arial" w:eastAsia="Arial" w:hAnsi="Arial"/>
                <w:sz w:val="14"/>
                <w:szCs w:val="14"/>
                <w:b w:val="1"/>
                <w:bCs w:val="1"/>
                <w:color w:val="auto"/>
              </w:rPr>
              <w:t>2001</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4"/>
              <w:spacing w:after="0"/>
              <w:rPr>
                <w:sz w:val="20"/>
                <w:szCs w:val="20"/>
                <w:color w:val="auto"/>
              </w:rPr>
            </w:pPr>
            <w:r>
              <w:rPr>
                <w:rFonts w:ascii="Arial" w:cs="Arial" w:eastAsia="Arial" w:hAnsi="Arial"/>
                <w:sz w:val="14"/>
                <w:szCs w:val="14"/>
                <w:b w:val="1"/>
                <w:bCs w:val="1"/>
                <w:color w:val="auto"/>
              </w:rPr>
              <w:t>2000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20" w:type="dxa"/>
            <w:vAlign w:val="bottom"/>
          </w:tcPr>
          <w:p>
            <w:pPr>
              <w:ind w:left="240"/>
              <w:spacing w:after="0"/>
              <w:rPr>
                <w:sz w:val="20"/>
                <w:szCs w:val="20"/>
                <w:color w:val="auto"/>
              </w:rPr>
            </w:pPr>
            <w:r>
              <w:rPr>
                <w:rFonts w:ascii="Arial" w:cs="Arial" w:eastAsia="Arial" w:hAnsi="Arial"/>
                <w:sz w:val="18"/>
                <w:szCs w:val="18"/>
                <w:color w:val="auto"/>
              </w:rPr>
              <w:t>U.S. federal</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121.8</w:t>
            </w:r>
          </w:p>
        </w:tc>
        <w:tc>
          <w:tcPr>
            <w:tcW w:w="240" w:type="dxa"/>
            <w:vAlign w:val="bottom"/>
          </w:tcPr>
          <w:p>
            <w:pPr>
              <w:spacing w:after="0"/>
              <w:rPr>
                <w:sz w:val="19"/>
                <w:szCs w:val="19"/>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414.9</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(718.6)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Borders>
              <w:bottom w:val="single" w:sz="8" w:color="CCEEFF"/>
              <w:right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State</w:t>
            </w:r>
          </w:p>
        </w:tc>
        <w:tc>
          <w:tcPr>
            <w:tcW w:w="1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w:t>
            </w:r>
          </w:p>
        </w:tc>
        <w:tc>
          <w:tcPr>
            <w:tcW w:w="2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w:t>
            </w:r>
          </w:p>
        </w:tc>
        <w:tc>
          <w:tcPr>
            <w:tcW w:w="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20" w:type="dxa"/>
            <w:vAlign w:val="bottom"/>
          </w:tcPr>
          <w:p>
            <w:pPr>
              <w:ind w:left="240"/>
              <w:spacing w:after="0"/>
              <w:rPr>
                <w:sz w:val="20"/>
                <w:szCs w:val="20"/>
                <w:color w:val="auto"/>
              </w:rPr>
            </w:pPr>
            <w:r>
              <w:rPr>
                <w:rFonts w:ascii="Arial" w:cs="Arial" w:eastAsia="Arial" w:hAnsi="Arial"/>
                <w:sz w:val="18"/>
                <w:szCs w:val="18"/>
                <w:color w:val="auto"/>
              </w:rPr>
              <w:t>Foreign</w:t>
            </w:r>
          </w:p>
        </w:tc>
        <w:tc>
          <w:tcPr>
            <w:tcW w:w="18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(16.3)</w:t>
            </w:r>
          </w:p>
        </w:tc>
        <w:tc>
          <w:tcPr>
            <w:tcW w:w="18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720" w:type="dxa"/>
            <w:vAlign w:val="bottom"/>
            <w:tcBorders>
              <w:bottom w:val="single" w:sz="8" w:color="808080"/>
            </w:tcBorders>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Borders>
              <w:bottom w:val="single" w:sz="8" w:color="808080"/>
            </w:tcBorders>
          </w:tcPr>
          <w:p>
            <w:pPr>
              <w:spacing w:after="0"/>
              <w:rPr>
                <w:sz w:val="12"/>
                <w:szCs w:val="12"/>
                <w:color w:val="auto"/>
              </w:rPr>
            </w:pPr>
          </w:p>
        </w:tc>
        <w:tc>
          <w:tcPr>
            <w:tcW w:w="720" w:type="dxa"/>
            <w:vAlign w:val="bottom"/>
            <w:tcBorders>
              <w:bottom w:val="single" w:sz="8" w:color="808080"/>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660" w:type="dxa"/>
            <w:vAlign w:val="bottom"/>
            <w:tcBorders>
              <w:bottom w:val="single" w:sz="8" w:color="808080"/>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(784.9)</w:t>
            </w:r>
          </w:p>
        </w:tc>
        <w:tc>
          <w:tcPr>
            <w:tcW w:w="0" w:type="dxa"/>
            <w:vAlign w:val="bottom"/>
          </w:tcPr>
          <w:p>
            <w:pPr>
              <w:spacing w:after="0"/>
              <w:rPr>
                <w:sz w:val="1"/>
                <w:szCs w:val="1"/>
                <w:color w:val="auto"/>
              </w:rPr>
            </w:pPr>
          </w:p>
        </w:tc>
      </w:tr>
      <w:tr>
        <w:trPr>
          <w:trHeight w:val="118"/>
        </w:trPr>
        <w:tc>
          <w:tcPr>
            <w:tcW w:w="5240" w:type="dxa"/>
            <w:vAlign w:val="bottom"/>
            <w:gridSpan w:val="2"/>
            <w:vMerge w:val="restart"/>
          </w:tcPr>
          <w:p>
            <w:pPr>
              <w:spacing w:after="0"/>
              <w:rPr>
                <w:sz w:val="20"/>
                <w:szCs w:val="20"/>
                <w:color w:val="auto"/>
              </w:rPr>
            </w:pPr>
            <w:r>
              <w:rPr>
                <w:rFonts w:ascii="Arial" w:cs="Arial" w:eastAsia="Arial" w:hAnsi="Arial"/>
                <w:sz w:val="18"/>
                <w:szCs w:val="18"/>
                <w:color w:val="auto"/>
              </w:rPr>
              <w:t>Deferred:</w:t>
            </w:r>
          </w:p>
        </w:tc>
        <w:tc>
          <w:tcPr>
            <w:tcW w:w="1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524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20" w:type="dxa"/>
            <w:vAlign w:val="bottom"/>
            <w:tcBorders>
              <w:bottom w:val="single" w:sz="8" w:color="CCEEFF"/>
              <w:right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U.S. federal</w:t>
            </w:r>
          </w:p>
        </w:tc>
        <w:tc>
          <w:tcPr>
            <w:tcW w:w="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2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2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20" w:type="dxa"/>
            <w:vAlign w:val="bottom"/>
          </w:tcPr>
          <w:p>
            <w:pPr>
              <w:ind w:left="240"/>
              <w:spacing w:after="0"/>
              <w:rPr>
                <w:sz w:val="20"/>
                <w:szCs w:val="20"/>
                <w:color w:val="auto"/>
              </w:rPr>
            </w:pPr>
            <w:r>
              <w:rPr>
                <w:rFonts w:ascii="Arial" w:cs="Arial" w:eastAsia="Arial" w:hAnsi="Arial"/>
                <w:sz w:val="18"/>
                <w:szCs w:val="18"/>
                <w:color w:val="auto"/>
              </w:rPr>
              <w:t>State</w:t>
            </w:r>
          </w:p>
        </w:tc>
        <w:tc>
          <w:tcPr>
            <w:tcW w:w="18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(63.3)</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Borders>
              <w:bottom w:val="single" w:sz="8" w:color="CCEEFF"/>
              <w:right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Foreign</w:t>
            </w:r>
          </w:p>
        </w:tc>
        <w:tc>
          <w:tcPr>
            <w:tcW w:w="1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(33.8)</w:t>
            </w:r>
          </w:p>
        </w:tc>
        <w:tc>
          <w:tcPr>
            <w:tcW w:w="2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(22.7)</w:t>
            </w:r>
          </w:p>
        </w:tc>
        <w:tc>
          <w:tcPr>
            <w:tcW w:w="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(17.9)</w:t>
            </w: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116.9</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Borders>
              <w:bottom w:val="single" w:sz="8" w:color="CCEEFF"/>
              <w:right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income tax (provision) benefit</w:t>
            </w:r>
          </w:p>
        </w:tc>
        <w:tc>
          <w:tcPr>
            <w:tcW w:w="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2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513.8</w:t>
            </w:r>
          </w:p>
        </w:tc>
        <w:tc>
          <w:tcPr>
            <w:tcW w:w="2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(796.7)</w:t>
            </w:r>
          </w:p>
        </w:tc>
        <w:tc>
          <w:tcPr>
            <w:tcW w:w="0" w:type="dxa"/>
            <w:vAlign w:val="bottom"/>
          </w:tcPr>
          <w:p>
            <w:pPr>
              <w:spacing w:after="0"/>
              <w:rPr>
                <w:sz w:val="1"/>
                <w:szCs w:val="1"/>
                <w:color w:val="auto"/>
              </w:rPr>
            </w:pPr>
          </w:p>
        </w:tc>
      </w:tr>
      <w:tr>
        <w:trPr>
          <w:trHeight w:val="105"/>
        </w:trPr>
        <w:tc>
          <w:tcPr>
            <w:tcW w:w="5240" w:type="dxa"/>
            <w:vAlign w:val="bottom"/>
            <w:gridSpan w:val="2"/>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240" w:type="dxa"/>
            <w:vAlign w:val="bottom"/>
            <w:tcBorders>
              <w:right w:val="single" w:sz="8" w:color="808080"/>
            </w:tcBorders>
            <w:gridSpan w:val="2"/>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60" w:type="dxa"/>
            <w:vAlign w:val="bottom"/>
            <w:tcBorders>
              <w:right w:val="single" w:sz="8" w:color="808080"/>
            </w:tcBorders>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5240" w:type="dxa"/>
            <w:vAlign w:val="bottom"/>
            <w:gridSpan w:val="2"/>
          </w:tcPr>
          <w:p>
            <w:pPr>
              <w:spacing w:after="0"/>
              <w:rPr>
                <w:sz w:val="20"/>
                <w:szCs w:val="20"/>
                <w:color w:val="auto"/>
              </w:rPr>
            </w:pPr>
            <w:r>
              <w:rPr>
                <w:rFonts w:ascii="Arial" w:cs="Arial" w:eastAsia="Arial" w:hAnsi="Arial"/>
                <w:sz w:val="18"/>
                <w:szCs w:val="18"/>
                <w:color w:val="auto"/>
              </w:rPr>
              <w:t>Income tax (provision) benefit allocated to:</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20" w:type="dxa"/>
            <w:vAlign w:val="bottom"/>
            <w:tcBorders>
              <w:bottom w:val="single" w:sz="8" w:color="CCEEFF"/>
              <w:right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Continuing operations</w:t>
            </w:r>
          </w:p>
        </w:tc>
        <w:tc>
          <w:tcPr>
            <w:tcW w:w="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2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446.0</w:t>
            </w:r>
          </w:p>
        </w:tc>
        <w:tc>
          <w:tcPr>
            <w:tcW w:w="2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(829.8)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20" w:type="dxa"/>
            <w:vAlign w:val="bottom"/>
          </w:tcPr>
          <w:p>
            <w:pPr>
              <w:ind w:left="240"/>
              <w:spacing w:after="0"/>
              <w:rPr>
                <w:sz w:val="20"/>
                <w:szCs w:val="20"/>
                <w:color w:val="auto"/>
              </w:rPr>
            </w:pPr>
            <w:r>
              <w:rPr>
                <w:rFonts w:ascii="Arial" w:cs="Arial" w:eastAsia="Arial" w:hAnsi="Arial"/>
                <w:sz w:val="18"/>
                <w:szCs w:val="18"/>
                <w:color w:val="auto"/>
              </w:rPr>
              <w:t>Discontinued operations</w:t>
            </w:r>
          </w:p>
        </w:tc>
        <w:tc>
          <w:tcPr>
            <w:tcW w:w="18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720" w:type="dxa"/>
            <w:vAlign w:val="bottom"/>
            <w:tcBorders>
              <w:bottom w:val="single" w:sz="8" w:color="808080"/>
            </w:tcBorders>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Borders>
              <w:bottom w:val="single" w:sz="8" w:color="808080"/>
            </w:tcBorders>
          </w:tcPr>
          <w:p>
            <w:pPr>
              <w:spacing w:after="0"/>
              <w:rPr>
                <w:sz w:val="12"/>
                <w:szCs w:val="12"/>
                <w:color w:val="auto"/>
              </w:rPr>
            </w:pPr>
          </w:p>
        </w:tc>
        <w:tc>
          <w:tcPr>
            <w:tcW w:w="720" w:type="dxa"/>
            <w:vAlign w:val="bottom"/>
            <w:tcBorders>
              <w:bottom w:val="single" w:sz="8" w:color="808080"/>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660" w:type="dxa"/>
            <w:vAlign w:val="bottom"/>
            <w:tcBorders>
              <w:bottom w:val="single" w:sz="8" w:color="808080"/>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(796.7)</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22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60" w:type="dxa"/>
            <w:vAlign w:val="bottom"/>
            <w:tcBorders>
              <w:right w:val="single" w:sz="8" w:color="808080"/>
            </w:tcBorders>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-3342005</wp:posOffset>
            </wp:positionV>
            <wp:extent cx="1270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-3342005</wp:posOffset>
            </wp:positionV>
            <wp:extent cx="1270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-3342005</wp:posOffset>
            </wp:positionV>
            <wp:extent cx="1270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-3342005</wp:posOffset>
            </wp:positionV>
            <wp:extent cx="1270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-3342005</wp:posOffset>
            </wp:positionV>
            <wp:extent cx="1270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-3342005</wp:posOffset>
            </wp:positionV>
            <wp:extent cx="1270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-2586990</wp:posOffset>
            </wp:positionV>
            <wp:extent cx="1270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-2586990</wp:posOffset>
            </wp:positionV>
            <wp:extent cx="1270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-2586990</wp:posOffset>
            </wp:positionV>
            <wp:extent cx="1270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-2586990</wp:posOffset>
            </wp:positionV>
            <wp:extent cx="1270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-2586990</wp:posOffset>
            </wp:positionV>
            <wp:extent cx="1270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-2586990</wp:posOffset>
            </wp:positionV>
            <wp:extent cx="1270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-2295525</wp:posOffset>
            </wp:positionV>
            <wp:extent cx="1270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-2295525</wp:posOffset>
            </wp:positionV>
            <wp:extent cx="1270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-2295525</wp:posOffset>
            </wp:positionV>
            <wp:extent cx="1270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-2295525</wp:posOffset>
            </wp:positionV>
            <wp:extent cx="1270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-2295525</wp:posOffset>
            </wp:positionV>
            <wp:extent cx="1270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-2295525</wp:posOffset>
            </wp:positionV>
            <wp:extent cx="1270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-1540510</wp:posOffset>
            </wp:positionV>
            <wp:extent cx="1270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-1540510</wp:posOffset>
            </wp:positionV>
            <wp:extent cx="1270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-1540510</wp:posOffset>
            </wp:positionV>
            <wp:extent cx="1270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-1540510</wp:posOffset>
            </wp:positionV>
            <wp:extent cx="1270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-1540510</wp:posOffset>
            </wp:positionV>
            <wp:extent cx="1270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-1540510</wp:posOffset>
            </wp:positionV>
            <wp:extent cx="1270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-1249045</wp:posOffset>
            </wp:positionV>
            <wp:extent cx="1270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-1249045</wp:posOffset>
            </wp:positionV>
            <wp:extent cx="1270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-1249045</wp:posOffset>
            </wp:positionV>
            <wp:extent cx="1270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-1249045</wp:posOffset>
            </wp:positionV>
            <wp:extent cx="1270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-1249045</wp:posOffset>
            </wp:positionV>
            <wp:extent cx="1270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-1249045</wp:posOffset>
            </wp:positionV>
            <wp:extent cx="1270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-323215</wp:posOffset>
            </wp:positionV>
            <wp:extent cx="1270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-323215</wp:posOffset>
            </wp:positionV>
            <wp:extent cx="1270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-323215</wp:posOffset>
            </wp:positionV>
            <wp:extent cx="1270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-323215</wp:posOffset>
            </wp:positionV>
            <wp:extent cx="1270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-323215</wp:posOffset>
            </wp:positionV>
            <wp:extent cx="1270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-323215</wp:posOffset>
            </wp:positionV>
            <wp:extent cx="1270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240" w:firstLine="348"/>
        <w:spacing w:after="0" w:line="332" w:lineRule="auto"/>
        <w:rPr>
          <w:sz w:val="20"/>
          <w:szCs w:val="20"/>
          <w:color w:val="auto"/>
        </w:rPr>
      </w:pPr>
      <w:r>
        <w:rPr>
          <w:rFonts w:ascii="Arial" w:cs="Arial" w:eastAsia="Arial" w:hAnsi="Arial"/>
          <w:sz w:val="16"/>
          <w:szCs w:val="16"/>
          <w:color w:val="auto"/>
        </w:rPr>
        <w:t>The tax benefit associated with the exercise of nonstatutory stock options and disqualifying dispositions by employees of shares issued in the Company's stock plans were credited to additional capital and reduced taxes payable by $48.3 million and $205.1 million for 2001 and 2000, respectively.</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between income tax computed using the U.S. federal statutory rate and the income tax (provision) benefit:</w:t>
      </w:r>
    </w:p>
    <w:p>
      <w:pPr>
        <w:spacing w:after="0" w:line="221" w:lineRule="exact"/>
        <w:rPr>
          <w:sz w:val="20"/>
          <w:szCs w:val="20"/>
          <w:color w:val="auto"/>
        </w:rPr>
      </w:pPr>
    </w:p>
    <w:tbl>
      <w:tblPr>
        <w:tblLayout w:type="fixed"/>
        <w:tblInd w:w="15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ind w:right="275"/>
              <w:spacing w:after="0"/>
              <w:rPr>
                <w:sz w:val="20"/>
                <w:szCs w:val="20"/>
                <w:color w:val="auto"/>
              </w:rPr>
            </w:pPr>
            <w:r>
              <w:rPr>
                <w:rFonts w:ascii="Arial" w:cs="Arial" w:eastAsia="Arial" w:hAnsi="Arial"/>
                <w:sz w:val="14"/>
                <w:szCs w:val="14"/>
                <w:b w:val="1"/>
                <w:bCs w:val="1"/>
                <w:color w:val="auto"/>
              </w:rPr>
              <w:t>2002</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235"/>
              <w:spacing w:after="0"/>
              <w:rPr>
                <w:sz w:val="20"/>
                <w:szCs w:val="20"/>
                <w:color w:val="auto"/>
              </w:rPr>
            </w:pPr>
            <w:r>
              <w:rPr>
                <w:rFonts w:ascii="Arial" w:cs="Arial" w:eastAsia="Arial" w:hAnsi="Arial"/>
                <w:sz w:val="14"/>
                <w:szCs w:val="14"/>
                <w:b w:val="1"/>
                <w:bCs w:val="1"/>
                <w:color w:val="auto"/>
              </w:rPr>
              <w:t>2001</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ind w:right="255"/>
              <w:spacing w:after="0"/>
              <w:rPr>
                <w:sz w:val="20"/>
                <w:szCs w:val="20"/>
                <w:color w:val="auto"/>
              </w:rPr>
            </w:pPr>
            <w:r>
              <w:rPr>
                <w:rFonts w:ascii="Arial" w:cs="Arial" w:eastAsia="Arial" w:hAnsi="Arial"/>
                <w:sz w:val="14"/>
                <w:szCs w:val="14"/>
                <w:b w:val="1"/>
                <w:bCs w:val="1"/>
                <w:color w:val="auto"/>
              </w:rPr>
              <w:t>2000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0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U.S. federal income tax at statutory rate</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375.2</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State taxes, net of federal benefit</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Foreign income at other than U.S. rate</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Basis difference in domestic subsidiaries</w:t>
            </w:r>
          </w:p>
        </w:tc>
        <w:tc>
          <w:tcPr>
            <w:tcW w:w="2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(330.1)</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(16.6)</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30.2</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59.7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0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Income tax (provision) benefit</w:t>
            </w:r>
          </w:p>
        </w:tc>
        <w:tc>
          <w:tcPr>
            <w:tcW w:w="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2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513.8</w:t>
            </w:r>
          </w:p>
        </w:tc>
        <w:tc>
          <w:tcPr>
            <w:tcW w:w="2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(796.7)</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0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-1317625</wp:posOffset>
            </wp:positionV>
            <wp:extent cx="1270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-1317625</wp:posOffset>
            </wp:positionV>
            <wp:extent cx="1270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-1317625</wp:posOffset>
            </wp:positionV>
            <wp:extent cx="1270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-1317625</wp:posOffset>
            </wp:positionV>
            <wp:extent cx="1270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-1317625</wp:posOffset>
            </wp:positionV>
            <wp:extent cx="1270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-1317625</wp:posOffset>
            </wp:positionV>
            <wp:extent cx="1270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-340360</wp:posOffset>
            </wp:positionV>
            <wp:extent cx="1270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-340360</wp:posOffset>
            </wp:positionV>
            <wp:extent cx="1270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-340360</wp:posOffset>
            </wp:positionV>
            <wp:extent cx="1270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-340360</wp:posOffset>
            </wp:positionV>
            <wp:extent cx="1270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-340360</wp:posOffset>
            </wp:positionV>
            <wp:extent cx="1270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-340360</wp:posOffset>
            </wp:positionV>
            <wp:extent cx="1270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State taxes reflect investment tax credits of $23.6 million, $25.5 million and $24.0 million for 2002, 2001 and 2000, respectively.</w:t>
      </w:r>
    </w:p>
    <w:p>
      <w:pPr>
        <w:sectPr>
          <w:pgSz w:w="11900" w:h="16838" w:orient="portrait"/>
          <w:cols w:equalWidth="0" w:num="1">
            <w:col w:w="11340"/>
          </w:cols>
          <w:pgMar w:left="240" w:top="131" w:right="319" w:bottom="157" w:gutter="0" w:footer="0" w:header="0"/>
        </w:sectPr>
      </w:pP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57" w:gutter="0" w:footer="0" w:header="0"/>
          <w:type w:val="continuous"/>
        </w:sectPr>
      </w:pPr>
    </w:p>
    <w:bookmarkStart w:id="28" w:name="page29"/>
    <w:bookmarkEnd w:id="28"/>
    <w:p>
      <w:pPr>
        <w:ind w:right="260" w:firstLine="351"/>
        <w:spacing w:after="0" w:line="268" w:lineRule="auto"/>
        <w:rPr>
          <w:sz w:val="20"/>
          <w:szCs w:val="20"/>
          <w:color w:val="auto"/>
        </w:rPr>
      </w:pPr>
      <w:r>
        <w:rPr>
          <w:rFonts w:ascii="Arial" w:cs="Arial" w:eastAsia="Arial" w:hAnsi="Arial"/>
          <w:sz w:val="18"/>
          <w:szCs w:val="18"/>
          <w:color w:val="auto"/>
        </w:rPr>
        <w:t>Deferred income taxes reflect the net tax effects of temporary differences between the basis of assets and liabilities for financial reporting and income tax purposes. Components of the Company's deferred tax assets and liabilities:</w:t>
      </w:r>
    </w:p>
    <w:p>
      <w:pPr>
        <w:spacing w:after="0" w:line="182" w:lineRule="exact"/>
        <w:rPr>
          <w:sz w:val="20"/>
          <w:szCs w:val="20"/>
          <w:color w:val="auto"/>
        </w:rPr>
      </w:pPr>
    </w:p>
    <w:tbl>
      <w:tblPr>
        <w:tblLayout w:type="fixed"/>
        <w:tblInd w:w="16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ind w:right="274"/>
              <w:spacing w:after="0"/>
              <w:rPr>
                <w:sz w:val="20"/>
                <w:szCs w:val="20"/>
                <w:color w:val="auto"/>
              </w:rPr>
            </w:pPr>
            <w:r>
              <w:rPr>
                <w:rFonts w:ascii="Arial" w:cs="Arial" w:eastAsia="Arial" w:hAnsi="Arial"/>
                <w:sz w:val="14"/>
                <w:szCs w:val="14"/>
                <w:b w:val="1"/>
                <w:bCs w:val="1"/>
                <w:color w:val="auto"/>
              </w:rPr>
              <w:t>2002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74"/>
              <w:spacing w:after="0"/>
              <w:rPr>
                <w:sz w:val="20"/>
                <w:szCs w:val="20"/>
                <w:color w:val="auto"/>
              </w:rPr>
            </w:pPr>
            <w:r>
              <w:rPr>
                <w:rFonts w:ascii="Arial" w:cs="Arial" w:eastAsia="Arial" w:hAnsi="Arial"/>
                <w:sz w:val="14"/>
                <w:szCs w:val="14"/>
                <w:b w:val="1"/>
                <w:bCs w:val="1"/>
                <w:color w:val="auto"/>
              </w:rPr>
              <w:t>2001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3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00" w:type="dxa"/>
            <w:vAlign w:val="bottom"/>
          </w:tcPr>
          <w:p>
            <w:pPr>
              <w:ind w:left="220"/>
              <w:spacing w:after="0"/>
              <w:rPr>
                <w:sz w:val="20"/>
                <w:szCs w:val="20"/>
                <w:color w:val="auto"/>
              </w:rPr>
            </w:pPr>
            <w:r>
              <w:rPr>
                <w:rFonts w:ascii="Arial" w:cs="Arial" w:eastAsia="Arial" w:hAnsi="Arial"/>
                <w:sz w:val="18"/>
                <w:szCs w:val="18"/>
                <w:color w:val="auto"/>
              </w:rPr>
              <w:t>Net operating loss and credit carryforwards</w:t>
            </w: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663.8</w:t>
            </w:r>
          </w:p>
        </w:tc>
        <w:tc>
          <w:tcPr>
            <w:tcW w:w="140" w:type="dxa"/>
            <w:vAlign w:val="bottom"/>
          </w:tcPr>
          <w:p>
            <w:pPr>
              <w:spacing w:after="0"/>
              <w:rPr>
                <w:sz w:val="19"/>
                <w:szCs w:val="19"/>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Inventories</w:t>
            </w:r>
          </w:p>
        </w:tc>
        <w:tc>
          <w:tcPr>
            <w:tcW w:w="1360" w:type="dxa"/>
            <w:vAlign w:val="bottom"/>
            <w:tcBorders>
              <w:bottom w:val="single" w:sz="8" w:color="CCEEFF"/>
              <w:right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00" w:type="dxa"/>
            <w:vAlign w:val="bottom"/>
          </w:tcPr>
          <w:p>
            <w:pPr>
              <w:ind w:left="220"/>
              <w:spacing w:after="0"/>
              <w:rPr>
                <w:sz w:val="20"/>
                <w:szCs w:val="20"/>
                <w:color w:val="auto"/>
              </w:rPr>
            </w:pPr>
            <w:r>
              <w:rPr>
                <w:rFonts w:ascii="Arial" w:cs="Arial" w:eastAsia="Arial" w:hAnsi="Arial"/>
                <w:sz w:val="18"/>
                <w:szCs w:val="18"/>
                <w:color w:val="auto"/>
              </w:rPr>
              <w:t>Accrued compensation</w:t>
            </w: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Accrued product and process technology</w:t>
            </w:r>
          </w:p>
        </w:tc>
        <w:tc>
          <w:tcPr>
            <w:tcW w:w="1360" w:type="dxa"/>
            <w:vAlign w:val="bottom"/>
            <w:tcBorders>
              <w:bottom w:val="single" w:sz="8" w:color="CCEEFF"/>
              <w:right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00" w:type="dxa"/>
            <w:vAlign w:val="bottom"/>
          </w:tcPr>
          <w:p>
            <w:pPr>
              <w:ind w:left="220"/>
              <w:spacing w:after="0"/>
              <w:rPr>
                <w:sz w:val="20"/>
                <w:szCs w:val="20"/>
                <w:color w:val="auto"/>
              </w:rPr>
            </w:pPr>
            <w:r>
              <w:rPr>
                <w:rFonts w:ascii="Arial" w:cs="Arial" w:eastAsia="Arial" w:hAnsi="Arial"/>
                <w:sz w:val="18"/>
                <w:szCs w:val="18"/>
                <w:color w:val="auto"/>
              </w:rPr>
              <w:t>Other</w:t>
            </w: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81.7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00" w:type="dxa"/>
            <w:vAlign w:val="bottom"/>
            <w:tcBorders>
              <w:bottom w:val="single" w:sz="8" w:color="808080"/>
            </w:tcBorders>
          </w:tcPr>
          <w:p>
            <w:pPr>
              <w:spacing w:after="0"/>
              <w:rPr>
                <w:sz w:val="12"/>
                <w:szCs w:val="12"/>
                <w:color w:val="auto"/>
              </w:rPr>
            </w:pPr>
          </w:p>
        </w:tc>
        <w:tc>
          <w:tcPr>
            <w:tcW w:w="760" w:type="dxa"/>
            <w:vAlign w:val="bottom"/>
            <w:tcBorders>
              <w:bottom w:val="single" w:sz="8" w:color="808080"/>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760" w:type="dxa"/>
            <w:vAlign w:val="bottom"/>
            <w:tcBorders>
              <w:bottom w:val="single" w:sz="8" w:color="808080"/>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Gross deferred tax assets</w:t>
            </w:r>
          </w:p>
        </w:tc>
        <w:tc>
          <w:tcPr>
            <w:tcW w:w="1360" w:type="dxa"/>
            <w:vAlign w:val="bottom"/>
            <w:tcBorders>
              <w:bottom w:val="single" w:sz="8" w:color="CCEEFF"/>
              <w:right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854.1</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401.1</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00" w:type="dxa"/>
            <w:vAlign w:val="bottom"/>
          </w:tcPr>
          <w:p>
            <w:pPr>
              <w:ind w:left="220"/>
              <w:spacing w:after="0"/>
              <w:rPr>
                <w:sz w:val="20"/>
                <w:szCs w:val="20"/>
                <w:color w:val="auto"/>
              </w:rPr>
            </w:pPr>
            <w:r>
              <w:rPr>
                <w:rFonts w:ascii="Arial" w:cs="Arial" w:eastAsia="Arial" w:hAnsi="Arial"/>
                <w:sz w:val="18"/>
                <w:szCs w:val="18"/>
                <w:color w:val="auto"/>
              </w:rPr>
              <w:t>Less valuation allowance</w:t>
            </w: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(431.5)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00" w:type="dxa"/>
            <w:vAlign w:val="bottom"/>
            <w:tcBorders>
              <w:bottom w:val="single" w:sz="8" w:color="808080"/>
            </w:tcBorders>
          </w:tcPr>
          <w:p>
            <w:pPr>
              <w:spacing w:after="0"/>
              <w:rPr>
                <w:sz w:val="12"/>
                <w:szCs w:val="12"/>
                <w:color w:val="auto"/>
              </w:rPr>
            </w:pPr>
          </w:p>
        </w:tc>
        <w:tc>
          <w:tcPr>
            <w:tcW w:w="760" w:type="dxa"/>
            <w:vAlign w:val="bottom"/>
            <w:tcBorders>
              <w:bottom w:val="single" w:sz="8" w:color="808080"/>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760" w:type="dxa"/>
            <w:vAlign w:val="bottom"/>
            <w:tcBorders>
              <w:bottom w:val="single" w:sz="8" w:color="808080"/>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Deferred tax assets</w:t>
            </w:r>
          </w:p>
        </w:tc>
        <w:tc>
          <w:tcPr>
            <w:tcW w:w="1360" w:type="dxa"/>
            <w:vAlign w:val="bottom"/>
            <w:tcBorders>
              <w:bottom w:val="single" w:sz="8" w:color="CCEEFF"/>
              <w:right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422.6</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313.7</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4620" w:type="dxa"/>
            <w:vAlign w:val="bottom"/>
            <w:gridSpan w:val="2"/>
            <w:vMerge w:val="restart"/>
          </w:tcPr>
          <w:p>
            <w:pPr>
              <w:spacing w:after="0"/>
              <w:rPr>
                <w:sz w:val="20"/>
                <w:szCs w:val="20"/>
                <w:color w:val="auto"/>
              </w:rPr>
            </w:pPr>
            <w:r>
              <w:rPr>
                <w:rFonts w:ascii="Arial" w:cs="Arial" w:eastAsia="Arial" w:hAnsi="Arial"/>
                <w:sz w:val="18"/>
                <w:szCs w:val="18"/>
                <w:color w:val="auto"/>
              </w:rPr>
              <w:t>Deferred tax liabilities:</w:t>
            </w:r>
          </w:p>
        </w:tc>
        <w:tc>
          <w:tcPr>
            <w:tcW w:w="136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4620" w:type="dxa"/>
            <w:vAlign w:val="bottom"/>
            <w:gridSpan w:val="2"/>
            <w:vMerge w:val="continue"/>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Excess tax over book depreciation</w:t>
            </w:r>
          </w:p>
        </w:tc>
        <w:tc>
          <w:tcPr>
            <w:tcW w:w="1360" w:type="dxa"/>
            <w:vAlign w:val="bottom"/>
            <w:tcBorders>
              <w:bottom w:val="single" w:sz="8" w:color="CCEEFF"/>
              <w:right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(222.5)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00" w:type="dxa"/>
            <w:vAlign w:val="bottom"/>
          </w:tcPr>
          <w:p>
            <w:pPr>
              <w:ind w:left="220"/>
              <w:spacing w:after="0"/>
              <w:rPr>
                <w:sz w:val="20"/>
                <w:szCs w:val="20"/>
                <w:color w:val="auto"/>
              </w:rPr>
            </w:pPr>
            <w:r>
              <w:rPr>
                <w:rFonts w:ascii="Arial" w:cs="Arial" w:eastAsia="Arial" w:hAnsi="Arial"/>
                <w:sz w:val="18"/>
                <w:szCs w:val="18"/>
                <w:color w:val="auto"/>
              </w:rPr>
              <w:t>Accrued product and process technology</w:t>
            </w: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360" w:type="dxa"/>
            <w:vAlign w:val="bottom"/>
            <w:tcBorders>
              <w:bottom w:val="single" w:sz="8" w:color="CCEEFF"/>
              <w:right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600" w:type="dxa"/>
            <w:vAlign w:val="bottom"/>
          </w:tcPr>
          <w:p>
            <w:pPr>
              <w:ind w:left="460"/>
              <w:spacing w:after="0"/>
              <w:rPr>
                <w:sz w:val="20"/>
                <w:szCs w:val="20"/>
                <w:color w:val="auto"/>
              </w:rPr>
            </w:pPr>
            <w:r>
              <w:rPr>
                <w:rFonts w:ascii="Arial" w:cs="Arial" w:eastAsia="Arial" w:hAnsi="Arial"/>
                <w:sz w:val="18"/>
                <w:szCs w:val="18"/>
                <w:color w:val="auto"/>
              </w:rPr>
              <w:t>Deferred tax liabilities</w:t>
            </w: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(283.6)</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(173.3)</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00" w:type="dxa"/>
            <w:vAlign w:val="bottom"/>
            <w:tcBorders>
              <w:bottom w:val="single" w:sz="8" w:color="808080"/>
            </w:tcBorders>
          </w:tcPr>
          <w:p>
            <w:pPr>
              <w:spacing w:after="0"/>
              <w:rPr>
                <w:sz w:val="12"/>
                <w:szCs w:val="12"/>
                <w:color w:val="auto"/>
              </w:rPr>
            </w:pPr>
          </w:p>
        </w:tc>
        <w:tc>
          <w:tcPr>
            <w:tcW w:w="760" w:type="dxa"/>
            <w:vAlign w:val="bottom"/>
            <w:tcBorders>
              <w:bottom w:val="single" w:sz="8" w:color="808080"/>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760" w:type="dxa"/>
            <w:vAlign w:val="bottom"/>
            <w:tcBorders>
              <w:bottom w:val="single" w:sz="8" w:color="808080"/>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Net deferred tax assets (liabilities)</w:t>
            </w:r>
          </w:p>
        </w:tc>
        <w:tc>
          <w:tcPr>
            <w:tcW w:w="15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139.0</w:t>
            </w:r>
          </w:p>
        </w:tc>
        <w:tc>
          <w:tcPr>
            <w:tcW w:w="1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600" w:type="dxa"/>
            <w:vAlign w:val="bottom"/>
          </w:tcPr>
          <w:p>
            <w:pPr>
              <w:spacing w:after="0"/>
              <w:rPr>
                <w:sz w:val="5"/>
                <w:szCs w:val="5"/>
                <w:color w:val="auto"/>
              </w:rPr>
            </w:pPr>
          </w:p>
        </w:tc>
        <w:tc>
          <w:tcPr>
            <w:tcW w:w="136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5414645</wp:posOffset>
            </wp:positionH>
            <wp:positionV relativeFrom="paragraph">
              <wp:posOffset>-3238500</wp:posOffset>
            </wp:positionV>
            <wp:extent cx="1270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-3238500</wp:posOffset>
            </wp:positionV>
            <wp:extent cx="1270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-3238500</wp:posOffset>
            </wp:positionV>
            <wp:extent cx="1270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-3238500</wp:posOffset>
            </wp:positionV>
            <wp:extent cx="1270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-2175510</wp:posOffset>
            </wp:positionV>
            <wp:extent cx="1270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-2175510</wp:posOffset>
            </wp:positionV>
            <wp:extent cx="1270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-2175510</wp:posOffset>
            </wp:positionV>
            <wp:extent cx="1270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-2175510</wp:posOffset>
            </wp:positionV>
            <wp:extent cx="1270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-1712595</wp:posOffset>
            </wp:positionV>
            <wp:extent cx="1270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-1712595</wp:posOffset>
            </wp:positionV>
            <wp:extent cx="1270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-1712595</wp:posOffset>
            </wp:positionV>
            <wp:extent cx="1270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-1712595</wp:posOffset>
            </wp:positionV>
            <wp:extent cx="1270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-1403350</wp:posOffset>
            </wp:positionV>
            <wp:extent cx="1270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-1403350</wp:posOffset>
            </wp:positionV>
            <wp:extent cx="1270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-1403350</wp:posOffset>
            </wp:positionV>
            <wp:extent cx="1270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-1403350</wp:posOffset>
            </wp:positionV>
            <wp:extent cx="1270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-648970</wp:posOffset>
            </wp:positionV>
            <wp:extent cx="1270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-648970</wp:posOffset>
            </wp:positionV>
            <wp:extent cx="1270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-648970</wp:posOffset>
            </wp:positionV>
            <wp:extent cx="1270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-648970</wp:posOffset>
            </wp:positionV>
            <wp:extent cx="1270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-340360</wp:posOffset>
            </wp:positionV>
            <wp:extent cx="1270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-340360</wp:posOffset>
            </wp:positionV>
            <wp:extent cx="1270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-340360</wp:posOffset>
            </wp:positionV>
            <wp:extent cx="1270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-340360</wp:posOffset>
            </wp:positionV>
            <wp:extent cx="1270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both"/>
        <w:ind w:right="120" w:firstLine="341"/>
        <w:spacing w:after="0" w:line="306" w:lineRule="auto"/>
        <w:rPr>
          <w:sz w:val="20"/>
          <w:szCs w:val="20"/>
          <w:color w:val="auto"/>
        </w:rPr>
      </w:pPr>
      <w:r>
        <w:rPr>
          <w:rFonts w:ascii="Arial" w:cs="Arial" w:eastAsia="Arial" w:hAnsi="Arial"/>
          <w:sz w:val="16"/>
          <w:szCs w:val="16"/>
          <w:color w:val="auto"/>
        </w:rPr>
        <w:t>At August 29, 2002, the Company had aggregate U.S. tax loss carryforwards of $1,253.0 million and U.S. tax credit carryforwards of $78.8 million, which expire in various years through 2022. The Company also has unused state tax net operating loss carryforwards of $1,138.4 million for tax purposes which expire through 2022 and unused state tax credits of $115.2 million for tax and financial reporting purposes which expire through 2016.</w:t>
      </w:r>
    </w:p>
    <w:p>
      <w:pPr>
        <w:spacing w:after="0" w:line="16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changes in valuation allowance of $344.1 million and $57.4 million in 2002 and 2001, respectively, are primarily due to uncertainties of realizing certain U.S. net operating losses and certain tax credit carryforwards. The change in the valuation allowance in 2002 includes $14.0 million for stock plan deductions in 2002, which will be credited to additional capital if realized.</w:t>
      </w:r>
    </w:p>
    <w:p>
      <w:pPr>
        <w:spacing w:after="0" w:line="194"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color w:val="auto"/>
        </w:rPr>
        <w:t>Provision has been made for deferred taxes on undistributed earnings of non-U.S. subsidiaries to the extent that dividend payments from such companies are expected to result in additional tax liability. The remaining undistributed earnings of $386.9 million have been indefinitely reinvested; therefore, no provision has been made for taxes due upon remittance of these earnings. Determination of the amount of unrecognized deferred tax liability on these unremitted earnings is not practicable.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PC Operations</w:t>
      </w:r>
    </w:p>
    <w:p>
      <w:pPr>
        <w:spacing w:after="0" w:line="231"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On May 31, 2001, MEI completed the disposition of its PC business to Gores Technology Group ("GTG"). In connection with the disposal, GTG received assets, including $76.5 million in cash, and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assumed specified liabilities of the PC Operations. Summary operating results for the discontinued PC Operations:</w:t>
      </w:r>
    </w:p>
    <w:p>
      <w:pPr>
        <w:spacing w:after="0" w:line="221" w:lineRule="exact"/>
        <w:rPr>
          <w:sz w:val="20"/>
          <w:szCs w:val="20"/>
          <w:color w:val="auto"/>
        </w:rPr>
      </w:pPr>
    </w:p>
    <w:tbl>
      <w:tblPr>
        <w:tblLayout w:type="fixed"/>
        <w:tblInd w:w="1660" w:type="dxa"/>
        <w:tblCellMar>
          <w:top w:w="0" w:type="dxa"/>
          <w:left w:w="0" w:type="dxa"/>
          <w:bottom w:w="0" w:type="dxa"/>
          <w:right w:w="0" w:type="dxa"/>
        </w:tblCellMar>
      </w:tblPr>
      <w:tr>
        <w:trPr>
          <w:trHeight w:val="174"/>
        </w:trPr>
        <w:tc>
          <w:tcPr>
            <w:tcW w:w="5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294"/>
              <w:spacing w:after="0"/>
              <w:rPr>
                <w:sz w:val="20"/>
                <w:szCs w:val="20"/>
                <w:color w:val="auto"/>
              </w:rPr>
            </w:pPr>
            <w:r>
              <w:rPr>
                <w:rFonts w:ascii="Arial" w:cs="Arial" w:eastAsia="Arial" w:hAnsi="Arial"/>
                <w:sz w:val="14"/>
                <w:szCs w:val="14"/>
                <w:b w:val="1"/>
                <w:bCs w:val="1"/>
                <w:color w:val="auto"/>
              </w:rPr>
              <w:t>2001</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74"/>
              <w:spacing w:after="0"/>
              <w:rPr>
                <w:sz w:val="20"/>
                <w:szCs w:val="20"/>
                <w:color w:val="auto"/>
              </w:rPr>
            </w:pPr>
            <w:r>
              <w:rPr>
                <w:rFonts w:ascii="Arial" w:cs="Arial" w:eastAsia="Arial" w:hAnsi="Arial"/>
                <w:sz w:val="14"/>
                <w:szCs w:val="14"/>
                <w:b w:val="1"/>
                <w:bCs w:val="1"/>
                <w:color w:val="auto"/>
              </w:rPr>
              <w:t>2000</w:t>
            </w:r>
          </w:p>
        </w:tc>
        <w:tc>
          <w:tcPr>
            <w:tcW w:w="60" w:type="dxa"/>
            <w:vAlign w:val="bottom"/>
          </w:tcPr>
          <w:p>
            <w:pPr>
              <w:spacing w:after="0"/>
              <w:rPr>
                <w:sz w:val="15"/>
                <w:szCs w:val="15"/>
                <w:color w:val="auto"/>
              </w:rPr>
            </w:pPr>
          </w:p>
        </w:tc>
      </w:tr>
      <w:tr>
        <w:trPr>
          <w:trHeight w:val="105"/>
        </w:trPr>
        <w:tc>
          <w:tcPr>
            <w:tcW w:w="58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105"/>
        </w:trPr>
        <w:tc>
          <w:tcPr>
            <w:tcW w:w="5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579.8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973.9</w:t>
            </w:r>
          </w:p>
        </w:tc>
        <w:tc>
          <w:tcPr>
            <w:tcW w:w="60" w:type="dxa"/>
            <w:vAlign w:val="bottom"/>
            <w:shd w:val="clear" w:color="auto" w:fill="CCEEFF"/>
          </w:tcPr>
          <w:p>
            <w:pPr>
              <w:spacing w:after="0"/>
              <w:rPr>
                <w:sz w:val="18"/>
                <w:szCs w:val="18"/>
                <w:color w:val="auto"/>
              </w:rPr>
            </w:pPr>
          </w:p>
        </w:tc>
      </w:tr>
      <w:tr>
        <w:trPr>
          <w:trHeight w:val="105"/>
        </w:trPr>
        <w:tc>
          <w:tcPr>
            <w:tcW w:w="5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61"/>
        </w:trPr>
        <w:tc>
          <w:tcPr>
            <w:tcW w:w="584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8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60" w:type="dxa"/>
            <w:vAlign w:val="bottom"/>
            <w:tcBorders>
              <w:right w:val="single" w:sz="8" w:color="808080"/>
            </w:tcBorders>
            <w:shd w:val="clear" w:color="auto" w:fill="808080"/>
          </w:tcPr>
          <w:p>
            <w:pPr>
              <w:spacing w:after="0"/>
              <w:rPr>
                <w:sz w:val="5"/>
                <w:szCs w:val="5"/>
                <w:color w:val="auto"/>
              </w:rPr>
            </w:pPr>
          </w:p>
        </w:tc>
        <w:tc>
          <w:tcPr>
            <w:tcW w:w="60" w:type="dxa"/>
            <w:vAlign w:val="bottom"/>
          </w:tcPr>
          <w:p>
            <w:pPr>
              <w:spacing w:after="0"/>
              <w:rPr>
                <w:sz w:val="5"/>
                <w:szCs w:val="5"/>
                <w:color w:val="auto"/>
              </w:rPr>
            </w:pPr>
          </w:p>
        </w:tc>
      </w:tr>
      <w:tr>
        <w:trPr>
          <w:trHeight w:val="320"/>
        </w:trPr>
        <w:tc>
          <w:tcPr>
            <w:tcW w:w="5840" w:type="dxa"/>
            <w:vAlign w:val="bottom"/>
          </w:tcPr>
          <w:p>
            <w:pPr>
              <w:spacing w:after="0"/>
              <w:rPr>
                <w:sz w:val="20"/>
                <w:szCs w:val="20"/>
                <w:color w:val="auto"/>
              </w:rPr>
            </w:pPr>
            <w:r>
              <w:rPr>
                <w:rFonts w:ascii="Arial" w:cs="Arial" w:eastAsia="Arial" w:hAnsi="Arial"/>
                <w:sz w:val="18"/>
                <w:szCs w:val="18"/>
                <w:color w:val="auto"/>
              </w:rPr>
              <w:t>Loss from operations of PC business</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(64.1)</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(105.8)</w:t>
            </w:r>
          </w:p>
        </w:tc>
      </w:tr>
      <w:tr>
        <w:trPr>
          <w:trHeight w:val="217"/>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22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60" w:type="dxa"/>
            <w:vAlign w:val="bottom"/>
            <w:shd w:val="clear" w:color="auto" w:fill="CCEEFF"/>
          </w:tcPr>
          <w:p>
            <w:pPr>
              <w:spacing w:after="0"/>
              <w:rPr>
                <w:sz w:val="18"/>
                <w:szCs w:val="18"/>
                <w:color w:val="auto"/>
              </w:rPr>
            </w:pPr>
          </w:p>
        </w:tc>
      </w:tr>
      <w:tr>
        <w:trPr>
          <w:trHeight w:val="222"/>
        </w:trPr>
        <w:tc>
          <w:tcPr>
            <w:tcW w:w="5840" w:type="dxa"/>
            <w:vAlign w:val="bottom"/>
          </w:tcPr>
          <w:p>
            <w:pPr>
              <w:spacing w:after="0"/>
              <w:rPr>
                <w:sz w:val="20"/>
                <w:szCs w:val="20"/>
                <w:color w:val="auto"/>
              </w:rPr>
            </w:pPr>
            <w:r>
              <w:rPr>
                <w:rFonts w:ascii="Arial" w:cs="Arial" w:eastAsia="Arial" w:hAnsi="Arial"/>
                <w:sz w:val="18"/>
                <w:szCs w:val="18"/>
                <w:color w:val="auto"/>
              </w:rPr>
              <w:t>Income tax benefit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33.1</w:t>
            </w:r>
          </w:p>
        </w:tc>
        <w:tc>
          <w:tcPr>
            <w:tcW w:w="60" w:type="dxa"/>
            <w:vAlign w:val="bottom"/>
          </w:tcPr>
          <w:p>
            <w:pPr>
              <w:spacing w:after="0"/>
              <w:rPr>
                <w:sz w:val="19"/>
                <w:szCs w:val="19"/>
                <w:color w:val="auto"/>
              </w:rPr>
            </w:pPr>
          </w:p>
        </w:tc>
      </w:tr>
      <w:tr>
        <w:trPr>
          <w:trHeight w:val="112"/>
        </w:trPr>
        <w:tc>
          <w:tcPr>
            <w:tcW w:w="58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105"/>
        </w:trPr>
        <w:tc>
          <w:tcPr>
            <w:tcW w:w="5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23"/>
        </w:trPr>
        <w:tc>
          <w:tcPr>
            <w:tcW w:w="58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Loss from operations of PC business, net</w:t>
            </w:r>
          </w:p>
        </w:tc>
        <w:tc>
          <w:tcPr>
            <w:tcW w:w="2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(36.1)</w:t>
            </w:r>
          </w:p>
        </w:tc>
        <w:tc>
          <w:tcPr>
            <w:tcW w:w="2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(43.5)</w:t>
            </w:r>
          </w:p>
        </w:tc>
      </w:tr>
      <w:tr>
        <w:trPr>
          <w:trHeight w:val="118"/>
        </w:trPr>
        <w:tc>
          <w:tcPr>
            <w:tcW w:w="58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20"/>
        </w:trPr>
        <w:tc>
          <w:tcPr>
            <w:tcW w:w="5840" w:type="dxa"/>
            <w:vAlign w:val="bottom"/>
          </w:tcPr>
          <w:p>
            <w:pPr>
              <w:spacing w:after="0"/>
              <w:rPr>
                <w:sz w:val="20"/>
                <w:szCs w:val="20"/>
                <w:color w:val="auto"/>
              </w:rPr>
            </w:pPr>
            <w:r>
              <w:rPr>
                <w:rFonts w:ascii="Arial" w:cs="Arial" w:eastAsia="Arial" w:hAnsi="Arial"/>
                <w:sz w:val="18"/>
                <w:szCs w:val="18"/>
                <w:color w:val="auto"/>
              </w:rPr>
              <w:t>Loss from disposal of PC Operations</w:t>
            </w:r>
          </w:p>
        </w:tc>
        <w:tc>
          <w:tcPr>
            <w:tcW w:w="220" w:type="dxa"/>
            <w:vAlign w:val="bottom"/>
          </w:tcPr>
          <w:p>
            <w:pPr>
              <w:spacing w:after="0"/>
              <w:rPr>
                <w:sz w:val="24"/>
                <w:szCs w:val="24"/>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(126.4)</w:t>
            </w:r>
          </w:p>
        </w:tc>
        <w:tc>
          <w:tcPr>
            <w:tcW w:w="220" w:type="dxa"/>
            <w:vAlign w:val="bottom"/>
          </w:tcPr>
          <w:p>
            <w:pPr>
              <w:spacing w:after="0"/>
              <w:rPr>
                <w:sz w:val="24"/>
                <w:szCs w:val="2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7"/>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losses during phase-out period</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(70.2)</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Minority interest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71.1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22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118"/>
        </w:trPr>
        <w:tc>
          <w:tcPr>
            <w:tcW w:w="58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5840" w:type="dxa"/>
            <w:vAlign w:val="bottom"/>
          </w:tcPr>
          <w:p>
            <w:pPr>
              <w:ind w:left="260"/>
              <w:spacing w:after="0"/>
              <w:rPr>
                <w:sz w:val="20"/>
                <w:szCs w:val="20"/>
                <w:color w:val="auto"/>
              </w:rPr>
            </w:pPr>
            <w:r>
              <w:rPr>
                <w:rFonts w:ascii="Arial" w:cs="Arial" w:eastAsia="Arial" w:hAnsi="Arial"/>
                <w:sz w:val="18"/>
                <w:szCs w:val="18"/>
                <w:color w:val="auto"/>
              </w:rPr>
              <w:t>Loss from disposal of PC Operations, net</w:t>
            </w:r>
          </w:p>
        </w:tc>
        <w:tc>
          <w:tcPr>
            <w:tcW w:w="220" w:type="dxa"/>
            <w:vAlign w:val="bottom"/>
          </w:tcPr>
          <w:p>
            <w:pPr>
              <w:spacing w:after="0"/>
              <w:rPr>
                <w:sz w:val="24"/>
                <w:szCs w:val="24"/>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(67.7)</w:t>
            </w:r>
          </w:p>
        </w:tc>
        <w:tc>
          <w:tcPr>
            <w:tcW w:w="220" w:type="dxa"/>
            <w:vAlign w:val="bottom"/>
          </w:tcPr>
          <w:p>
            <w:pPr>
              <w:spacing w:after="0"/>
              <w:rPr>
                <w:sz w:val="24"/>
                <w:szCs w:val="2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147"/>
        </w:trPr>
        <w:tc>
          <w:tcPr>
            <w:tcW w:w="5840" w:type="dxa"/>
            <w:vAlign w:val="bottom"/>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780" w:type="dxa"/>
            <w:vAlign w:val="bottom"/>
            <w:tcBorders>
              <w:bottom w:val="single" w:sz="8" w:color="808080"/>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760" w:type="dxa"/>
            <w:vAlign w:val="bottom"/>
            <w:tcBorders>
              <w:bottom w:val="single" w:sz="8" w:color="808080"/>
            </w:tcBorders>
          </w:tcPr>
          <w:p>
            <w:pPr>
              <w:spacing w:after="0"/>
              <w:rPr>
                <w:sz w:val="12"/>
                <w:szCs w:val="12"/>
                <w:color w:val="auto"/>
              </w:rPr>
            </w:pPr>
          </w:p>
        </w:tc>
        <w:tc>
          <w:tcPr>
            <w:tcW w:w="60" w:type="dxa"/>
            <w:vAlign w:val="bottom"/>
          </w:tcPr>
          <w:p>
            <w:pPr>
              <w:spacing w:after="0"/>
              <w:rPr>
                <w:sz w:val="12"/>
                <w:szCs w:val="12"/>
                <w:color w:val="auto"/>
              </w:rPr>
            </w:pPr>
          </w:p>
        </w:tc>
      </w:tr>
      <w:tr>
        <w:trPr>
          <w:trHeight w:val="105"/>
        </w:trPr>
        <w:tc>
          <w:tcPr>
            <w:tcW w:w="5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23"/>
        </w:trPr>
        <w:tc>
          <w:tcPr>
            <w:tcW w:w="58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Loss from discontinued PC Operations, net</w:t>
            </w: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(103.8)</w:t>
            </w:r>
          </w:p>
        </w:tc>
        <w:tc>
          <w:tcPr>
            <w:tcW w:w="22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(43.5)</w:t>
            </w:r>
          </w:p>
        </w:tc>
      </w:tr>
      <w:tr>
        <w:trPr>
          <w:trHeight w:val="105"/>
        </w:trPr>
        <w:tc>
          <w:tcPr>
            <w:tcW w:w="5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61"/>
        </w:trPr>
        <w:tc>
          <w:tcPr>
            <w:tcW w:w="584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8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60" w:type="dxa"/>
            <w:vAlign w:val="bottom"/>
            <w:tcBorders>
              <w:right w:val="single" w:sz="8" w:color="808080"/>
            </w:tcBorders>
            <w:shd w:val="clear" w:color="auto" w:fill="808080"/>
          </w:tcPr>
          <w:p>
            <w:pPr>
              <w:spacing w:after="0"/>
              <w:rPr>
                <w:sz w:val="5"/>
                <w:szCs w:val="5"/>
                <w:color w:val="auto"/>
              </w:rPr>
            </w:pPr>
          </w:p>
        </w:tc>
        <w:tc>
          <w:tcPr>
            <w:tcW w:w="6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-2535555</wp:posOffset>
            </wp:positionV>
            <wp:extent cx="1270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-2535555</wp:posOffset>
            </wp:positionV>
            <wp:extent cx="1270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-2535555</wp:posOffset>
            </wp:positionV>
            <wp:extent cx="12700"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-2535555</wp:posOffset>
            </wp:positionV>
            <wp:extent cx="12700"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-1661160</wp:posOffset>
            </wp:positionV>
            <wp:extent cx="1270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-1661160</wp:posOffset>
            </wp:positionV>
            <wp:extent cx="1270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-1661160</wp:posOffset>
            </wp:positionV>
            <wp:extent cx="1270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-1661160</wp:posOffset>
            </wp:positionV>
            <wp:extent cx="12700"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-1351915</wp:posOffset>
            </wp:positionV>
            <wp:extent cx="12700"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-1351915</wp:posOffset>
            </wp:positionV>
            <wp:extent cx="12700"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-1351915</wp:posOffset>
            </wp:positionV>
            <wp:extent cx="1270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-1351915</wp:posOffset>
            </wp:positionV>
            <wp:extent cx="1270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-648970</wp:posOffset>
            </wp:positionV>
            <wp:extent cx="12700"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-648970</wp:posOffset>
            </wp:positionV>
            <wp:extent cx="1270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-648970</wp:posOffset>
            </wp:positionV>
            <wp:extent cx="12700"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-648970</wp:posOffset>
            </wp:positionV>
            <wp:extent cx="12700"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-340360</wp:posOffset>
            </wp:positionV>
            <wp:extent cx="12700"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-340360</wp:posOffset>
            </wp:positionV>
            <wp:extent cx="12700"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-340360</wp:posOffset>
            </wp:positionV>
            <wp:extent cx="12700"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-340360</wp:posOffset>
            </wp:positionV>
            <wp:extent cx="12700"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00"/>
          </w:cols>
          <w:pgMar w:left="240" w:top="590" w:right="259" w:bottom="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Earnings (Loss) Per Share</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33"/>
              <w:spacing w:after="0"/>
              <w:rPr>
                <w:sz w:val="20"/>
                <w:szCs w:val="20"/>
                <w:color w:val="auto"/>
              </w:rPr>
            </w:pPr>
            <w:r>
              <w:rPr>
                <w:rFonts w:ascii="Arial" w:cs="Arial" w:eastAsia="Arial" w:hAnsi="Arial"/>
                <w:sz w:val="14"/>
                <w:szCs w:val="14"/>
                <w:b w:val="1"/>
                <w:bCs w:val="1"/>
                <w:color w:val="auto"/>
              </w:rPr>
              <w:t>2002</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33"/>
              <w:spacing w:after="0"/>
              <w:rPr>
                <w:sz w:val="20"/>
                <w:szCs w:val="20"/>
                <w:color w:val="auto"/>
              </w:rPr>
            </w:pPr>
            <w:r>
              <w:rPr>
                <w:rFonts w:ascii="Arial" w:cs="Arial" w:eastAsia="Arial" w:hAnsi="Arial"/>
                <w:sz w:val="14"/>
                <w:szCs w:val="14"/>
                <w:b w:val="1"/>
                <w:bCs w:val="1"/>
                <w:color w:val="auto"/>
              </w:rPr>
              <w:t>2001</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ind w:right="353"/>
              <w:spacing w:after="0"/>
              <w:rPr>
                <w:sz w:val="20"/>
                <w:szCs w:val="20"/>
                <w:color w:val="auto"/>
              </w:rPr>
            </w:pPr>
            <w:r>
              <w:rPr>
                <w:rFonts w:ascii="Arial" w:cs="Arial" w:eastAsia="Arial" w:hAnsi="Arial"/>
                <w:sz w:val="14"/>
                <w:szCs w:val="14"/>
                <w:b w:val="1"/>
                <w:bCs w:val="1"/>
                <w:color w:val="auto"/>
              </w:rPr>
              <w:t>2000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5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 available to common shareholders</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(907.0)</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(521.2)</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Redeemable common stock accretion</w:t>
            </w: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Adjustment for effects of assumed conversions</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6580" w:type="dxa"/>
            <w:vAlign w:val="bottom"/>
            <w:gridSpan w:val="2"/>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580" w:type="dxa"/>
            <w:vAlign w:val="bottom"/>
            <w:gridSpan w:val="2"/>
          </w:tcPr>
          <w:p>
            <w:pPr>
              <w:spacing w:after="0"/>
              <w:rPr>
                <w:sz w:val="20"/>
                <w:szCs w:val="20"/>
                <w:color w:val="auto"/>
              </w:rPr>
            </w:pPr>
            <w:r>
              <w:rPr>
                <w:rFonts w:ascii="Arial" w:cs="Arial" w:eastAsia="Arial" w:hAnsi="Arial"/>
                <w:sz w:val="18"/>
                <w:szCs w:val="18"/>
                <w:color w:val="auto"/>
                <w:w w:val="96"/>
              </w:rPr>
              <w:t>Income (loss) from continuing operations available to common shareholders, adjusted</w:t>
            </w:r>
          </w:p>
        </w:tc>
        <w:tc>
          <w:tcPr>
            <w:tcW w:w="200" w:type="dxa"/>
            <w:vAlign w:val="bottom"/>
          </w:tcPr>
          <w:p>
            <w:pPr>
              <w:spacing w:after="0"/>
              <w:rPr>
                <w:sz w:val="24"/>
                <w:szCs w:val="2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(909.1)</w:t>
            </w:r>
          </w:p>
        </w:tc>
        <w:tc>
          <w:tcPr>
            <w:tcW w:w="200" w:type="dxa"/>
            <w:vAlign w:val="bottom"/>
          </w:tcPr>
          <w:p>
            <w:pPr>
              <w:spacing w:after="0"/>
              <w:rPr>
                <w:sz w:val="24"/>
                <w:szCs w:val="2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(521.2)</w:t>
            </w: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1,591.0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PC Operations, net of taxes and minority interest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(103.8)</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118"/>
        </w:trPr>
        <w:tc>
          <w:tcPr>
            <w:tcW w:w="6580" w:type="dxa"/>
            <w:vAlign w:val="bottom"/>
            <w:gridSpan w:val="2"/>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580" w:type="dxa"/>
            <w:vAlign w:val="bottom"/>
            <w:gridSpan w:val="2"/>
          </w:tcPr>
          <w:p>
            <w:pPr>
              <w:spacing w:after="0"/>
              <w:rPr>
                <w:sz w:val="20"/>
                <w:szCs w:val="20"/>
                <w:color w:val="auto"/>
              </w:rPr>
            </w:pPr>
            <w:r>
              <w:rPr>
                <w:rFonts w:ascii="Arial" w:cs="Arial" w:eastAsia="Arial" w:hAnsi="Arial"/>
                <w:sz w:val="18"/>
                <w:szCs w:val="18"/>
                <w:color w:val="auto"/>
              </w:rPr>
              <w:t>Net income (loss), adjusted</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(909.1)</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(625.0)</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1,547.5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56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w:t>
            </w:r>
          </w:p>
        </w:tc>
        <w:tc>
          <w:tcPr>
            <w:tcW w:w="20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601.5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592.4</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Adjustment for effects of assumed exercises and conversions</w:t>
            </w:r>
          </w:p>
        </w:tc>
        <w:tc>
          <w:tcPr>
            <w:tcW w:w="2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5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and share equivalents outstanding</w:t>
            </w:r>
          </w:p>
        </w:tc>
        <w:tc>
          <w:tcPr>
            <w:tcW w:w="20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601.5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592.4</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6580" w:type="dxa"/>
            <w:vAlign w:val="bottom"/>
            <w:gridSpan w:val="2"/>
            <w:vMerge w:val="restart"/>
          </w:tcPr>
          <w:p>
            <w:pPr>
              <w:spacing w:after="0"/>
              <w:rPr>
                <w:sz w:val="20"/>
                <w:szCs w:val="20"/>
                <w:color w:val="auto"/>
              </w:rPr>
            </w:pPr>
            <w:r>
              <w:rPr>
                <w:rFonts w:ascii="Arial" w:cs="Arial" w:eastAsia="Arial" w:hAnsi="Arial"/>
                <w:sz w:val="18"/>
                <w:szCs w:val="18"/>
                <w:color w:val="auto"/>
              </w:rPr>
              <w:t>Basic earnings (loss) per share:</w:t>
            </w: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580" w:type="dxa"/>
            <w:vAlign w:val="bottom"/>
            <w:gridSpan w:val="2"/>
            <w:vMerge w:val="continue"/>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658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Continuing operations</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(1.51)</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(0.88)</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560" w:type="dxa"/>
            <w:vAlign w:val="bottom"/>
          </w:tcPr>
          <w:p>
            <w:pPr>
              <w:ind w:left="180"/>
              <w:spacing w:after="0"/>
              <w:rPr>
                <w:sz w:val="20"/>
                <w:szCs w:val="20"/>
                <w:color w:val="auto"/>
              </w:rPr>
            </w:pPr>
            <w:r>
              <w:rPr>
                <w:rFonts w:ascii="Arial" w:cs="Arial" w:eastAsia="Arial" w:hAnsi="Arial"/>
                <w:sz w:val="18"/>
                <w:szCs w:val="18"/>
                <w:color w:val="auto"/>
              </w:rPr>
              <w:t>Discontinued operations</w:t>
            </w:r>
          </w:p>
        </w:tc>
        <w:tc>
          <w:tcPr>
            <w:tcW w:w="200" w:type="dxa"/>
            <w:vAlign w:val="bottom"/>
          </w:tcPr>
          <w:p>
            <w:pPr>
              <w:spacing w:after="0"/>
              <w:rPr>
                <w:sz w:val="21"/>
                <w:szCs w:val="21"/>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(0.18)</w:t>
            </w:r>
          </w:p>
        </w:tc>
        <w:tc>
          <w:tcPr>
            <w:tcW w:w="26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(loss)</w:t>
            </w:r>
          </w:p>
        </w:tc>
        <w:tc>
          <w:tcPr>
            <w:tcW w:w="2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(1.51)</w:t>
            </w:r>
          </w:p>
        </w:tc>
        <w:tc>
          <w:tcPr>
            <w:tcW w:w="2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31"/>
        </w:trPr>
        <w:tc>
          <w:tcPr>
            <w:tcW w:w="6580" w:type="dxa"/>
            <w:vAlign w:val="bottom"/>
            <w:gridSpan w:val="2"/>
          </w:tcPr>
          <w:p>
            <w:pPr>
              <w:spacing w:after="0"/>
              <w:rPr>
                <w:sz w:val="20"/>
                <w:szCs w:val="20"/>
                <w:color w:val="auto"/>
              </w:rPr>
            </w:pPr>
            <w:r>
              <w:rPr>
                <w:rFonts w:ascii="Arial" w:cs="Arial" w:eastAsia="Arial" w:hAnsi="Arial"/>
                <w:sz w:val="18"/>
                <w:szCs w:val="18"/>
                <w:color w:val="auto"/>
              </w:rPr>
              <w:t>Diluted earnings (loss) per share:</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Continuing operations</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(1.51)</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(0.88)</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560" w:type="dxa"/>
            <w:vAlign w:val="bottom"/>
          </w:tcPr>
          <w:p>
            <w:pPr>
              <w:ind w:left="180"/>
              <w:spacing w:after="0"/>
              <w:rPr>
                <w:sz w:val="20"/>
                <w:szCs w:val="20"/>
                <w:color w:val="auto"/>
              </w:rPr>
            </w:pPr>
            <w:r>
              <w:rPr>
                <w:rFonts w:ascii="Arial" w:cs="Arial" w:eastAsia="Arial" w:hAnsi="Arial"/>
                <w:sz w:val="18"/>
                <w:szCs w:val="18"/>
                <w:color w:val="auto"/>
              </w:rPr>
              <w:t>Discontinued operations</w:t>
            </w:r>
          </w:p>
        </w:tc>
        <w:tc>
          <w:tcPr>
            <w:tcW w:w="200" w:type="dxa"/>
            <w:vAlign w:val="bottom"/>
          </w:tcPr>
          <w:p>
            <w:pPr>
              <w:spacing w:after="0"/>
              <w:rPr>
                <w:sz w:val="21"/>
                <w:szCs w:val="21"/>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(0.18)</w:t>
            </w:r>
          </w:p>
        </w:tc>
        <w:tc>
          <w:tcPr>
            <w:tcW w:w="26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(loss)</w:t>
            </w:r>
          </w:p>
        </w:tc>
        <w:tc>
          <w:tcPr>
            <w:tcW w:w="2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(1.51)</w:t>
            </w:r>
          </w:p>
        </w:tc>
        <w:tc>
          <w:tcPr>
            <w:tcW w:w="2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-3459480</wp:posOffset>
            </wp:positionV>
            <wp:extent cx="1270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-3459480</wp:posOffset>
            </wp:positionV>
            <wp:extent cx="1270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-3459480</wp:posOffset>
            </wp:positionV>
            <wp:extent cx="12700"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-3459480</wp:posOffset>
            </wp:positionV>
            <wp:extent cx="12700"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-3459480</wp:posOffset>
            </wp:positionV>
            <wp:extent cx="12700"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-3459480</wp:posOffset>
            </wp:positionV>
            <wp:extent cx="12700"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-2893695</wp:posOffset>
            </wp:positionV>
            <wp:extent cx="12700"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-2893695</wp:posOffset>
            </wp:positionV>
            <wp:extent cx="12700"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-2893695</wp:posOffset>
            </wp:positionV>
            <wp:extent cx="1270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-2893695</wp:posOffset>
            </wp:positionV>
            <wp:extent cx="1270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-2893695</wp:posOffset>
            </wp:positionV>
            <wp:extent cx="1270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-2893695</wp:posOffset>
            </wp:positionV>
            <wp:extent cx="12700"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-2465070</wp:posOffset>
            </wp:positionV>
            <wp:extent cx="1270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-2465070</wp:posOffset>
            </wp:positionV>
            <wp:extent cx="1270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-2465070</wp:posOffset>
            </wp:positionV>
            <wp:extent cx="12700"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-2465070</wp:posOffset>
            </wp:positionV>
            <wp:extent cx="12700"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-2465070</wp:posOffset>
            </wp:positionV>
            <wp:extent cx="12700"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-2465070</wp:posOffset>
            </wp:positionV>
            <wp:extent cx="1270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-1727200</wp:posOffset>
            </wp:positionV>
            <wp:extent cx="12700"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-1727200</wp:posOffset>
            </wp:positionV>
            <wp:extent cx="12700"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-1727200</wp:posOffset>
            </wp:positionV>
            <wp:extent cx="12700"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-1727200</wp:posOffset>
            </wp:positionV>
            <wp:extent cx="12700"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-1727200</wp:posOffset>
            </wp:positionV>
            <wp:extent cx="12700"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-1727200</wp:posOffset>
            </wp:positionV>
            <wp:extent cx="12700"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average shares listed below were not included in the computation of diluted earnings per share because the effect would have been antidilutive for the periods presented: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312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2002</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2001</w:t>
            </w:r>
          </w:p>
        </w:tc>
        <w:tc>
          <w:tcPr>
            <w:tcW w:w="180" w:type="dxa"/>
            <w:vAlign w:val="bottom"/>
          </w:tcPr>
          <w:p>
            <w:pPr>
              <w:spacing w:after="0"/>
              <w:rPr>
                <w:sz w:val="15"/>
                <w:szCs w:val="15"/>
                <w:color w:val="auto"/>
              </w:rPr>
            </w:pPr>
          </w:p>
        </w:tc>
        <w:tc>
          <w:tcPr>
            <w:tcW w:w="560" w:type="dxa"/>
            <w:vAlign w:val="bottom"/>
          </w:tcPr>
          <w:p>
            <w:pPr>
              <w:jc w:val="right"/>
              <w:ind w:right="57"/>
              <w:spacing w:after="0"/>
              <w:rPr>
                <w:sz w:val="20"/>
                <w:szCs w:val="20"/>
                <w:color w:val="auto"/>
              </w:rPr>
            </w:pPr>
            <w:r>
              <w:rPr>
                <w:rFonts w:ascii="Arial" w:cs="Arial" w:eastAsia="Arial" w:hAnsi="Arial"/>
                <w:sz w:val="14"/>
                <w:szCs w:val="14"/>
                <w:b w:val="1"/>
                <w:bCs w:val="1"/>
                <w:color w:val="auto"/>
              </w:rPr>
              <w:t>2000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720" w:type="dxa"/>
            <w:vAlign w:val="bottom"/>
          </w:tcPr>
          <w:p>
            <w:pPr>
              <w:spacing w:after="0"/>
              <w:rPr>
                <w:sz w:val="9"/>
                <w:szCs w:val="9"/>
                <w:color w:val="auto"/>
              </w:rPr>
            </w:pPr>
          </w:p>
        </w:tc>
        <w:tc>
          <w:tcPr>
            <w:tcW w:w="256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20" w:type="dxa"/>
            <w:vAlign w:val="bottom"/>
          </w:tcPr>
          <w:p>
            <w:pPr>
              <w:spacing w:after="0"/>
              <w:rPr>
                <w:sz w:val="9"/>
                <w:szCs w:val="9"/>
                <w:color w:val="auto"/>
              </w:rPr>
            </w:pPr>
          </w:p>
        </w:tc>
        <w:tc>
          <w:tcPr>
            <w:tcW w:w="25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Employee stock plans</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61.9</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8.4% convertible subordinated notes payable due 2005</w:t>
            </w:r>
          </w:p>
        </w:tc>
        <w:tc>
          <w:tcPr>
            <w:tcW w:w="25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80"/>
              <w:spacing w:after="0"/>
              <w:rPr>
                <w:sz w:val="20"/>
                <w:szCs w:val="20"/>
                <w:color w:val="auto"/>
              </w:rPr>
            </w:pPr>
            <w:r>
              <w:rPr>
                <w:rFonts w:ascii="Arial" w:cs="Arial" w:eastAsia="Arial" w:hAnsi="Arial"/>
                <w:sz w:val="18"/>
                <w:szCs w:val="18"/>
                <w:color w:val="auto"/>
              </w:rPr>
              <w:t>2.6</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Common stock warrants</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3.4</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2560" w:type="dxa"/>
            <w:vAlign w:val="bottom"/>
          </w:tcPr>
          <w:p>
            <w:pPr>
              <w:jc w:val="right"/>
              <w:ind w:right="1417"/>
              <w:spacing w:after="0"/>
              <w:rPr>
                <w:sz w:val="20"/>
                <w:szCs w:val="20"/>
                <w:color w:val="auto"/>
              </w:rPr>
            </w:pPr>
            <w:r>
              <w:rPr>
                <w:rFonts w:ascii="Arial" w:cs="Arial" w:eastAsia="Arial" w:hAnsi="Arial"/>
                <w:sz w:val="18"/>
                <w:szCs w:val="18"/>
                <w:color w:val="auto"/>
              </w:rPr>
              <w:t>45</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-765810</wp:posOffset>
            </wp:positionV>
            <wp:extent cx="12700"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-765810</wp:posOffset>
            </wp:positionV>
            <wp:extent cx="12700"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-765810</wp:posOffset>
            </wp:positionV>
            <wp:extent cx="12700"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-765810</wp:posOffset>
            </wp:positionV>
            <wp:extent cx="12700"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-765810</wp:posOffset>
            </wp:positionV>
            <wp:extent cx="12700"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-765810</wp:posOffset>
            </wp:positionV>
            <wp:extent cx="12700"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Toshiba Corporation DRAM Assets</w:t>
      </w:r>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On April 22, 2002, the Company acquired substantially all of the assets of Toshiba Corporation's ("Toshiba") DRAM business as conducted by Dominion Semiconductor L.L.C., a wholly-owned subsidiary of Toshiba located in Virginia (the "Toshiba DRAM Acquisition"). The total purchase price of $327.9 million included cash and 1.5 million shares of the Company's common stock, which was valued at $58.1 million on the date of acquisition. The purchase price was allocated to the assets acquired and liabilities assumed based on their estimated fair values. In connection with the purchase, the Company recorded total assets of $363.3 million, including property, plant and equipment of $292.8 million and intangible assets of $7.8 million, and total liabilities of $35.4 million. (See "Redeemable Common Stock" note.)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KMT Semiconductor Limited</w:t>
      </w:r>
    </w:p>
    <w:p>
      <w:pPr>
        <w:spacing w:after="0" w:line="225"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Through April 30, 2001, the Company participated in KMT Semiconductor Limited ("KMT"), a joint venture between the Company and Kobe Steel, Ltd. ("KSL") and purchased all of KMT's production at prices generally based on a discount from the Company's average selling prices. The Company was also party to various agreements with KMT whereby the Company provided assembly and test services, and technology, engineering, and training support to KMT. The net cost of products purchased from KMT amounted to $293.3 million and $556.8 million for 2001 and 2000, respectively.</w:t>
      </w:r>
    </w:p>
    <w:p>
      <w:pPr>
        <w:spacing w:after="0" w:line="167"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On April 30, 2001, the Company acquired KSL's 75% interest in KMT in a transaction (the "KMT Acquisition") that resulted in KMT becoming a wholly-owned subsidiary of the Company. The KMT Acquisition was accounted for as a business combination using the purchase method of accounting. The purchase price of $31.3 million, which includes $25.0 million cash paid to KSL for land and KSL's equity interest in KMT, is net of $37.7 million cash acquired and was allocated to the assets acquired and liabilities assumed based on their estimated fair values. In connection with the KMT Acquisition, the Company recorded total assets of $408.1 million, net of cash acquired, including deferred income tax assets of $204.6 million and property, plant and equipment of $103.6 million, and total liabilities of $376.8 million, including debt and capital lease obligations totaling $296.4 million. The results of operations of KMT have been included in the accompanying financial statements from the date of acquisition. On April 1, 2002, KMT's name was changed to Micron Japan, Ltd.</w:t>
      </w:r>
    </w:p>
    <w:p>
      <w:pPr>
        <w:spacing w:after="0" w:line="172"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The following unaudited pro forma information presents the consolidated results of operations of the Company as if the KMT Acquisition had taken place at the beginning of 2001 and 2000. The pro forma information does not necessarily reflect the actual results that would have occurred nor is it necessarily indicative of future results of operations.</w:t>
      </w:r>
    </w:p>
    <w:p>
      <w:pPr>
        <w:spacing w:after="0" w:line="190" w:lineRule="exact"/>
        <w:rPr>
          <w:sz w:val="20"/>
          <w:szCs w:val="20"/>
          <w:color w:val="auto"/>
        </w:rPr>
      </w:pPr>
    </w:p>
    <w:p>
      <w:pPr>
        <w:ind w:left="7740"/>
        <w:spacing w:after="0"/>
        <w:tabs>
          <w:tab w:leader="none" w:pos="9020" w:val="left"/>
        </w:tabs>
        <w:rPr>
          <w:sz w:val="20"/>
          <w:szCs w:val="20"/>
          <w:color w:val="auto"/>
        </w:rPr>
      </w:pPr>
      <w:r>
        <w:rPr>
          <w:rFonts w:ascii="Arial" w:cs="Arial" w:eastAsia="Arial" w:hAnsi="Arial"/>
          <w:sz w:val="14"/>
          <w:szCs w:val="14"/>
          <w:b w:val="1"/>
          <w:bCs w:val="1"/>
          <w:color w:val="auto"/>
        </w:rPr>
        <w:t>2001</w:t>
      </w:r>
      <w:r>
        <w:rPr>
          <w:sz w:val="20"/>
          <w:szCs w:val="20"/>
          <w:color w:val="auto"/>
        </w:rPr>
        <w:tab/>
      </w:r>
      <w:r>
        <w:rPr>
          <w:rFonts w:ascii="Arial" w:cs="Arial" w:eastAsia="Arial" w:hAnsi="Arial"/>
          <w:sz w:val="14"/>
          <w:szCs w:val="14"/>
          <w:b w:val="1"/>
          <w:bCs w:val="1"/>
          <w:color w:val="auto"/>
        </w:rPr>
        <w:t>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66675</wp:posOffset>
            </wp:positionV>
            <wp:extent cx="1522095" cy="215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522095" cy="21590"/>
                    </a:xfrm>
                    <a:prstGeom prst="rect">
                      <a:avLst/>
                    </a:prstGeom>
                    <a:noFill/>
                  </pic:spPr>
                </pic:pic>
              </a:graphicData>
            </a:graphic>
          </wp:anchor>
        </w:drawing>
      </w:r>
    </w:p>
    <w:p>
      <w:pPr>
        <w:spacing w:after="0" w:line="211" w:lineRule="exact"/>
        <w:rPr>
          <w:sz w:val="20"/>
          <w:szCs w:val="20"/>
          <w:color w:val="auto"/>
        </w:rPr>
      </w:pPr>
    </w:p>
    <w:p>
      <w:pPr>
        <w:ind w:left="8180"/>
        <w:spacing w:after="0"/>
        <w:rPr>
          <w:sz w:val="20"/>
          <w:szCs w:val="20"/>
          <w:color w:val="auto"/>
        </w:rPr>
      </w:pPr>
      <w:r>
        <w:rPr>
          <w:rFonts w:ascii="Arial" w:cs="Arial" w:eastAsia="Arial" w:hAnsi="Arial"/>
          <w:sz w:val="14"/>
          <w:szCs w:val="14"/>
          <w:b w:val="1"/>
          <w:bCs w:val="1"/>
          <w:color w:val="auto"/>
        </w:rPr>
        <w:t>(unaudited)</w:t>
      </w:r>
    </w:p>
    <w:p>
      <w:pPr>
        <w:sectPr>
          <w:pgSz w:w="11900" w:h="16838" w:orient="portrait"/>
          <w:cols w:equalWidth="0" w:num="1">
            <w:col w:w="11360"/>
          </w:cols>
          <w:pgMar w:left="240" w:top="125" w:right="299" w:bottom="0" w:gutter="0" w:footer="0" w:header="0"/>
        </w:sectPr>
      </w:pPr>
    </w:p>
    <w:p>
      <w:pPr>
        <w:spacing w:after="0" w:line="235" w:lineRule="exact"/>
        <w:rPr>
          <w:sz w:val="20"/>
          <w:szCs w:val="20"/>
          <w:color w:val="auto"/>
        </w:rPr>
      </w:pPr>
    </w:p>
    <w:p>
      <w:pPr>
        <w:ind w:left="1720"/>
        <w:spacing w:after="0"/>
        <w:tabs>
          <w:tab w:leader="none" w:pos="7300" w:val="left"/>
          <w:tab w:leader="none" w:pos="7880" w:val="left"/>
          <w:tab w:leader="none" w:pos="8640" w:val="left"/>
          <w:tab w:leader="none" w:pos="9160" w:val="left"/>
        </w:tabs>
        <w:rPr>
          <w:sz w:val="20"/>
          <w:szCs w:val="20"/>
          <w:color w:val="auto"/>
        </w:rPr>
      </w:pPr>
      <w:r>
        <w:rPr>
          <w:rFonts w:ascii="Arial" w:cs="Arial" w:eastAsia="Arial" w:hAnsi="Arial"/>
          <w:sz w:val="18"/>
          <w:szCs w:val="18"/>
          <w:color w:val="auto"/>
        </w:rPr>
        <w:t>Net sales from continuing operations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3,935.9</w:t>
        <w:tab/>
        <w:t>$</w:t>
      </w:r>
      <w:r>
        <w:rPr>
          <w:sz w:val="20"/>
          <w:szCs w:val="20"/>
          <w:color w:val="auto"/>
        </w:rPr>
        <w:tab/>
      </w:r>
      <w:r>
        <w:rPr>
          <w:rFonts w:ascii="Arial" w:cs="Arial" w:eastAsia="Arial" w:hAnsi="Arial"/>
          <w:sz w:val="15"/>
          <w:szCs w:val="15"/>
          <w:color w:val="auto"/>
        </w:rPr>
        <w:t>6,362.4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-125730</wp:posOffset>
            </wp:positionV>
            <wp:extent cx="5068570" cy="13716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sectPr>
          <w:pgSz w:w="11900" w:h="16838" w:orient="portrait"/>
          <w:cols w:equalWidth="0" w:num="1">
            <w:col w:w="11360"/>
          </w:cols>
          <w:pgMar w:left="240" w:top="125" w:right="299" w:bottom="0" w:gutter="0" w:footer="0" w:header="0"/>
          <w:type w:val="continuous"/>
        </w:sectPr>
      </w:pPr>
    </w:p>
    <w:bookmarkStart w:id="30" w:name="page31"/>
    <w:bookmarkEnd w:id="30"/>
    <w:p>
      <w:pPr>
        <w:spacing w:after="0" w:line="62" w:lineRule="exact"/>
        <w:rPr>
          <w:sz w:val="20"/>
          <w:szCs w:val="20"/>
          <w:color w:val="auto"/>
        </w:rPr>
      </w:pPr>
    </w:p>
    <w:tbl>
      <w:tblPr>
        <w:tblLayout w:type="fixed"/>
        <w:tblInd w:w="1720" w:type="dxa"/>
        <w:tblCellMar>
          <w:top w:w="0" w:type="dxa"/>
          <w:left w:w="0" w:type="dxa"/>
          <w:bottom w:w="0" w:type="dxa"/>
          <w:right w:w="0" w:type="dxa"/>
        </w:tblCellMar>
      </w:tblPr>
      <w:tr>
        <w:trPr>
          <w:trHeight w:val="222"/>
        </w:trPr>
        <w:tc>
          <w:tcPr>
            <w:tcW w:w="5800" w:type="dxa"/>
            <w:vAlign w:val="bottom"/>
          </w:tcPr>
          <w:p>
            <w:pPr>
              <w:spacing w:after="0"/>
              <w:rPr>
                <w:sz w:val="20"/>
                <w:szCs w:val="20"/>
                <w:color w:val="auto"/>
              </w:rPr>
            </w:pPr>
            <w:r>
              <w:rPr>
                <w:rFonts w:ascii="Arial" w:cs="Arial" w:eastAsia="Arial" w:hAnsi="Arial"/>
                <w:sz w:val="18"/>
                <w:szCs w:val="18"/>
                <w:color w:val="auto"/>
                <w:w w:val="97"/>
              </w:rPr>
              <w:t>Income (loss) from continuing operations, net of taxes and minority interest</w:t>
            </w:r>
          </w:p>
        </w:tc>
        <w:tc>
          <w:tcPr>
            <w:tcW w:w="1320" w:type="dxa"/>
            <w:vAlign w:val="bottom"/>
          </w:tcPr>
          <w:p>
            <w:pPr>
              <w:jc w:val="right"/>
              <w:ind w:right="252"/>
              <w:spacing w:after="0"/>
              <w:rPr>
                <w:sz w:val="20"/>
                <w:szCs w:val="20"/>
                <w:color w:val="auto"/>
              </w:rPr>
            </w:pPr>
            <w:r>
              <w:rPr>
                <w:rFonts w:ascii="Arial" w:cs="Arial" w:eastAsia="Arial" w:hAnsi="Arial"/>
                <w:sz w:val="18"/>
                <w:szCs w:val="18"/>
                <w:color w:val="auto"/>
              </w:rPr>
              <w:t>(440.0)</w:t>
            </w:r>
          </w:p>
        </w:tc>
        <w:tc>
          <w:tcPr>
            <w:tcW w:w="860" w:type="dxa"/>
            <w:vAlign w:val="bottom"/>
          </w:tcPr>
          <w:p>
            <w:pPr>
              <w:jc w:val="right"/>
              <w:spacing w:after="0"/>
              <w:rPr>
                <w:sz w:val="20"/>
                <w:szCs w:val="20"/>
                <w:color w:val="auto"/>
              </w:rPr>
            </w:pPr>
            <w:r>
              <w:rPr>
                <w:rFonts w:ascii="Arial" w:cs="Arial" w:eastAsia="Arial" w:hAnsi="Arial"/>
                <w:sz w:val="18"/>
                <w:szCs w:val="18"/>
                <w:color w:val="auto"/>
              </w:rPr>
              <w:t>1,779.4</w:t>
            </w:r>
          </w:p>
        </w:tc>
      </w:tr>
      <w:tr>
        <w:trPr>
          <w:trHeight w:val="218"/>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Income (loss) per share from continuing operations—diluted</w:t>
            </w:r>
          </w:p>
        </w:tc>
        <w:tc>
          <w:tcPr>
            <w:tcW w:w="132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(0.74)</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Venture</w:t>
      </w:r>
    </w:p>
    <w:p>
      <w:pPr>
        <w:spacing w:after="0" w:line="231"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TECH Semiconductor Singapore Pte. Ltd. ("TECH") is a memory manufacturing joint venture in Singapore among Micron Technology, Inc., the Singapore Economic Development Board, Canon Inc. and Hewlett-Packard Company. TECH's semiconductor manufacturing facilities use the Company's product and process technology. Subject to specific terms and conditions, the Company has agreed to purchase all of the products manufactured by TECH. The Company generally purchases semiconductor</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memory products from TECH at prices determined quarterly, based on a discount from average selling prices realized by the Company for the immediately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preceding quarter. The Company performs assembly and test services on product manufactured by TECH. The Company also provides certain technology,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engineering and training to support TECH. All of these transactions with TECH are recognized as part of the net cost of products purchased from TECH. The net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cost of products purchased from TECH amounted to $182.3 million, $726.0 million and $579.8 million for 2002, 2001 and 2000, respectively. In 2000, as part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 equity capital infusion by the majority of TECH's shareholders, the Company funded TECH with $98.0 million as support for continuing the TECH supply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arrangement. The Company amortizes the value of the TECH supply arrangement on a straight-line basis over the remaining contractual life of the TECH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shareholders' agreement. Amortization expense resulting from the TECH supply arrangement, included in the cost of product purchased from TECH,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$10.1 million, $10.6 million and $2.8 million for 2002, 2001 and 2000, respectively. Receivables from TECH were $10.5 million and payables to TECH were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$52.8 million as of August 29, 2002. Receivables from TECH were $25.3 million and payables to TECH were $40.6 million as of August 30, 2001. During 2002,</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2001 and 2000, the Company sold semiconductor equipment to TECH for $1.0 million, $0.1 million and $4.9 million,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Segment Information</w:t>
      </w:r>
    </w:p>
    <w:p>
      <w:pPr>
        <w:spacing w:after="0" w:line="231" w:lineRule="exact"/>
        <w:rPr>
          <w:sz w:val="20"/>
          <w:szCs w:val="20"/>
          <w:color w:val="auto"/>
        </w:rPr>
      </w:pPr>
    </w:p>
    <w:p>
      <w:pPr>
        <w:ind w:right="300" w:firstLine="348"/>
        <w:spacing w:after="0" w:line="298" w:lineRule="auto"/>
        <w:rPr>
          <w:sz w:val="20"/>
          <w:szCs w:val="20"/>
          <w:color w:val="auto"/>
        </w:rPr>
      </w:pPr>
      <w:r>
        <w:rPr>
          <w:rFonts w:ascii="Arial" w:cs="Arial" w:eastAsia="Arial" w:hAnsi="Arial"/>
          <w:sz w:val="16"/>
          <w:szCs w:val="16"/>
          <w:color w:val="auto"/>
        </w:rPr>
        <w:t>The Company's reportable segments have been determined based on the nature of its operations and products offered to customers. Through 2001, the Company's two reportable segments were Semiconductor Operations and Web-hosting Operations. As a result of the Interland Merger on August 6, 2001, the Company's only reportable segment is Semiconductor Operations. The Semiconductor Operations segment's primary product is DRAM. The Web-hosting Operations segment provided web-hosting and other internet products and services.</w:t>
      </w:r>
    </w:p>
    <w:p>
      <w:pPr>
        <w:spacing w:after="0" w:line="167" w:lineRule="exact"/>
        <w:rPr>
          <w:sz w:val="20"/>
          <w:szCs w:val="20"/>
          <w:color w:val="auto"/>
        </w:rPr>
      </w:pPr>
    </w:p>
    <w:p>
      <w:pPr>
        <w:ind w:right="240" w:firstLine="351"/>
        <w:spacing w:after="0" w:line="332" w:lineRule="auto"/>
        <w:rPr>
          <w:sz w:val="20"/>
          <w:szCs w:val="20"/>
          <w:color w:val="auto"/>
        </w:rPr>
      </w:pPr>
      <w:r>
        <w:rPr>
          <w:rFonts w:ascii="Arial" w:cs="Arial" w:eastAsia="Arial" w:hAnsi="Arial"/>
          <w:sz w:val="16"/>
          <w:szCs w:val="16"/>
          <w:color w:val="auto"/>
        </w:rPr>
        <w:t>Segment operating results are measured based on operating income or loss. Segment assets consisted of assets that were identified to reportable segments and reviewed by the chief operating decision makers. Included in segment assets were cash, investment securities, accounts receivable,</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inventories and property, plant and equipment. De minimus amounts of intersegment eliminations of sales and operating income have been included with Other.</w:t>
      </w:r>
    </w:p>
    <w:p>
      <w:pPr>
        <w:spacing w:after="0" w:line="244" w:lineRule="exact"/>
        <w:rPr>
          <w:sz w:val="20"/>
          <w:szCs w:val="20"/>
          <w:color w:val="auto"/>
        </w:rPr>
      </w:pPr>
    </w:p>
    <w:tbl>
      <w:tblPr>
        <w:tblLayout w:type="fixed"/>
        <w:tblInd w:w="1660" w:type="dxa"/>
        <w:tblCellMar>
          <w:top w:w="0" w:type="dxa"/>
          <w:left w:w="0" w:type="dxa"/>
          <w:bottom w:w="0" w:type="dxa"/>
          <w:right w:w="0" w:type="dxa"/>
        </w:tblCellMar>
      </w:tblPr>
      <w:tr>
        <w:trPr>
          <w:trHeight w:val="174"/>
        </w:trPr>
        <w:tc>
          <w:tcPr>
            <w:tcW w:w="5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353"/>
              <w:spacing w:after="0"/>
              <w:rPr>
                <w:sz w:val="20"/>
                <w:szCs w:val="20"/>
                <w:color w:val="auto"/>
              </w:rPr>
            </w:pPr>
            <w:r>
              <w:rPr>
                <w:rFonts w:ascii="Arial" w:cs="Arial" w:eastAsia="Arial" w:hAnsi="Arial"/>
                <w:sz w:val="14"/>
                <w:szCs w:val="14"/>
                <w:b w:val="1"/>
                <w:bCs w:val="1"/>
                <w:color w:val="auto"/>
              </w:rPr>
              <w:t>2001</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293"/>
              <w:spacing w:after="0"/>
              <w:rPr>
                <w:sz w:val="20"/>
                <w:szCs w:val="20"/>
                <w:color w:val="auto"/>
              </w:rPr>
            </w:pPr>
            <w:r>
              <w:rPr>
                <w:rFonts w:ascii="Arial" w:cs="Arial" w:eastAsia="Arial" w:hAnsi="Arial"/>
                <w:sz w:val="14"/>
                <w:szCs w:val="14"/>
                <w:b w:val="1"/>
                <w:bCs w:val="1"/>
                <w:color w:val="auto"/>
              </w:rPr>
              <w:t>2000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56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5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26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60" w:type="dxa"/>
            <w:vAlign w:val="bottom"/>
          </w:tcPr>
          <w:p>
            <w:pPr>
              <w:ind w:left="260"/>
              <w:spacing w:after="0"/>
              <w:rPr>
                <w:sz w:val="20"/>
                <w:szCs w:val="20"/>
                <w:color w:val="auto"/>
              </w:rPr>
            </w:pPr>
            <w:r>
              <w:rPr>
                <w:rFonts w:ascii="Arial" w:cs="Arial" w:eastAsia="Arial" w:hAnsi="Arial"/>
                <w:sz w:val="18"/>
                <w:szCs w:val="18"/>
                <w:color w:val="auto"/>
              </w:rPr>
              <w:t>Semiconductor Operations:</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External</w:t>
            </w:r>
          </w:p>
        </w:tc>
        <w:tc>
          <w:tcPr>
            <w:tcW w:w="2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3,861.0</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6,278.4</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660" w:type="dxa"/>
            <w:vAlign w:val="bottom"/>
          </w:tcPr>
          <w:p>
            <w:pPr>
              <w:ind w:left="500"/>
              <w:spacing w:after="0"/>
              <w:rPr>
                <w:sz w:val="20"/>
                <w:szCs w:val="20"/>
                <w:color w:val="auto"/>
              </w:rPr>
            </w:pPr>
            <w:r>
              <w:rPr>
                <w:rFonts w:ascii="Arial" w:cs="Arial" w:eastAsia="Arial" w:hAnsi="Arial"/>
                <w:sz w:val="18"/>
                <w:szCs w:val="18"/>
                <w:color w:val="auto"/>
              </w:rPr>
              <w:t>Sales to discontinued PC Operations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21.6</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5660" w:type="dxa"/>
            <w:vAlign w:val="bottom"/>
          </w:tcPr>
          <w:p>
            <w:pPr>
              <w:spacing w:after="0"/>
              <w:rPr>
                <w:sz w:val="12"/>
                <w:szCs w:val="12"/>
                <w:color w:val="auto"/>
              </w:rPr>
            </w:pPr>
          </w:p>
        </w:tc>
        <w:tc>
          <w:tcPr>
            <w:tcW w:w="260" w:type="dxa"/>
            <w:vAlign w:val="bottom"/>
            <w:tcBorders>
              <w:bottom w:val="single" w:sz="8" w:color="808080"/>
            </w:tcBorders>
          </w:tcPr>
          <w:p>
            <w:pPr>
              <w:spacing w:after="0"/>
              <w:rPr>
                <w:sz w:val="12"/>
                <w:szCs w:val="12"/>
                <w:color w:val="auto"/>
              </w:rPr>
            </w:pPr>
          </w:p>
        </w:tc>
        <w:tc>
          <w:tcPr>
            <w:tcW w:w="880" w:type="dxa"/>
            <w:vAlign w:val="bottom"/>
            <w:tcBorders>
              <w:bottom w:val="single" w:sz="8" w:color="808080"/>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800" w:type="dxa"/>
            <w:vAlign w:val="bottom"/>
            <w:tcBorders>
              <w:bottom w:val="single" w:sz="8" w:color="808080"/>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5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3,882.6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5660" w:type="dxa"/>
            <w:vAlign w:val="bottom"/>
            <w:vMerge w:val="restart"/>
          </w:tcPr>
          <w:p>
            <w:pPr>
              <w:ind w:left="260"/>
              <w:spacing w:after="0"/>
              <w:rPr>
                <w:sz w:val="20"/>
                <w:szCs w:val="20"/>
                <w:color w:val="auto"/>
              </w:rPr>
            </w:pPr>
            <w:r>
              <w:rPr>
                <w:rFonts w:ascii="Arial" w:cs="Arial" w:eastAsia="Arial" w:hAnsi="Arial"/>
                <w:sz w:val="18"/>
                <w:szCs w:val="18"/>
                <w:color w:val="auto"/>
              </w:rPr>
              <w:t>Web-hosting Operations:</w:t>
            </w:r>
          </w:p>
        </w:tc>
        <w:tc>
          <w:tcPr>
            <w:tcW w:w="2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6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5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External</w:t>
            </w: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660" w:type="dxa"/>
            <w:vAlign w:val="bottom"/>
          </w:tcPr>
          <w:p>
            <w:pPr>
              <w:ind w:left="500"/>
              <w:spacing w:after="0"/>
              <w:rPr>
                <w:sz w:val="20"/>
                <w:szCs w:val="20"/>
                <w:color w:val="auto"/>
              </w:rPr>
            </w:pPr>
            <w:r>
              <w:rPr>
                <w:rFonts w:ascii="Arial" w:cs="Arial" w:eastAsia="Arial" w:hAnsi="Arial"/>
                <w:sz w:val="18"/>
                <w:szCs w:val="18"/>
                <w:color w:val="auto"/>
              </w:rPr>
              <w:t>Intersegment</w:t>
            </w:r>
          </w:p>
        </w:tc>
        <w:tc>
          <w:tcPr>
            <w:tcW w:w="26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5660" w:type="dxa"/>
            <w:vAlign w:val="bottom"/>
          </w:tcPr>
          <w:p>
            <w:pPr>
              <w:spacing w:after="0"/>
              <w:rPr>
                <w:sz w:val="12"/>
                <w:szCs w:val="12"/>
                <w:color w:val="auto"/>
              </w:rPr>
            </w:pPr>
          </w:p>
        </w:tc>
        <w:tc>
          <w:tcPr>
            <w:tcW w:w="260" w:type="dxa"/>
            <w:vAlign w:val="bottom"/>
            <w:tcBorders>
              <w:bottom w:val="single" w:sz="8" w:color="808080"/>
            </w:tcBorders>
          </w:tcPr>
          <w:p>
            <w:pPr>
              <w:spacing w:after="0"/>
              <w:rPr>
                <w:sz w:val="12"/>
                <w:szCs w:val="12"/>
                <w:color w:val="auto"/>
              </w:rPr>
            </w:pPr>
          </w:p>
        </w:tc>
        <w:tc>
          <w:tcPr>
            <w:tcW w:w="880" w:type="dxa"/>
            <w:vAlign w:val="bottom"/>
            <w:tcBorders>
              <w:bottom w:val="single" w:sz="8" w:color="808080"/>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800" w:type="dxa"/>
            <w:vAlign w:val="bottom"/>
            <w:tcBorders>
              <w:bottom w:val="single" w:sz="8" w:color="808080"/>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5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566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660" w:type="dxa"/>
            <w:vAlign w:val="bottom"/>
          </w:tcPr>
          <w:p>
            <w:pPr>
              <w:ind w:left="26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147"/>
        </w:trPr>
        <w:tc>
          <w:tcPr>
            <w:tcW w:w="5660" w:type="dxa"/>
            <w:vAlign w:val="bottom"/>
          </w:tcPr>
          <w:p>
            <w:pPr>
              <w:spacing w:after="0"/>
              <w:rPr>
                <w:sz w:val="12"/>
                <w:szCs w:val="12"/>
                <w:color w:val="auto"/>
              </w:rPr>
            </w:pPr>
          </w:p>
        </w:tc>
        <w:tc>
          <w:tcPr>
            <w:tcW w:w="260" w:type="dxa"/>
            <w:vAlign w:val="bottom"/>
            <w:tcBorders>
              <w:bottom w:val="single" w:sz="8" w:color="808080"/>
            </w:tcBorders>
          </w:tcPr>
          <w:p>
            <w:pPr>
              <w:spacing w:after="0"/>
              <w:rPr>
                <w:sz w:val="12"/>
                <w:szCs w:val="12"/>
                <w:color w:val="auto"/>
              </w:rPr>
            </w:pPr>
          </w:p>
        </w:tc>
        <w:tc>
          <w:tcPr>
            <w:tcW w:w="880" w:type="dxa"/>
            <w:vAlign w:val="bottom"/>
            <w:tcBorders>
              <w:bottom w:val="single" w:sz="8" w:color="808080"/>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800" w:type="dxa"/>
            <w:vAlign w:val="bottom"/>
            <w:tcBorders>
              <w:bottom w:val="single" w:sz="8" w:color="808080"/>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5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5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Consolidated net sales</w:t>
            </w:r>
          </w:p>
        </w:tc>
        <w:tc>
          <w:tcPr>
            <w:tcW w:w="2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3,935.9</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6,362.4</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5660" w:type="dxa"/>
            <w:vAlign w:val="bottom"/>
            <w:vMerge w:val="restart"/>
          </w:tcPr>
          <w:p>
            <w:pPr>
              <w:spacing w:after="0"/>
              <w:rPr>
                <w:sz w:val="20"/>
                <w:szCs w:val="20"/>
                <w:color w:val="auto"/>
              </w:rPr>
            </w:pPr>
            <w:r>
              <w:rPr>
                <w:rFonts w:ascii="Arial" w:cs="Arial" w:eastAsia="Arial" w:hAnsi="Arial"/>
                <w:sz w:val="18"/>
                <w:szCs w:val="18"/>
                <w:b w:val="1"/>
                <w:bCs w:val="1"/>
                <w:color w:val="auto"/>
              </w:rPr>
              <w:t>Operating income (loss)</w:t>
            </w: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660" w:type="dxa"/>
            <w:vAlign w:val="bottom"/>
            <w:vMerge w:val="continue"/>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8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56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6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Semiconductor Operations</w:t>
            </w:r>
          </w:p>
        </w:tc>
        <w:tc>
          <w:tcPr>
            <w:tcW w:w="2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(920.8)</w:t>
            </w:r>
          </w:p>
        </w:tc>
        <w:tc>
          <w:tcPr>
            <w:tcW w:w="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2,445.6</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660" w:type="dxa"/>
            <w:vAlign w:val="bottom"/>
          </w:tcPr>
          <w:p>
            <w:pPr>
              <w:ind w:left="260"/>
              <w:spacing w:after="0"/>
              <w:rPr>
                <w:sz w:val="20"/>
                <w:szCs w:val="20"/>
                <w:color w:val="auto"/>
              </w:rPr>
            </w:pPr>
            <w:r>
              <w:rPr>
                <w:rFonts w:ascii="Arial" w:cs="Arial" w:eastAsia="Arial" w:hAnsi="Arial"/>
                <w:sz w:val="18"/>
                <w:szCs w:val="18"/>
                <w:color w:val="auto"/>
              </w:rPr>
              <w:t>Web-hosting Operations</w:t>
            </w:r>
          </w:p>
        </w:tc>
        <w:tc>
          <w:tcPr>
            <w:tcW w:w="2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(56.1)</w:t>
            </w:r>
          </w:p>
        </w:tc>
        <w:tc>
          <w:tcPr>
            <w:tcW w:w="24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1"/>
        </w:trPr>
        <w:tc>
          <w:tcPr>
            <w:tcW w:w="5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18"/>
        </w:trPr>
        <w:tc>
          <w:tcPr>
            <w:tcW w:w="566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660" w:type="dxa"/>
            <w:vAlign w:val="bottom"/>
          </w:tcPr>
          <w:p>
            <w:pPr>
              <w:ind w:left="500"/>
              <w:spacing w:after="0"/>
              <w:rPr>
                <w:sz w:val="20"/>
                <w:szCs w:val="20"/>
                <w:color w:val="auto"/>
              </w:rPr>
            </w:pPr>
            <w:r>
              <w:rPr>
                <w:rFonts w:ascii="Arial" w:cs="Arial" w:eastAsia="Arial" w:hAnsi="Arial"/>
                <w:sz w:val="18"/>
                <w:szCs w:val="18"/>
                <w:color w:val="auto"/>
              </w:rPr>
              <w:t>Consolidated operating income (loss)</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(976.5)</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2,392.7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5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566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8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5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expenditures</w:t>
            </w:r>
          </w:p>
        </w:tc>
        <w:tc>
          <w:tcPr>
            <w:tcW w:w="26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60" w:type="dxa"/>
            <w:vAlign w:val="bottom"/>
          </w:tcPr>
          <w:p>
            <w:pPr>
              <w:ind w:left="260"/>
              <w:spacing w:after="0"/>
              <w:rPr>
                <w:sz w:val="20"/>
                <w:szCs w:val="20"/>
                <w:color w:val="auto"/>
              </w:rPr>
            </w:pPr>
            <w:r>
              <w:rPr>
                <w:rFonts w:ascii="Arial" w:cs="Arial" w:eastAsia="Arial" w:hAnsi="Arial"/>
                <w:sz w:val="18"/>
                <w:szCs w:val="18"/>
                <w:color w:val="auto"/>
              </w:rPr>
              <w:t>Semiconductor Operations</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1,469.5</w:t>
            </w:r>
          </w:p>
        </w:tc>
        <w:tc>
          <w:tcPr>
            <w:tcW w:w="2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1,103.4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Web-hosting Operations</w:t>
            </w: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660" w:type="dxa"/>
            <w:vAlign w:val="bottom"/>
          </w:tcPr>
          <w:p>
            <w:pPr>
              <w:ind w:left="26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139"/>
        </w:trPr>
        <w:tc>
          <w:tcPr>
            <w:tcW w:w="5660" w:type="dxa"/>
            <w:vAlign w:val="bottom"/>
          </w:tcPr>
          <w:p>
            <w:pPr>
              <w:spacing w:after="0"/>
              <w:rPr>
                <w:sz w:val="12"/>
                <w:szCs w:val="12"/>
                <w:color w:val="auto"/>
              </w:rPr>
            </w:pPr>
          </w:p>
        </w:tc>
        <w:tc>
          <w:tcPr>
            <w:tcW w:w="260" w:type="dxa"/>
            <w:vAlign w:val="bottom"/>
            <w:tcBorders>
              <w:bottom w:val="single" w:sz="8" w:color="808080"/>
            </w:tcBorders>
          </w:tcPr>
          <w:p>
            <w:pPr>
              <w:spacing w:after="0"/>
              <w:rPr>
                <w:sz w:val="12"/>
                <w:szCs w:val="12"/>
                <w:color w:val="auto"/>
              </w:rPr>
            </w:pPr>
          </w:p>
        </w:tc>
        <w:tc>
          <w:tcPr>
            <w:tcW w:w="880" w:type="dxa"/>
            <w:vAlign w:val="bottom"/>
            <w:tcBorders>
              <w:bottom w:val="single" w:sz="8" w:color="808080"/>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800" w:type="dxa"/>
            <w:vAlign w:val="bottom"/>
            <w:tcBorders>
              <w:bottom w:val="single" w:sz="8" w:color="808080"/>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5660" w:type="dxa"/>
            <w:vAlign w:val="bottom"/>
            <w:tcBorders>
              <w:bottom w:val="single" w:sz="8" w:color="CCEEFF"/>
            </w:tcBorders>
          </w:tcPr>
          <w:p>
            <w:pPr>
              <w:spacing w:after="0"/>
              <w:rPr>
                <w:sz w:val="9"/>
                <w:szCs w:val="9"/>
                <w:color w:val="auto"/>
              </w:rPr>
            </w:pPr>
          </w:p>
        </w:tc>
        <w:tc>
          <w:tcPr>
            <w:tcW w:w="260" w:type="dxa"/>
            <w:vAlign w:val="bottom"/>
            <w:tcBorders>
              <w:bottom w:val="single" w:sz="8" w:color="CCEEFF"/>
            </w:tcBorders>
          </w:tcPr>
          <w:p>
            <w:pPr>
              <w:spacing w:after="0"/>
              <w:rPr>
                <w:sz w:val="9"/>
                <w:szCs w:val="9"/>
                <w:color w:val="auto"/>
              </w:rPr>
            </w:pPr>
          </w:p>
        </w:tc>
        <w:tc>
          <w:tcPr>
            <w:tcW w:w="880" w:type="dxa"/>
            <w:vAlign w:val="bottom"/>
            <w:tcBorders>
              <w:bottom w:val="single" w:sz="8" w:color="CCEEFF"/>
            </w:tcBorders>
          </w:tcPr>
          <w:p>
            <w:pPr>
              <w:spacing w:after="0"/>
              <w:rPr>
                <w:sz w:val="9"/>
                <w:szCs w:val="9"/>
                <w:color w:val="auto"/>
              </w:rPr>
            </w:pPr>
          </w:p>
        </w:tc>
        <w:tc>
          <w:tcPr>
            <w:tcW w:w="200" w:type="dxa"/>
            <w:vAlign w:val="bottom"/>
            <w:tcBorders>
              <w:bottom w:val="single" w:sz="8" w:color="CCEEFF"/>
            </w:tcBorders>
          </w:tcPr>
          <w:p>
            <w:pPr>
              <w:spacing w:after="0"/>
              <w:rPr>
                <w:sz w:val="9"/>
                <w:szCs w:val="9"/>
                <w:color w:val="auto"/>
              </w:rPr>
            </w:pPr>
          </w:p>
        </w:tc>
        <w:tc>
          <w:tcPr>
            <w:tcW w:w="240" w:type="dxa"/>
            <w:vAlign w:val="bottom"/>
            <w:tcBorders>
              <w:bottom w:val="single" w:sz="8" w:color="CCEEFF"/>
            </w:tcBorders>
          </w:tcPr>
          <w:p>
            <w:pPr>
              <w:spacing w:after="0"/>
              <w:rPr>
                <w:sz w:val="9"/>
                <w:szCs w:val="9"/>
                <w:color w:val="auto"/>
              </w:rPr>
            </w:pPr>
          </w:p>
        </w:tc>
        <w:tc>
          <w:tcPr>
            <w:tcW w:w="800" w:type="dxa"/>
            <w:vAlign w:val="bottom"/>
            <w:tcBorders>
              <w:bottom w:val="single" w:sz="8" w:color="CCEEFF"/>
            </w:tcBorders>
          </w:tcPr>
          <w:p>
            <w:pPr>
              <w:spacing w:after="0"/>
              <w:rPr>
                <w:sz w:val="9"/>
                <w:szCs w:val="9"/>
                <w:color w:val="auto"/>
              </w:rPr>
            </w:pPr>
          </w:p>
        </w:tc>
        <w:tc>
          <w:tcPr>
            <w:tcW w:w="6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5346065</wp:posOffset>
            </wp:positionH>
            <wp:positionV relativeFrom="paragraph">
              <wp:posOffset>-4516120</wp:posOffset>
            </wp:positionV>
            <wp:extent cx="12700"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-4516120</wp:posOffset>
            </wp:positionV>
            <wp:extent cx="12700"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-4516120</wp:posOffset>
            </wp:positionV>
            <wp:extent cx="12700"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-4516120</wp:posOffset>
            </wp:positionV>
            <wp:extent cx="12700"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-3761740</wp:posOffset>
            </wp:positionV>
            <wp:extent cx="12700"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-3761740</wp:posOffset>
            </wp:positionV>
            <wp:extent cx="12700"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-3761740</wp:posOffset>
            </wp:positionV>
            <wp:extent cx="12700"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-3761740</wp:posOffset>
            </wp:positionV>
            <wp:extent cx="12700"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-3469640</wp:posOffset>
            </wp:positionV>
            <wp:extent cx="12700"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-3469640</wp:posOffset>
            </wp:positionV>
            <wp:extent cx="12700"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-3469640</wp:posOffset>
            </wp:positionV>
            <wp:extent cx="12700"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-3469640</wp:posOffset>
            </wp:positionV>
            <wp:extent cx="12700"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-2852420</wp:posOffset>
            </wp:positionV>
            <wp:extent cx="12700"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-2852420</wp:posOffset>
            </wp:positionV>
            <wp:extent cx="12700"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-2852420</wp:posOffset>
            </wp:positionV>
            <wp:extent cx="12700"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-2852420</wp:posOffset>
            </wp:positionV>
            <wp:extent cx="12700"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-2560955</wp:posOffset>
            </wp:positionV>
            <wp:extent cx="12700"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-2560955</wp:posOffset>
            </wp:positionV>
            <wp:extent cx="12700"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-2560955</wp:posOffset>
            </wp:positionV>
            <wp:extent cx="12700"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-2560955</wp:posOffset>
            </wp:positionV>
            <wp:extent cx="12700"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-2252345</wp:posOffset>
            </wp:positionV>
            <wp:extent cx="12700"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-2252345</wp:posOffset>
            </wp:positionV>
            <wp:extent cx="12700"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-2252345</wp:posOffset>
            </wp:positionV>
            <wp:extent cx="12700"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-2252345</wp:posOffset>
            </wp:positionV>
            <wp:extent cx="12700"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-1171575</wp:posOffset>
            </wp:positionV>
            <wp:extent cx="12700"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-1171575</wp:posOffset>
            </wp:positionV>
            <wp:extent cx="12700"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-1171575</wp:posOffset>
            </wp:positionV>
            <wp:extent cx="12700"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-1171575</wp:posOffset>
            </wp:positionV>
            <wp:extent cx="12700"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-90805</wp:posOffset>
            </wp:positionV>
            <wp:extent cx="12700"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-90805</wp:posOffset>
            </wp:positionV>
            <wp:extent cx="12700"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-90805</wp:posOffset>
            </wp:positionV>
            <wp:extent cx="12700"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-90805</wp:posOffset>
            </wp:positionV>
            <wp:extent cx="12700"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380"/>
          </w:cols>
          <w:pgMar w:left="240" w:top="131" w:right="279" w:bottom="0" w:gutter="0" w:footer="0" w:header="0"/>
        </w:sectPr>
      </w:pPr>
    </w:p>
    <w:bookmarkStart w:id="31" w:name="page32"/>
    <w:bookmarkEnd w:id="31"/>
    <w:p>
      <w:pPr>
        <w:spacing w:after="0" w:line="16" w:lineRule="exact"/>
        <w:rPr>
          <w:sz w:val="20"/>
          <w:szCs w:val="20"/>
          <w:color w:val="auto"/>
        </w:rPr>
      </w:pPr>
    </w:p>
    <w:tbl>
      <w:tblPr>
        <w:tblLayout w:type="fixed"/>
        <w:tblInd w:w="1660" w:type="dxa"/>
        <w:tblCellMar>
          <w:top w:w="0" w:type="dxa"/>
          <w:left w:w="0" w:type="dxa"/>
          <w:bottom w:w="0" w:type="dxa"/>
          <w:right w:w="0" w:type="dxa"/>
        </w:tblCellMar>
      </w:tblPr>
      <w:tr>
        <w:trPr>
          <w:trHeight w:val="243"/>
        </w:trPr>
        <w:tc>
          <w:tcPr>
            <w:tcW w:w="56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Consolidated capital expenditures</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1,488.6</w:t>
            </w: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1,127.4</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5660" w:type="dxa"/>
            <w:vAlign w:val="bottom"/>
            <w:vMerge w:val="restart"/>
          </w:tcPr>
          <w:p>
            <w:pPr>
              <w:spacing w:after="0"/>
              <w:rPr>
                <w:sz w:val="20"/>
                <w:szCs w:val="20"/>
                <w:color w:val="auto"/>
              </w:rPr>
            </w:pPr>
            <w:r>
              <w:rPr>
                <w:rFonts w:ascii="Arial" w:cs="Arial" w:eastAsia="Arial" w:hAnsi="Arial"/>
                <w:sz w:val="18"/>
                <w:szCs w:val="18"/>
                <w:b w:val="1"/>
                <w:bCs w:val="1"/>
                <w:color w:val="auto"/>
              </w:rPr>
              <w:t>Depreciation and amortization</w:t>
            </w: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660" w:type="dxa"/>
            <w:vAlign w:val="bottom"/>
            <w:vMerge w:val="continue"/>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56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6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Semiconductor Operations</w:t>
            </w:r>
          </w:p>
        </w:tc>
        <w:tc>
          <w:tcPr>
            <w:tcW w:w="3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1,097.7</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955.8</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660" w:type="dxa"/>
            <w:vAlign w:val="bottom"/>
          </w:tcPr>
          <w:p>
            <w:pPr>
              <w:ind w:left="260"/>
              <w:spacing w:after="0"/>
              <w:rPr>
                <w:sz w:val="20"/>
                <w:szCs w:val="20"/>
                <w:color w:val="auto"/>
              </w:rPr>
            </w:pPr>
            <w:r>
              <w:rPr>
                <w:rFonts w:ascii="Arial" w:cs="Arial" w:eastAsia="Arial" w:hAnsi="Arial"/>
                <w:sz w:val="18"/>
                <w:szCs w:val="18"/>
                <w:color w:val="auto"/>
              </w:rPr>
              <w:t>Web-hosting Operations</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22.5</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w:t>
            </w:r>
          </w:p>
        </w:tc>
        <w:tc>
          <w:tcPr>
            <w:tcW w:w="3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566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660" w:type="dxa"/>
            <w:vAlign w:val="bottom"/>
          </w:tcPr>
          <w:p>
            <w:pPr>
              <w:ind w:left="500"/>
              <w:spacing w:after="0"/>
              <w:rPr>
                <w:sz w:val="20"/>
                <w:szCs w:val="20"/>
                <w:color w:val="auto"/>
              </w:rPr>
            </w:pPr>
            <w:r>
              <w:rPr>
                <w:rFonts w:ascii="Arial" w:cs="Arial" w:eastAsia="Arial" w:hAnsi="Arial"/>
                <w:sz w:val="18"/>
                <w:szCs w:val="18"/>
                <w:color w:val="auto"/>
              </w:rPr>
              <w:t>Consolidated depreciation and amortization</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1,114.4</w:t>
            </w:r>
          </w:p>
        </w:tc>
        <w:tc>
          <w:tcPr>
            <w:tcW w:w="220" w:type="dxa"/>
            <w:vAlign w:val="bottom"/>
          </w:tcPr>
          <w:p>
            <w:pPr>
              <w:spacing w:after="0"/>
              <w:rPr>
                <w:sz w:val="24"/>
                <w:szCs w:val="24"/>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974.4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5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566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5346065</wp:posOffset>
            </wp:positionH>
            <wp:positionV relativeFrom="paragraph">
              <wp:posOffset>-340360</wp:posOffset>
            </wp:positionV>
            <wp:extent cx="12700"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-340360</wp:posOffset>
            </wp:positionV>
            <wp:extent cx="12700"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-340360</wp:posOffset>
            </wp:positionV>
            <wp:extent cx="12700"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-340360</wp:posOffset>
            </wp:positionV>
            <wp:extent cx="12700"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 Customers</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Sales by the Semiconductor Operations to one customer were 16.5%, 10.8% and 13.8% of consolidated net sales in 2002, 2001 and 2000, respectively. Sales to another customer were 12.0%, 13.1% and 18.6% of consolidated net sales in 2002, 2001 and 2000, respectively.</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Information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Geographic net sales based on customer location were: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gridSpan w:val="2"/>
          </w:tcPr>
          <w:p>
            <w:pPr>
              <w:ind w:left="80"/>
              <w:spacing w:after="0"/>
              <w:rPr>
                <w:sz w:val="20"/>
                <w:szCs w:val="20"/>
                <w:color w:val="auto"/>
              </w:rPr>
            </w:pPr>
            <w:r>
              <w:rPr>
                <w:rFonts w:ascii="Arial" w:cs="Arial" w:eastAsia="Arial" w:hAnsi="Arial"/>
                <w:sz w:val="14"/>
                <w:szCs w:val="14"/>
                <w:b w:val="1"/>
                <w:bCs w:val="1"/>
                <w:color w:val="auto"/>
              </w:rPr>
              <w:t>2002</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gridSpan w:val="3"/>
          </w:tcPr>
          <w:p>
            <w:pPr>
              <w:jc w:val="right"/>
              <w:ind w:right="92"/>
              <w:spacing w:after="0"/>
              <w:rPr>
                <w:sz w:val="20"/>
                <w:szCs w:val="20"/>
                <w:color w:val="auto"/>
              </w:rPr>
            </w:pPr>
            <w:r>
              <w:rPr>
                <w:rFonts w:ascii="Arial" w:cs="Arial" w:eastAsia="Arial" w:hAnsi="Arial"/>
                <w:sz w:val="14"/>
                <w:szCs w:val="14"/>
                <w:b w:val="1"/>
                <w:bCs w:val="1"/>
                <w:color w:val="auto"/>
                <w:w w:val="83"/>
              </w:rPr>
              <w:t>2001</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gridSpan w:val="4"/>
          </w:tcPr>
          <w:p>
            <w:pPr>
              <w:jc w:val="right"/>
              <w:ind w:right="58"/>
              <w:spacing w:after="0"/>
              <w:rPr>
                <w:sz w:val="20"/>
                <w:szCs w:val="20"/>
                <w:color w:val="auto"/>
              </w:rPr>
            </w:pPr>
            <w:r>
              <w:rPr>
                <w:rFonts w:ascii="Arial" w:cs="Arial" w:eastAsia="Arial" w:hAnsi="Arial"/>
                <w:sz w:val="14"/>
                <w:szCs w:val="14"/>
                <w:b w:val="1"/>
                <w:bCs w:val="1"/>
                <w:color w:val="auto"/>
              </w:rPr>
              <w:t>2000</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gridSpan w:val="2"/>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gridSpan w:val="2"/>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gridSpan w:val="2"/>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480" w:type="dxa"/>
            <w:vAlign w:val="bottom"/>
            <w:vMerge w:val="restart"/>
          </w:tcPr>
          <w:p>
            <w:pPr>
              <w:spacing w:after="0"/>
              <w:rPr>
                <w:sz w:val="9"/>
                <w:szCs w:val="9"/>
                <w:color w:val="auto"/>
              </w:rPr>
            </w:pPr>
          </w:p>
        </w:tc>
        <w:tc>
          <w:tcPr>
            <w:tcW w:w="220" w:type="dxa"/>
            <w:vAlign w:val="bottom"/>
          </w:tcPr>
          <w:p>
            <w:pPr>
              <w:spacing w:after="0"/>
              <w:rPr>
                <w:sz w:val="9"/>
                <w:szCs w:val="9"/>
                <w:color w:val="auto"/>
              </w:rPr>
            </w:pPr>
          </w:p>
        </w:tc>
        <w:tc>
          <w:tcPr>
            <w:tcW w:w="3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80" w:type="dxa"/>
            <w:vAlign w:val="bottom"/>
            <w:vMerge w:val="continue"/>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1,221.7</w:t>
            </w: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6"/>
            <w:shd w:val="clear" w:color="auto" w:fill="CCEEFF"/>
          </w:tcPr>
          <w:p>
            <w:pPr>
              <w:jc w:val="right"/>
              <w:spacing w:after="0"/>
              <w:rPr>
                <w:sz w:val="20"/>
                <w:szCs w:val="20"/>
                <w:color w:val="auto"/>
              </w:rPr>
            </w:pPr>
            <w:r>
              <w:rPr>
                <w:rFonts w:ascii="Arial" w:cs="Arial" w:eastAsia="Arial" w:hAnsi="Arial"/>
                <w:sz w:val="18"/>
                <w:szCs w:val="18"/>
                <w:color w:val="auto"/>
              </w:rPr>
              <w:t>2,116.8</w:t>
            </w:r>
          </w:p>
        </w:tc>
        <w:tc>
          <w:tcPr>
            <w:tcW w:w="420" w:type="dxa"/>
            <w:vAlign w:val="bottom"/>
            <w:gridSpan w:val="2"/>
            <w:shd w:val="clear" w:color="auto" w:fill="CCEEFF"/>
          </w:tcPr>
          <w:p>
            <w:pPr>
              <w:jc w:val="center"/>
              <w:ind w:left="56"/>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8"/>
                <w:szCs w:val="18"/>
                <w:color w:val="auto"/>
              </w:rPr>
            </w:pPr>
          </w:p>
        </w:tc>
        <w:tc>
          <w:tcPr>
            <w:tcW w:w="76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3,570.8</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Asia Pacific</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544.4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6"/>
          </w:tcPr>
          <w:p>
            <w:pPr>
              <w:jc w:val="right"/>
              <w:spacing w:after="0"/>
              <w:rPr>
                <w:sz w:val="20"/>
                <w:szCs w:val="20"/>
                <w:color w:val="auto"/>
              </w:rPr>
            </w:pPr>
            <w:r>
              <w:rPr>
                <w:rFonts w:ascii="Arial" w:cs="Arial" w:eastAsia="Arial" w:hAnsi="Arial"/>
                <w:sz w:val="18"/>
                <w:szCs w:val="18"/>
                <w:color w:val="auto"/>
              </w:rPr>
              <w:t>637.9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6"/>
          </w:tcPr>
          <w:p>
            <w:pPr>
              <w:jc w:val="right"/>
              <w:spacing w:after="0"/>
              <w:rPr>
                <w:sz w:val="20"/>
                <w:szCs w:val="20"/>
                <w:color w:val="auto"/>
              </w:rPr>
            </w:pPr>
            <w:r>
              <w:rPr>
                <w:rFonts w:ascii="Arial" w:cs="Arial" w:eastAsia="Arial" w:hAnsi="Arial"/>
                <w:sz w:val="18"/>
                <w:szCs w:val="18"/>
                <w:color w:val="auto"/>
              </w:rPr>
              <w:t>1,144.8</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Europe</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460.9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6"/>
            <w:shd w:val="clear" w:color="auto" w:fill="CCEEFF"/>
          </w:tcPr>
          <w:p>
            <w:pPr>
              <w:jc w:val="right"/>
              <w:spacing w:after="0"/>
              <w:rPr>
                <w:sz w:val="20"/>
                <w:szCs w:val="20"/>
                <w:color w:val="auto"/>
              </w:rPr>
            </w:pPr>
            <w:r>
              <w:rPr>
                <w:rFonts w:ascii="Arial" w:cs="Arial" w:eastAsia="Arial" w:hAnsi="Arial"/>
                <w:sz w:val="18"/>
                <w:szCs w:val="18"/>
                <w:color w:val="auto"/>
              </w:rPr>
              <w:t>780.9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1,164.5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Japan</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264.1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6"/>
          </w:tcPr>
          <w:p>
            <w:pPr>
              <w:jc w:val="right"/>
              <w:spacing w:after="0"/>
              <w:rPr>
                <w:sz w:val="20"/>
                <w:szCs w:val="20"/>
                <w:color w:val="auto"/>
              </w:rPr>
            </w:pPr>
            <w:r>
              <w:rPr>
                <w:rFonts w:ascii="Arial" w:cs="Arial" w:eastAsia="Arial" w:hAnsi="Arial"/>
                <w:sz w:val="18"/>
                <w:szCs w:val="18"/>
                <w:color w:val="auto"/>
              </w:rPr>
              <w:t>188.8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w w:val="88"/>
              </w:rPr>
              <w:t>203.0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Canada</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6"/>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78.5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6"/>
          </w:tcPr>
          <w:p>
            <w:pPr>
              <w:jc w:val="right"/>
              <w:spacing w:after="0"/>
              <w:rPr>
                <w:sz w:val="20"/>
                <w:szCs w:val="20"/>
                <w:color w:val="auto"/>
              </w:rPr>
            </w:pPr>
            <w:r>
              <w:rPr>
                <w:rFonts w:ascii="Arial" w:cs="Arial" w:eastAsia="Arial" w:hAnsi="Arial"/>
                <w:sz w:val="18"/>
                <w:szCs w:val="18"/>
                <w:color w:val="auto"/>
              </w:rPr>
              <w:t>154.4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w w:val="88"/>
              </w:rPr>
              <w:t>202.0</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gridSpan w:val="2"/>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gridSpan w:val="2"/>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gridSpan w:val="2"/>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2,589.0</w:t>
            </w: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6"/>
            <w:shd w:val="clear" w:color="auto" w:fill="CCEEFF"/>
          </w:tcPr>
          <w:p>
            <w:pPr>
              <w:jc w:val="right"/>
              <w:spacing w:after="0"/>
              <w:rPr>
                <w:sz w:val="20"/>
                <w:szCs w:val="20"/>
                <w:color w:val="auto"/>
              </w:rPr>
            </w:pPr>
            <w:r>
              <w:rPr>
                <w:rFonts w:ascii="Arial" w:cs="Arial" w:eastAsia="Arial" w:hAnsi="Arial"/>
                <w:sz w:val="18"/>
                <w:szCs w:val="18"/>
                <w:color w:val="auto"/>
              </w:rPr>
              <w:t>3,935.9</w:t>
            </w:r>
          </w:p>
        </w:tc>
        <w:tc>
          <w:tcPr>
            <w:tcW w:w="420" w:type="dxa"/>
            <w:vAlign w:val="bottom"/>
            <w:gridSpan w:val="2"/>
            <w:shd w:val="clear" w:color="auto" w:fill="CCEEFF"/>
          </w:tcPr>
          <w:p>
            <w:pPr>
              <w:jc w:val="center"/>
              <w:ind w:left="56"/>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8"/>
                <w:szCs w:val="18"/>
                <w:color w:val="auto"/>
              </w:rPr>
            </w:pPr>
          </w:p>
        </w:tc>
        <w:tc>
          <w:tcPr>
            <w:tcW w:w="76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6,362.4</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400" w:type="dxa"/>
            <w:vAlign w:val="bottom"/>
            <w:gridSpan w:val="3"/>
            <w:vMerge w:val="restart"/>
          </w:tcPr>
          <w:p>
            <w:pPr>
              <w:ind w:left="340"/>
              <w:spacing w:after="0"/>
              <w:rPr>
                <w:sz w:val="20"/>
                <w:szCs w:val="20"/>
                <w:color w:val="auto"/>
              </w:rPr>
            </w:pPr>
            <w:r>
              <w:rPr>
                <w:rFonts w:ascii="Arial" w:cs="Arial" w:eastAsia="Arial" w:hAnsi="Arial"/>
                <w:sz w:val="18"/>
                <w:szCs w:val="18"/>
                <w:color w:val="auto"/>
              </w:rPr>
              <w:t>Geographic area property, plant and equipment, net, was:</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40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0" w:type="dxa"/>
            <w:vAlign w:val="bottom"/>
            <w:tcBorders>
              <w:right w:val="single" w:sz="8" w:color="808080"/>
            </w:tcBorders>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220" w:type="dxa"/>
            <w:vAlign w:val="bottom"/>
            <w:tcBorders>
              <w:left w:val="single" w:sz="8" w:color="808080"/>
            </w:tcBorders>
            <w:shd w:val="clear" w:color="auto" w:fill="808080"/>
          </w:tcPr>
          <w:p>
            <w:pPr>
              <w:spacing w:after="0"/>
              <w:rPr>
                <w:sz w:val="5"/>
                <w:szCs w:val="5"/>
                <w:color w:val="auto"/>
              </w:rPr>
            </w:pPr>
          </w:p>
        </w:tc>
        <w:tc>
          <w:tcPr>
            <w:tcW w:w="460" w:type="dxa"/>
            <w:vAlign w:val="bottom"/>
            <w:tcBorders>
              <w:left w:val="single" w:sz="8" w:color="808080"/>
            </w:tcBorders>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540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2002</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5"/>
          </w:tcPr>
          <w:p>
            <w:pPr>
              <w:jc w:val="right"/>
              <w:ind w:right="140"/>
              <w:spacing w:after="0"/>
              <w:rPr>
                <w:sz w:val="20"/>
                <w:szCs w:val="20"/>
                <w:color w:val="auto"/>
              </w:rPr>
            </w:pPr>
            <w:r>
              <w:rPr>
                <w:rFonts w:ascii="Arial" w:cs="Arial" w:eastAsia="Arial" w:hAnsi="Arial"/>
                <w:sz w:val="14"/>
                <w:szCs w:val="14"/>
                <w:b w:val="1"/>
                <w:bCs w:val="1"/>
                <w:color w:val="auto"/>
              </w:rPr>
              <w:t>2001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gridSpan w:val="2"/>
          </w:tcPr>
          <w:p>
            <w:pPr>
              <w:spacing w:after="0"/>
              <w:rPr>
                <w:sz w:val="9"/>
                <w:szCs w:val="9"/>
                <w:color w:val="auto"/>
              </w:rPr>
            </w:pPr>
          </w:p>
        </w:tc>
        <w:tc>
          <w:tcPr>
            <w:tcW w:w="200" w:type="dxa"/>
            <w:vAlign w:val="bottom"/>
            <w:tcBorders>
              <w:bottom w:val="single" w:sz="8" w:color="808080"/>
            </w:tcBorders>
            <w:gridSpan w:val="2"/>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gridSpan w:val="2"/>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20" w:type="dxa"/>
            <w:vAlign w:val="bottom"/>
            <w:vMerge w:val="restart"/>
          </w:tcPr>
          <w:p>
            <w:pPr>
              <w:spacing w:after="0"/>
              <w:rPr>
                <w:sz w:val="9"/>
                <w:szCs w:val="9"/>
                <w:color w:val="auto"/>
              </w:rPr>
            </w:pPr>
          </w:p>
        </w:tc>
        <w:tc>
          <w:tcPr>
            <w:tcW w:w="3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vMerge w:val="restart"/>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3,604.0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w w:val="83"/>
              </w:rPr>
              <w:t>3,502.1</w:t>
            </w:r>
          </w:p>
        </w:tc>
        <w:tc>
          <w:tcPr>
            <w:tcW w:w="22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Singapore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w w:val="93"/>
              </w:rPr>
              <w:t>454.0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gridSpan w:val="5"/>
          </w:tcPr>
          <w:p>
            <w:pPr>
              <w:jc w:val="right"/>
              <w:ind w:right="20"/>
              <w:spacing w:after="0"/>
              <w:rPr>
                <w:sz w:val="20"/>
                <w:szCs w:val="20"/>
                <w:color w:val="auto"/>
              </w:rPr>
            </w:pPr>
            <w:r>
              <w:rPr>
                <w:rFonts w:ascii="Arial" w:cs="Arial" w:eastAsia="Arial" w:hAnsi="Arial"/>
                <w:sz w:val="18"/>
                <w:szCs w:val="18"/>
                <w:color w:val="auto"/>
              </w:rPr>
              <w:t>610.1</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Italy</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3"/>
              </w:rPr>
              <w:t>435.2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442.3</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Japan</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w w:val="93"/>
              </w:rPr>
              <w:t>191.5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gridSpan w:val="5"/>
          </w:tcPr>
          <w:p>
            <w:pPr>
              <w:jc w:val="right"/>
              <w:ind w:right="20"/>
              <w:spacing w:after="0"/>
              <w:rPr>
                <w:sz w:val="20"/>
                <w:szCs w:val="20"/>
                <w:color w:val="auto"/>
              </w:rPr>
            </w:pPr>
            <w:r>
              <w:rPr>
                <w:rFonts w:ascii="Arial" w:cs="Arial" w:eastAsia="Arial" w:hAnsi="Arial"/>
                <w:sz w:val="18"/>
                <w:szCs w:val="18"/>
                <w:color w:val="auto"/>
              </w:rPr>
              <w:t>133.6</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16.0</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gridSpan w:val="2"/>
          </w:tcPr>
          <w:p>
            <w:pPr>
              <w:spacing w:after="0"/>
              <w:rPr>
                <w:sz w:val="10"/>
                <w:szCs w:val="10"/>
                <w:color w:val="auto"/>
              </w:rPr>
            </w:pPr>
          </w:p>
        </w:tc>
        <w:tc>
          <w:tcPr>
            <w:tcW w:w="200" w:type="dxa"/>
            <w:vAlign w:val="bottom"/>
            <w:tcBorders>
              <w:bottom w:val="single" w:sz="8" w:color="808080"/>
            </w:tcBorders>
            <w:gridSpan w:val="2"/>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gridSpan w:val="2"/>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6"/>
          </w:tcPr>
          <w:p>
            <w:pPr>
              <w:jc w:val="right"/>
              <w:spacing w:after="0"/>
              <w:rPr>
                <w:sz w:val="20"/>
                <w:szCs w:val="20"/>
                <w:color w:val="auto"/>
              </w:rPr>
            </w:pPr>
            <w:r>
              <w:rPr>
                <w:rFonts w:ascii="Arial" w:cs="Arial" w:eastAsia="Arial" w:hAnsi="Arial"/>
                <w:sz w:val="18"/>
                <w:szCs w:val="18"/>
                <w:color w:val="auto"/>
              </w:rPr>
              <w:t>4,699.5</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gridSpan w:val="2"/>
          </w:tcPr>
          <w:p>
            <w:pPr>
              <w:jc w:val="right"/>
              <w:ind w:right="96"/>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gridSpan w:val="5"/>
          </w:tcPr>
          <w:p>
            <w:pPr>
              <w:jc w:val="right"/>
              <w:ind w:right="20"/>
              <w:spacing w:after="0"/>
              <w:rPr>
                <w:sz w:val="20"/>
                <w:szCs w:val="20"/>
                <w:color w:val="auto"/>
              </w:rPr>
            </w:pPr>
            <w:r>
              <w:rPr>
                <w:rFonts w:ascii="Arial" w:cs="Arial" w:eastAsia="Arial" w:hAnsi="Arial"/>
                <w:sz w:val="18"/>
                <w:szCs w:val="18"/>
                <w:color w:val="auto"/>
                <w:w w:val="83"/>
              </w:rPr>
              <w:t>4,704.1</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20" w:type="dxa"/>
            <w:vAlign w:val="bottom"/>
            <w:gridSpan w:val="2"/>
          </w:tcPr>
          <w:p>
            <w:pPr>
              <w:spacing w:after="0"/>
              <w:rPr>
                <w:sz w:val="9"/>
                <w:szCs w:val="9"/>
                <w:color w:val="auto"/>
              </w:rPr>
            </w:pPr>
          </w:p>
        </w:tc>
        <w:tc>
          <w:tcPr>
            <w:tcW w:w="500" w:type="dxa"/>
            <w:vAlign w:val="bottom"/>
            <w:gridSpan w:val="2"/>
          </w:tcPr>
          <w:p>
            <w:pPr>
              <w:spacing w:after="0"/>
              <w:rPr>
                <w:sz w:val="9"/>
                <w:szCs w:val="9"/>
                <w:color w:val="auto"/>
              </w:rPr>
            </w:pPr>
          </w:p>
        </w:tc>
        <w:tc>
          <w:tcPr>
            <w:tcW w:w="740" w:type="dxa"/>
            <w:vAlign w:val="bottom"/>
            <w:gridSpan w:val="3"/>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20" w:type="dxa"/>
            <w:vAlign w:val="bottom"/>
            <w:gridSpan w:val="2"/>
          </w:tcPr>
          <w:p>
            <w:pPr>
              <w:spacing w:after="0"/>
              <w:rPr>
                <w:sz w:val="5"/>
                <w:szCs w:val="5"/>
                <w:color w:val="auto"/>
              </w:rPr>
            </w:pPr>
          </w:p>
        </w:tc>
        <w:tc>
          <w:tcPr>
            <w:tcW w:w="500" w:type="dxa"/>
            <w:vAlign w:val="bottom"/>
            <w:gridSpan w:val="2"/>
          </w:tcPr>
          <w:p>
            <w:pPr>
              <w:spacing w:after="0"/>
              <w:rPr>
                <w:sz w:val="5"/>
                <w:szCs w:val="5"/>
                <w:color w:val="auto"/>
              </w:rPr>
            </w:pPr>
          </w:p>
        </w:tc>
        <w:tc>
          <w:tcPr>
            <w:tcW w:w="740" w:type="dxa"/>
            <w:vAlign w:val="bottom"/>
            <w:gridSpan w:val="3"/>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gridSpan w:val="2"/>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220" w:type="dxa"/>
            <w:vAlign w:val="bottom"/>
            <w:tcBorders>
              <w:left w:val="single" w:sz="8" w:color="808080"/>
            </w:tcBorders>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3"/>
        </w:trPr>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720" w:type="dxa"/>
            <w:vAlign w:val="bottom"/>
            <w:gridSpan w:val="12"/>
          </w:tcPr>
          <w:p>
            <w:pPr>
              <w:ind w:left="2280"/>
              <w:spacing w:after="0"/>
              <w:rPr>
                <w:sz w:val="20"/>
                <w:szCs w:val="20"/>
                <w:color w:val="auto"/>
              </w:rPr>
            </w:pPr>
            <w:r>
              <w:rPr>
                <w:rFonts w:ascii="Arial" w:cs="Arial" w:eastAsia="Arial" w:hAnsi="Arial"/>
                <w:sz w:val="18"/>
                <w:szCs w:val="18"/>
                <w:b w:val="1"/>
                <w:bCs w:val="1"/>
                <w:color w:val="auto"/>
                <w:w w:val="91"/>
              </w:rPr>
              <w:t>Quarterly Financial Information (Unaudited)</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80" w:type="dxa"/>
            <w:vAlign w:val="bottom"/>
            <w:gridSpan w:val="15"/>
          </w:tcPr>
          <w:p>
            <w:pPr>
              <w:jc w:val="right"/>
              <w:ind w:right="500"/>
              <w:spacing w:after="0"/>
              <w:rPr>
                <w:sz w:val="20"/>
                <w:szCs w:val="20"/>
                <w:color w:val="auto"/>
              </w:rPr>
            </w:pPr>
            <w:r>
              <w:rPr>
                <w:rFonts w:ascii="Arial" w:cs="Arial" w:eastAsia="Arial" w:hAnsi="Arial"/>
                <w:sz w:val="18"/>
                <w:szCs w:val="18"/>
                <w:b w:val="1"/>
                <w:bCs w:val="1"/>
                <w:color w:val="auto"/>
              </w:rPr>
              <w:t>(Amounts in millions except per share amounts)</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gridSpan w:val="4"/>
          </w:tcPr>
          <w:p>
            <w:pPr>
              <w:jc w:val="center"/>
              <w:ind w:right="212"/>
              <w:spacing w:after="0"/>
              <w:rPr>
                <w:sz w:val="20"/>
                <w:szCs w:val="20"/>
                <w:color w:val="auto"/>
              </w:rPr>
            </w:pPr>
            <w:r>
              <w:rPr>
                <w:rFonts w:ascii="Arial" w:cs="Arial" w:eastAsia="Arial" w:hAnsi="Arial"/>
                <w:sz w:val="14"/>
                <w:szCs w:val="14"/>
                <w:b w:val="1"/>
                <w:bCs w:val="1"/>
                <w:color w:val="auto"/>
                <w:w w:val="85"/>
              </w:rPr>
              <w:t>First</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8"/>
              </w:rPr>
              <w:t>Second</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7"/>
              </w:rPr>
              <w:t>Third</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w w:val="99"/>
              </w:rPr>
              <w:t>Fourth</w:t>
            </w:r>
          </w:p>
        </w:tc>
        <w:tc>
          <w:tcPr>
            <w:tcW w:w="0" w:type="dxa"/>
            <w:vAlign w:val="bottom"/>
          </w:tcPr>
          <w:p>
            <w:pPr>
              <w:spacing w:after="0"/>
              <w:rPr>
                <w:sz w:val="1"/>
                <w:szCs w:val="1"/>
                <w:color w:val="auto"/>
              </w:rPr>
            </w:pPr>
          </w:p>
        </w:tc>
      </w:tr>
      <w:tr>
        <w:trPr>
          <w:trHeight w:val="174"/>
        </w:trPr>
        <w:tc>
          <w:tcPr>
            <w:tcW w:w="1500" w:type="dxa"/>
            <w:vAlign w:val="bottom"/>
            <w:gridSpan w:val="2"/>
          </w:tcPr>
          <w:p>
            <w:pPr>
              <w:spacing w:after="0"/>
              <w:rPr>
                <w:sz w:val="20"/>
                <w:szCs w:val="20"/>
                <w:color w:val="auto"/>
              </w:rPr>
            </w:pPr>
            <w:r>
              <w:rPr>
                <w:rFonts w:ascii="Arial" w:cs="Arial" w:eastAsia="Arial" w:hAnsi="Arial"/>
                <w:sz w:val="14"/>
                <w:szCs w:val="14"/>
                <w:b w:val="1"/>
                <w:bCs w:val="1"/>
                <w:color w:val="auto"/>
              </w:rPr>
              <w:t>2002</w:t>
            </w:r>
          </w:p>
        </w:tc>
        <w:tc>
          <w:tcPr>
            <w:tcW w:w="2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4"/>
          </w:tcPr>
          <w:p>
            <w:pPr>
              <w:jc w:val="center"/>
              <w:ind w:right="212"/>
              <w:spacing w:after="0"/>
              <w:rPr>
                <w:sz w:val="20"/>
                <w:szCs w:val="20"/>
                <w:color w:val="auto"/>
              </w:rPr>
            </w:pPr>
            <w:r>
              <w:rPr>
                <w:rFonts w:ascii="Arial" w:cs="Arial" w:eastAsia="Arial" w:hAnsi="Arial"/>
                <w:sz w:val="14"/>
                <w:szCs w:val="14"/>
                <w:b w:val="1"/>
                <w:bCs w:val="1"/>
                <w:color w:val="auto"/>
                <w:w w:val="90"/>
              </w:rPr>
              <w:t>Quarter</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Quarter</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94"/>
              </w:rPr>
              <w:t>Quarter</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w w:val="94"/>
              </w:rPr>
              <w:t>Quarter</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400" w:type="dxa"/>
            <w:vAlign w:val="bottom"/>
            <w:gridSpan w:val="3"/>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gridSpan w:val="2"/>
          </w:tcPr>
          <w:p>
            <w:pPr>
              <w:spacing w:after="0"/>
              <w:rPr>
                <w:sz w:val="9"/>
                <w:szCs w:val="9"/>
                <w:color w:val="auto"/>
              </w:rPr>
            </w:pPr>
          </w:p>
        </w:tc>
        <w:tc>
          <w:tcPr>
            <w:tcW w:w="200" w:type="dxa"/>
            <w:vAlign w:val="bottom"/>
            <w:tcBorders>
              <w:bottom w:val="single" w:sz="8" w:color="808080"/>
            </w:tcBorders>
            <w:gridSpan w:val="2"/>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gridSpan w:val="2"/>
          </w:tcPr>
          <w:p>
            <w:pPr>
              <w:spacing w:after="0"/>
              <w:rPr>
                <w:sz w:val="9"/>
                <w:szCs w:val="9"/>
                <w:color w:val="auto"/>
              </w:rPr>
            </w:pPr>
          </w:p>
        </w:tc>
        <w:tc>
          <w:tcPr>
            <w:tcW w:w="200" w:type="dxa"/>
            <w:vAlign w:val="bottom"/>
            <w:tcBorders>
              <w:bottom w:val="single" w:sz="8" w:color="808080"/>
            </w:tcBorders>
            <w:gridSpan w:val="2"/>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Borders>
              <w:bottom w:val="single" w:sz="8" w:color="808080"/>
            </w:tcBorders>
            <w:gridSpan w:val="2"/>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sales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center"/>
              <w:ind w:left="114"/>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423.9</w:t>
            </w:r>
          </w:p>
        </w:tc>
        <w:tc>
          <w:tcPr>
            <w:tcW w:w="2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645.9</w:t>
            </w: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00" w:type="dxa"/>
            <w:vAlign w:val="bottom"/>
            <w:tcBorders>
              <w:right w:val="single" w:sz="8" w:color="CCEEFF"/>
            </w:tcBorders>
            <w:shd w:val="clear" w:color="auto" w:fill="CCEEFF"/>
          </w:tcPr>
          <w:p>
            <w:pPr>
              <w:spacing w:after="0"/>
              <w:rPr>
                <w:sz w:val="18"/>
                <w:szCs w:val="18"/>
                <w:color w:val="auto"/>
              </w:rPr>
            </w:pPr>
          </w:p>
        </w:tc>
        <w:tc>
          <w:tcPr>
            <w:tcW w:w="7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771.2</w:t>
            </w:r>
          </w:p>
        </w:tc>
        <w:tc>
          <w:tcPr>
            <w:tcW w:w="6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tcBorders>
              <w:lef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748.0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3"/>
          </w:tcPr>
          <w:p>
            <w:pPr>
              <w:spacing w:after="0"/>
              <w:rPr>
                <w:sz w:val="20"/>
                <w:szCs w:val="20"/>
                <w:color w:val="auto"/>
              </w:rPr>
            </w:pPr>
            <w:r>
              <w:rPr>
                <w:rFonts w:ascii="Arial" w:cs="Arial" w:eastAsia="Arial" w:hAnsi="Arial"/>
                <w:sz w:val="18"/>
                <w:szCs w:val="18"/>
                <w:color w:val="auto"/>
              </w:rPr>
              <w:t>Gross margin</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6"/>
          </w:tcPr>
          <w:p>
            <w:pPr>
              <w:jc w:val="center"/>
              <w:ind w:left="754"/>
              <w:spacing w:after="0"/>
              <w:rPr>
                <w:sz w:val="20"/>
                <w:szCs w:val="20"/>
                <w:color w:val="auto"/>
              </w:rPr>
            </w:pPr>
            <w:r>
              <w:rPr>
                <w:rFonts w:ascii="Arial" w:cs="Arial" w:eastAsia="Arial" w:hAnsi="Arial"/>
                <w:sz w:val="18"/>
                <w:szCs w:val="18"/>
                <w:color w:val="auto"/>
                <w:w w:val="87"/>
              </w:rPr>
              <w:t>(212.6)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5"/>
          </w:tcPr>
          <w:p>
            <w:pPr>
              <w:jc w:val="right"/>
              <w:spacing w:after="0"/>
              <w:rPr>
                <w:sz w:val="20"/>
                <w:szCs w:val="20"/>
                <w:color w:val="auto"/>
              </w:rPr>
            </w:pPr>
            <w:r>
              <w:rPr>
                <w:rFonts w:ascii="Arial" w:cs="Arial" w:eastAsia="Arial" w:hAnsi="Arial"/>
                <w:sz w:val="18"/>
                <w:szCs w:val="18"/>
                <w:color w:val="auto"/>
              </w:rPr>
              <w:t>143.0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168.2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4"/>
          </w:tcPr>
          <w:p>
            <w:pPr>
              <w:jc w:val="right"/>
              <w:ind w:right="60"/>
              <w:spacing w:after="0"/>
              <w:rPr>
                <w:sz w:val="20"/>
                <w:szCs w:val="20"/>
                <w:color w:val="auto"/>
              </w:rPr>
            </w:pPr>
            <w:r>
              <w:rPr>
                <w:rFonts w:ascii="Arial" w:cs="Arial" w:eastAsia="Arial" w:hAnsi="Arial"/>
                <w:sz w:val="18"/>
                <w:szCs w:val="18"/>
                <w:color w:val="auto"/>
              </w:rPr>
              <w:t>(209.2)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6"/>
            <w:shd w:val="clear" w:color="auto" w:fill="CCEEFF"/>
          </w:tcPr>
          <w:p>
            <w:pPr>
              <w:jc w:val="center"/>
              <w:ind w:left="754"/>
              <w:spacing w:after="0"/>
              <w:rPr>
                <w:sz w:val="20"/>
                <w:szCs w:val="20"/>
                <w:color w:val="auto"/>
              </w:rPr>
            </w:pPr>
            <w:r>
              <w:rPr>
                <w:rFonts w:ascii="Arial" w:cs="Arial" w:eastAsia="Arial" w:hAnsi="Arial"/>
                <w:sz w:val="18"/>
                <w:szCs w:val="18"/>
                <w:color w:val="auto"/>
                <w:w w:val="87"/>
              </w:rPr>
              <w:t>(452.0)</w:t>
            </w:r>
          </w:p>
        </w:tc>
        <w:tc>
          <w:tcPr>
            <w:tcW w:w="1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6"/>
            <w:shd w:val="clear" w:color="auto" w:fill="CCEEFF"/>
          </w:tcPr>
          <w:p>
            <w:pPr>
              <w:jc w:val="right"/>
              <w:ind w:right="72"/>
              <w:spacing w:after="0"/>
              <w:rPr>
                <w:sz w:val="20"/>
                <w:szCs w:val="20"/>
                <w:color w:val="auto"/>
              </w:rPr>
            </w:pPr>
            <w:r>
              <w:rPr>
                <w:rFonts w:ascii="Arial" w:cs="Arial" w:eastAsia="Arial" w:hAnsi="Arial"/>
                <w:sz w:val="18"/>
                <w:szCs w:val="18"/>
                <w:color w:val="auto"/>
              </w:rPr>
              <w:t>(59.0)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2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900" w:type="dxa"/>
            <w:vAlign w:val="bottom"/>
            <w:tcBorders>
              <w:left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(467.6)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3"/>
          </w:tcPr>
          <w:p>
            <w:pPr>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6"/>
          </w:tcPr>
          <w:p>
            <w:pPr>
              <w:jc w:val="center"/>
              <w:ind w:left="754"/>
              <w:spacing w:after="0"/>
              <w:rPr>
                <w:sz w:val="20"/>
                <w:szCs w:val="20"/>
                <w:color w:val="auto"/>
              </w:rPr>
            </w:pPr>
            <w:r>
              <w:rPr>
                <w:rFonts w:ascii="Arial" w:cs="Arial" w:eastAsia="Arial" w:hAnsi="Arial"/>
                <w:sz w:val="18"/>
                <w:szCs w:val="18"/>
                <w:color w:val="auto"/>
                <w:w w:val="87"/>
              </w:rPr>
              <w:t>(265.9)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6"/>
          </w:tcPr>
          <w:p>
            <w:pPr>
              <w:jc w:val="right"/>
              <w:ind w:right="72"/>
              <w:spacing w:after="0"/>
              <w:rPr>
                <w:sz w:val="20"/>
                <w:szCs w:val="20"/>
                <w:color w:val="auto"/>
              </w:rPr>
            </w:pPr>
            <w:r>
              <w:rPr>
                <w:rFonts w:ascii="Arial" w:cs="Arial" w:eastAsia="Arial" w:hAnsi="Arial"/>
                <w:sz w:val="18"/>
                <w:szCs w:val="18"/>
                <w:color w:val="auto"/>
              </w:rPr>
              <w:t>(30.4)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6"/>
          </w:tcPr>
          <w:p>
            <w:pPr>
              <w:jc w:val="right"/>
              <w:spacing w:after="0"/>
              <w:rPr>
                <w:sz w:val="20"/>
                <w:szCs w:val="20"/>
                <w:color w:val="auto"/>
              </w:rPr>
            </w:pPr>
            <w:r>
              <w:rPr>
                <w:rFonts w:ascii="Arial" w:cs="Arial" w:eastAsia="Arial" w:hAnsi="Arial"/>
                <w:sz w:val="18"/>
                <w:szCs w:val="18"/>
                <w:color w:val="auto"/>
              </w:rPr>
              <w:t>(24.2)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4"/>
          </w:tcPr>
          <w:p>
            <w:pPr>
              <w:jc w:val="right"/>
              <w:ind w:right="60"/>
              <w:spacing w:after="0"/>
              <w:rPr>
                <w:sz w:val="20"/>
                <w:szCs w:val="20"/>
                <w:color w:val="auto"/>
              </w:rPr>
            </w:pPr>
            <w:r>
              <w:rPr>
                <w:rFonts w:ascii="Arial" w:cs="Arial" w:eastAsia="Arial" w:hAnsi="Arial"/>
                <w:sz w:val="18"/>
                <w:szCs w:val="18"/>
                <w:color w:val="auto"/>
              </w:rPr>
              <w:t>(586.5)</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Diluted loss per share</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center"/>
              <w:ind w:left="114"/>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spacing w:after="0"/>
              <w:rPr>
                <w:sz w:val="24"/>
                <w:szCs w:val="24"/>
                <w:color w:val="auto"/>
              </w:rPr>
            </w:pPr>
          </w:p>
        </w:tc>
        <w:tc>
          <w:tcPr>
            <w:tcW w:w="52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89"/>
              </w:rPr>
              <w:t>(0.44)</w:t>
            </w:r>
          </w:p>
        </w:tc>
        <w:tc>
          <w:tcPr>
            <w:tcW w:w="2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000" w:type="dxa"/>
            <w:vAlign w:val="bottom"/>
            <w:gridSpan w:val="6"/>
            <w:shd w:val="clear" w:color="auto" w:fill="CCEEFF"/>
          </w:tcPr>
          <w:p>
            <w:pPr>
              <w:jc w:val="right"/>
              <w:ind w:right="72"/>
              <w:spacing w:after="0"/>
              <w:rPr>
                <w:sz w:val="20"/>
                <w:szCs w:val="20"/>
                <w:color w:val="auto"/>
              </w:rPr>
            </w:pPr>
            <w:r>
              <w:rPr>
                <w:rFonts w:ascii="Arial" w:cs="Arial" w:eastAsia="Arial" w:hAnsi="Arial"/>
                <w:sz w:val="18"/>
                <w:szCs w:val="18"/>
                <w:color w:val="auto"/>
              </w:rPr>
              <w:t>(0.05)</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00" w:type="dxa"/>
            <w:vAlign w:val="bottom"/>
            <w:tcBorders>
              <w:right w:val="single" w:sz="8" w:color="CCEEFF"/>
            </w:tcBorders>
            <w:shd w:val="clear" w:color="auto" w:fill="CCEEFF"/>
          </w:tcPr>
          <w:p>
            <w:pPr>
              <w:spacing w:after="0"/>
              <w:rPr>
                <w:sz w:val="24"/>
                <w:szCs w:val="24"/>
                <w:color w:val="auto"/>
              </w:rPr>
            </w:pPr>
          </w:p>
        </w:tc>
        <w:tc>
          <w:tcPr>
            <w:tcW w:w="82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4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Borders>
              <w:left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(0.97)</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gridSpan w:val="3"/>
          </w:tcPr>
          <w:p>
            <w:pPr>
              <w:jc w:val="center"/>
              <w:ind w:right="112"/>
              <w:spacing w:after="0"/>
              <w:rPr>
                <w:sz w:val="20"/>
                <w:szCs w:val="20"/>
                <w:color w:val="auto"/>
              </w:rPr>
            </w:pPr>
            <w:r>
              <w:rPr>
                <w:rFonts w:ascii="Arial" w:cs="Arial" w:eastAsia="Arial" w:hAnsi="Arial"/>
                <w:sz w:val="14"/>
                <w:szCs w:val="14"/>
                <w:b w:val="1"/>
                <w:bCs w:val="1"/>
                <w:color w:val="auto"/>
                <w:w w:val="92"/>
              </w:rPr>
              <w:t>First</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w w:val="79"/>
              </w:rPr>
              <w:t>Second</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gridSpan w:val="7"/>
          </w:tcPr>
          <w:p>
            <w:pPr>
              <w:jc w:val="right"/>
              <w:ind w:right="440"/>
              <w:spacing w:after="0"/>
              <w:rPr>
                <w:sz w:val="20"/>
                <w:szCs w:val="20"/>
                <w:color w:val="auto"/>
              </w:rPr>
            </w:pPr>
            <w:r>
              <w:rPr>
                <w:rFonts w:ascii="Arial" w:cs="Arial" w:eastAsia="Arial" w:hAnsi="Arial"/>
                <w:sz w:val="14"/>
                <w:szCs w:val="14"/>
                <w:b w:val="1"/>
                <w:bCs w:val="1"/>
                <w:color w:val="auto"/>
              </w:rPr>
              <w:t>Third</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gridSpan w:val="7"/>
          </w:tcPr>
          <w:p>
            <w:pPr>
              <w:jc w:val="right"/>
              <w:ind w:right="780"/>
              <w:spacing w:after="0"/>
              <w:rPr>
                <w:sz w:val="20"/>
                <w:szCs w:val="20"/>
                <w:color w:val="auto"/>
              </w:rPr>
            </w:pPr>
            <w:r>
              <w:rPr>
                <w:rFonts w:ascii="Arial" w:cs="Arial" w:eastAsia="Arial" w:hAnsi="Arial"/>
                <w:sz w:val="14"/>
                <w:szCs w:val="14"/>
                <w:b w:val="1"/>
                <w:bCs w:val="1"/>
                <w:color w:val="auto"/>
              </w:rPr>
              <w:t>Fourth</w:t>
            </w:r>
          </w:p>
        </w:tc>
        <w:tc>
          <w:tcPr>
            <w:tcW w:w="0" w:type="dxa"/>
            <w:vAlign w:val="bottom"/>
          </w:tcPr>
          <w:p>
            <w:pPr>
              <w:spacing w:after="0"/>
              <w:rPr>
                <w:sz w:val="1"/>
                <w:szCs w:val="1"/>
                <w:color w:val="auto"/>
              </w:rPr>
            </w:pPr>
          </w:p>
        </w:tc>
      </w:tr>
      <w:tr>
        <w:trPr>
          <w:trHeight w:val="174"/>
        </w:trPr>
        <w:tc>
          <w:tcPr>
            <w:tcW w:w="1500" w:type="dxa"/>
            <w:vAlign w:val="bottom"/>
            <w:gridSpan w:val="2"/>
          </w:tcPr>
          <w:p>
            <w:pPr>
              <w:spacing w:after="0"/>
              <w:rPr>
                <w:sz w:val="20"/>
                <w:szCs w:val="20"/>
                <w:color w:val="auto"/>
              </w:rPr>
            </w:pPr>
            <w:r>
              <w:rPr>
                <w:rFonts w:ascii="Arial" w:cs="Arial" w:eastAsia="Arial" w:hAnsi="Arial"/>
                <w:sz w:val="14"/>
                <w:szCs w:val="14"/>
                <w:b w:val="1"/>
                <w:bCs w:val="1"/>
                <w:color w:val="auto"/>
              </w:rPr>
              <w:t>2001</w:t>
            </w:r>
          </w:p>
        </w:tc>
        <w:tc>
          <w:tcPr>
            <w:tcW w:w="2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3"/>
          </w:tcPr>
          <w:p>
            <w:pPr>
              <w:jc w:val="center"/>
              <w:ind w:right="112"/>
              <w:spacing w:after="0"/>
              <w:rPr>
                <w:sz w:val="20"/>
                <w:szCs w:val="20"/>
                <w:color w:val="auto"/>
              </w:rPr>
            </w:pPr>
            <w:r>
              <w:rPr>
                <w:rFonts w:ascii="Arial" w:cs="Arial" w:eastAsia="Arial" w:hAnsi="Arial"/>
                <w:sz w:val="14"/>
                <w:szCs w:val="14"/>
                <w:b w:val="1"/>
                <w:bCs w:val="1"/>
                <w:color w:val="auto"/>
                <w:w w:val="94"/>
              </w:rPr>
              <w:t>Quarter</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gridSpan w:val="7"/>
          </w:tcPr>
          <w:p>
            <w:pPr>
              <w:jc w:val="right"/>
              <w:ind w:right="440"/>
              <w:spacing w:after="0"/>
              <w:rPr>
                <w:sz w:val="20"/>
                <w:szCs w:val="20"/>
                <w:color w:val="auto"/>
              </w:rPr>
            </w:pPr>
            <w:r>
              <w:rPr>
                <w:rFonts w:ascii="Arial" w:cs="Arial" w:eastAsia="Arial" w:hAnsi="Arial"/>
                <w:sz w:val="14"/>
                <w:szCs w:val="14"/>
                <w:b w:val="1"/>
                <w:bCs w:val="1"/>
                <w:color w:val="auto"/>
                <w:w w:val="98"/>
              </w:rPr>
              <w:t>Quarter</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7"/>
          </w:tcPr>
          <w:p>
            <w:pPr>
              <w:jc w:val="right"/>
              <w:ind w:right="360"/>
              <w:spacing w:after="0"/>
              <w:rPr>
                <w:sz w:val="20"/>
                <w:szCs w:val="20"/>
                <w:color w:val="auto"/>
              </w:rPr>
            </w:pPr>
            <w:r>
              <w:rPr>
                <w:rFonts w:ascii="Arial" w:cs="Arial" w:eastAsia="Arial" w:hAnsi="Arial"/>
                <w:sz w:val="14"/>
                <w:szCs w:val="14"/>
                <w:b w:val="1"/>
                <w:bCs w:val="1"/>
                <w:color w:val="auto"/>
              </w:rPr>
              <w:t>Quarter</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20" w:type="dxa"/>
            <w:vAlign w:val="bottom"/>
            <w:gridSpan w:val="7"/>
          </w:tcPr>
          <w:p>
            <w:pPr>
              <w:jc w:val="right"/>
              <w:ind w:right="760"/>
              <w:spacing w:after="0"/>
              <w:rPr>
                <w:sz w:val="20"/>
                <w:szCs w:val="20"/>
                <w:color w:val="auto"/>
              </w:rPr>
            </w:pPr>
            <w:r>
              <w:rPr>
                <w:rFonts w:ascii="Arial" w:cs="Arial" w:eastAsia="Arial" w:hAnsi="Arial"/>
                <w:sz w:val="14"/>
                <w:szCs w:val="14"/>
                <w:b w:val="1"/>
                <w:bCs w:val="1"/>
                <w:color w:val="auto"/>
              </w:rPr>
              <w:t>Quarter</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400" w:type="dxa"/>
            <w:vAlign w:val="bottom"/>
            <w:gridSpan w:val="3"/>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gridSpan w:val="3"/>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gridSpan w:val="5"/>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gridSpan w:val="2"/>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sales</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1,571.6</w:t>
            </w:r>
          </w:p>
        </w:tc>
        <w:tc>
          <w:tcPr>
            <w:tcW w:w="4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7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1,065.7</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8"/>
              </w:rPr>
              <w:t>818.3</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560" w:type="dxa"/>
            <w:vAlign w:val="bottom"/>
            <w:tcBorders>
              <w:lef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480.3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3"/>
          </w:tcPr>
          <w:p>
            <w:pPr>
              <w:spacing w:after="0"/>
              <w:rPr>
                <w:sz w:val="20"/>
                <w:szCs w:val="20"/>
                <w:color w:val="auto"/>
              </w:rPr>
            </w:pPr>
            <w:r>
              <w:rPr>
                <w:rFonts w:ascii="Arial" w:cs="Arial" w:eastAsia="Arial" w:hAnsi="Arial"/>
                <w:sz w:val="18"/>
                <w:szCs w:val="18"/>
                <w:color w:val="auto"/>
              </w:rPr>
              <w:t>Gross margin</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762.5</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84"/>
              </w:rPr>
              <w:t>200.3</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auto"/>
                <w:w w:val="94"/>
              </w:rPr>
              <w:t>(275.8)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(576.3)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520.3</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3"/>
              </w:rPr>
              <w:t>(41.0)</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4"/>
              </w:rPr>
              <w:t>(527.2)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56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(928.6)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3"/>
          </w:tcPr>
          <w:p>
            <w:pPr>
              <w:spacing w:after="0"/>
              <w:rPr>
                <w:sz w:val="20"/>
                <w:szCs w:val="20"/>
                <w:color w:val="auto"/>
              </w:rPr>
            </w:pPr>
            <w:r>
              <w:rPr>
                <w:rFonts w:ascii="Arial" w:cs="Arial" w:eastAsia="Arial" w:hAnsi="Arial"/>
                <w:sz w:val="18"/>
                <w:szCs w:val="18"/>
                <w:color w:val="auto"/>
                <w:w w:val="90"/>
              </w:rPr>
              <w:t>Income (loss) from continuing operations, net of taxes and minority interest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359.5</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rPr>
              <w:t>(4.1)</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auto"/>
                <w:w w:val="94"/>
              </w:rPr>
              <w:t>(301.1)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(575.5)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3"/>
              </w:rPr>
              <w:t>Loss from discontinued PC Operations, net of taxes and minority interest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54"/>
              <w:spacing w:after="0"/>
              <w:rPr>
                <w:sz w:val="20"/>
                <w:szCs w:val="20"/>
                <w:color w:val="auto"/>
              </w:rPr>
            </w:pPr>
            <w:r>
              <w:rPr>
                <w:rFonts w:ascii="Arial" w:cs="Arial" w:eastAsia="Arial" w:hAnsi="Arial"/>
                <w:sz w:val="18"/>
                <w:szCs w:val="18"/>
                <w:color w:val="auto"/>
              </w:rPr>
              <w:t>(7.3)</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3"/>
              </w:rPr>
              <w:t>(84.2)</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3"/>
              </w:rPr>
              <w:t>(12.3)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560" w:type="dxa"/>
            <w:vAlign w:val="bottom"/>
            <w:tcBorders>
              <w:lef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3"/>
          </w:tcPr>
          <w:p>
            <w:pPr>
              <w:spacing w:after="0"/>
              <w:rPr>
                <w:sz w:val="20"/>
                <w:szCs w:val="20"/>
                <w:color w:val="auto"/>
              </w:rPr>
            </w:pPr>
            <w:r>
              <w:rPr>
                <w:rFonts w:ascii="Arial" w:cs="Arial" w:eastAsia="Arial" w:hAnsi="Arial"/>
                <w:sz w:val="18"/>
                <w:szCs w:val="18"/>
                <w:color w:val="auto"/>
              </w:rPr>
              <w:t>Net income (loss)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352.2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w w:val="93"/>
              </w:rPr>
              <w:t>(88.3)</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auto"/>
                <w:w w:val="94"/>
              </w:rPr>
              <w:t>(313.4)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(575.5)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Diluted earnings (loss) per share:</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tcBorders>
              <w:right w:val="single" w:sz="8" w:color="CCEEFF"/>
            </w:tcBorders>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tcBorders>
              <w:left w:val="single" w:sz="8" w:color="CCEEFF"/>
            </w:tcBorders>
            <w:shd w:val="clear" w:color="auto" w:fill="CCEEFF"/>
          </w:tcPr>
          <w:p>
            <w:pPr>
              <w:spacing w:after="0"/>
              <w:rPr>
                <w:sz w:val="24"/>
                <w:szCs w:val="24"/>
                <w:color w:val="auto"/>
              </w:rPr>
            </w:pPr>
          </w:p>
        </w:tc>
        <w:tc>
          <w:tcPr>
            <w:tcW w:w="460" w:type="dxa"/>
            <w:vAlign w:val="bottom"/>
            <w:tcBorders>
              <w:lef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400" w:type="dxa"/>
            <w:vAlign w:val="bottom"/>
            <w:gridSpan w:val="3"/>
          </w:tcPr>
          <w:p>
            <w:pPr>
              <w:ind w:left="200"/>
              <w:spacing w:after="0"/>
              <w:rPr>
                <w:sz w:val="20"/>
                <w:szCs w:val="20"/>
                <w:color w:val="auto"/>
              </w:rPr>
            </w:pPr>
            <w:r>
              <w:rPr>
                <w:rFonts w:ascii="Arial" w:cs="Arial" w:eastAsia="Arial" w:hAnsi="Arial"/>
                <w:sz w:val="18"/>
                <w:szCs w:val="18"/>
                <w:color w:val="auto"/>
              </w:rPr>
              <w:t>Continuing operations</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0.59</w:t>
            </w:r>
          </w:p>
        </w:tc>
        <w:tc>
          <w:tcPr>
            <w:tcW w:w="4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w w:val="93"/>
              </w:rPr>
              <w:t>(0.01)</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gridSpan w:val="3"/>
          </w:tcPr>
          <w:p>
            <w:pPr>
              <w:jc w:val="right"/>
              <w:ind w:right="20"/>
              <w:spacing w:after="0"/>
              <w:rPr>
                <w:sz w:val="20"/>
                <w:szCs w:val="20"/>
                <w:color w:val="auto"/>
              </w:rPr>
            </w:pPr>
            <w:r>
              <w:rPr>
                <w:rFonts w:ascii="Arial" w:cs="Arial" w:eastAsia="Arial" w:hAnsi="Arial"/>
                <w:sz w:val="18"/>
                <w:szCs w:val="18"/>
                <w:color w:val="auto"/>
                <w:w w:val="93"/>
              </w:rPr>
              <w:t>(0.50)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(0.96)</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4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Discontinued operations</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4"/>
            <w:shd w:val="clear" w:color="auto" w:fill="CCEEFF"/>
          </w:tcPr>
          <w:p>
            <w:pPr>
              <w:jc w:val="right"/>
              <w:ind w:right="54"/>
              <w:spacing w:after="0"/>
              <w:rPr>
                <w:sz w:val="20"/>
                <w:szCs w:val="20"/>
                <w:color w:val="auto"/>
              </w:rPr>
            </w:pPr>
            <w:r>
              <w:rPr>
                <w:rFonts w:ascii="Arial" w:cs="Arial" w:eastAsia="Arial" w:hAnsi="Arial"/>
                <w:sz w:val="18"/>
                <w:szCs w:val="18"/>
                <w:color w:val="auto"/>
              </w:rPr>
              <w:t>(0.01)</w:t>
            </w:r>
          </w:p>
        </w:tc>
        <w:tc>
          <w:tcPr>
            <w:tcW w:w="2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3"/>
              </w:rPr>
              <w:t>(0.14)</w:t>
            </w: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3"/>
              </w:rPr>
              <w:t>(0.02)</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tcBorders>
              <w:left w:val="single" w:sz="8" w:color="CCEEFF"/>
            </w:tcBorders>
            <w:shd w:val="clear" w:color="auto" w:fill="CCEEFF"/>
          </w:tcPr>
          <w:p>
            <w:pPr>
              <w:spacing w:after="0"/>
              <w:rPr>
                <w:sz w:val="21"/>
                <w:szCs w:val="21"/>
                <w:color w:val="auto"/>
              </w:rPr>
            </w:pPr>
          </w:p>
        </w:tc>
        <w:tc>
          <w:tcPr>
            <w:tcW w:w="560" w:type="dxa"/>
            <w:vAlign w:val="bottom"/>
            <w:tcBorders>
              <w:lef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400" w:type="dxa"/>
            <w:vAlign w:val="bottom"/>
            <w:gridSpan w:val="3"/>
          </w:tcPr>
          <w:p>
            <w:pPr>
              <w:ind w:left="200"/>
              <w:spacing w:after="0"/>
              <w:rPr>
                <w:sz w:val="20"/>
                <w:szCs w:val="20"/>
                <w:color w:val="auto"/>
              </w:rPr>
            </w:pPr>
            <w:r>
              <w:rPr>
                <w:rFonts w:ascii="Arial" w:cs="Arial" w:eastAsia="Arial" w:hAnsi="Arial"/>
                <w:sz w:val="18"/>
                <w:szCs w:val="18"/>
                <w:color w:val="auto"/>
              </w:rPr>
              <w:t>Net income (loss)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0.58</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w w:val="93"/>
              </w:rPr>
              <w:t>(0.15)</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gridSpan w:val="3"/>
          </w:tcPr>
          <w:p>
            <w:pPr>
              <w:jc w:val="right"/>
              <w:ind w:right="20"/>
              <w:spacing w:after="0"/>
              <w:rPr>
                <w:sz w:val="20"/>
                <w:szCs w:val="20"/>
                <w:color w:val="auto"/>
              </w:rPr>
            </w:pPr>
            <w:r>
              <w:rPr>
                <w:rFonts w:ascii="Arial" w:cs="Arial" w:eastAsia="Arial" w:hAnsi="Arial"/>
                <w:sz w:val="18"/>
                <w:szCs w:val="18"/>
                <w:color w:val="auto"/>
                <w:w w:val="93"/>
              </w:rPr>
              <w:t>(0.53)</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(0.96)</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-6888480</wp:posOffset>
            </wp:positionV>
            <wp:extent cx="12700"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-6888480</wp:posOffset>
            </wp:positionV>
            <wp:extent cx="12700"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-6888480</wp:posOffset>
            </wp:positionV>
            <wp:extent cx="12700"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-6888480</wp:posOffset>
            </wp:positionV>
            <wp:extent cx="12700"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-6888480</wp:posOffset>
            </wp:positionV>
            <wp:extent cx="12700" cy="88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-6888480</wp:posOffset>
            </wp:positionV>
            <wp:extent cx="12700"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-5911215</wp:posOffset>
            </wp:positionV>
            <wp:extent cx="12700"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-5911215</wp:posOffset>
            </wp:positionV>
            <wp:extent cx="12700"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-5911215</wp:posOffset>
            </wp:positionV>
            <wp:extent cx="12700"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-5911215</wp:posOffset>
            </wp:positionV>
            <wp:extent cx="12700"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-5911215</wp:posOffset>
            </wp:positionV>
            <wp:extent cx="12700" cy="88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-5911215</wp:posOffset>
            </wp:positionV>
            <wp:extent cx="12700"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-4942205</wp:posOffset>
            </wp:positionV>
            <wp:extent cx="12700"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-4942205</wp:posOffset>
            </wp:positionV>
            <wp:extent cx="12700"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-4942205</wp:posOffset>
            </wp:positionV>
            <wp:extent cx="12700" cy="88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-4942205</wp:posOffset>
            </wp:positionV>
            <wp:extent cx="12700"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-4101465</wp:posOffset>
            </wp:positionV>
            <wp:extent cx="12700"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-4101465</wp:posOffset>
            </wp:positionV>
            <wp:extent cx="12700"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-4101465</wp:posOffset>
            </wp:positionV>
            <wp:extent cx="12700"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-4101465</wp:posOffset>
            </wp:positionV>
            <wp:extent cx="12700"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-2900680</wp:posOffset>
            </wp:positionV>
            <wp:extent cx="12700"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-2900680</wp:posOffset>
            </wp:positionV>
            <wp:extent cx="12700"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-2900680</wp:posOffset>
            </wp:positionV>
            <wp:extent cx="12700"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-2900680</wp:posOffset>
            </wp:positionV>
            <wp:extent cx="12700"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-2900680</wp:posOffset>
            </wp:positionV>
            <wp:extent cx="12700"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-2900680</wp:posOffset>
            </wp:positionV>
            <wp:extent cx="12700"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-2900680</wp:posOffset>
            </wp:positionV>
            <wp:extent cx="12700"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-2900680</wp:posOffset>
            </wp:positionV>
            <wp:extent cx="12700"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-1640205</wp:posOffset>
            </wp:positionV>
            <wp:extent cx="12700"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-1640205</wp:posOffset>
            </wp:positionV>
            <wp:extent cx="12700"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-1640205</wp:posOffset>
            </wp:positionV>
            <wp:extent cx="12700"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-1640205</wp:posOffset>
            </wp:positionV>
            <wp:extent cx="12700" cy="88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-1640205</wp:posOffset>
            </wp:positionV>
            <wp:extent cx="12700" cy="88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-1640205</wp:posOffset>
            </wp:positionV>
            <wp:extent cx="12700" cy="88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-1640205</wp:posOffset>
            </wp:positionV>
            <wp:extent cx="12700"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-1640205</wp:posOffset>
            </wp:positionV>
            <wp:extent cx="12700"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55" w:orient="portrait"/>
          <w:cols w:equalWidth="0" w:num="1">
            <w:col w:w="11360"/>
          </w:cols>
          <w:pgMar w:left="240" w:top="140" w:right="299" w:bottom="0" w:gutter="0" w:footer="0" w:header="0"/>
        </w:sectPr>
      </w:pPr>
    </w:p>
    <w:bookmarkStart w:id="32" w:name="page33"/>
    <w:bookmarkEnd w:id="32"/>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ind w:right="40" w:firstLine="348"/>
        <w:spacing w:after="0" w:line="306" w:lineRule="auto"/>
        <w:rPr>
          <w:sz w:val="20"/>
          <w:szCs w:val="20"/>
          <w:color w:val="auto"/>
        </w:rPr>
      </w:pPr>
      <w:r>
        <w:rPr>
          <w:rFonts w:ascii="Arial" w:cs="Arial" w:eastAsia="Arial" w:hAnsi="Arial"/>
          <w:sz w:val="16"/>
          <w:szCs w:val="16"/>
          <w:color w:val="auto"/>
        </w:rPr>
        <w:t>The Company wrote down the value of work in process and finished goods inventories to the lower of cost or market value in the fourth quarter of 2002 and 2001 by an aggregate amount of $173.6 million and $465.8 million, respectively. In the fourth quarter of 2002, the Company recorded a charge of $347.8 million to the provision for income taxes to establish a valuation allowance against its U.S. deferred tax assets.</w:t>
      </w:r>
    </w:p>
    <w:p>
      <w:pPr>
        <w:spacing w:after="0" w:line="161" w:lineRule="exact"/>
        <w:rPr>
          <w:sz w:val="20"/>
          <w:szCs w:val="20"/>
          <w:color w:val="auto"/>
        </w:rPr>
      </w:pPr>
    </w:p>
    <w:p>
      <w:pPr>
        <w:jc w:val="both"/>
        <w:ind w:right="420" w:firstLine="351"/>
        <w:spacing w:after="0" w:line="306" w:lineRule="auto"/>
        <w:rPr>
          <w:sz w:val="20"/>
          <w:szCs w:val="20"/>
          <w:color w:val="auto"/>
        </w:rPr>
      </w:pPr>
      <w:r>
        <w:rPr>
          <w:rFonts w:ascii="Arial" w:cs="Arial" w:eastAsia="Arial" w:hAnsi="Arial"/>
          <w:sz w:val="16"/>
          <w:szCs w:val="16"/>
          <w:color w:val="auto"/>
        </w:rPr>
        <w:t>Selling, general and administrative expense for the fourth quarter of 2001 includes a charge of $94.1 million for the market value of the Interland stock contributed to the Foundation. Other non-operating expense for the fourth quarter of 2001 includes charges of $4.4 million in connection with the Interland Merger and $92.4 million to write down the Company's carrying value of its investment in Interland to its market value.</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Accountants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Shareholders of Micron Technology, Inc.</w:t>
      </w:r>
    </w:p>
    <w:p>
      <w:pPr>
        <w:spacing w:after="0" w:line="219"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In our opinion, the consolidated financial statements listed in the accompanying index present fairly, in all material respects, the financial position of Micron Technology, Inc. and its subsidiaries at August 29, 2002 and August 30, 2001, and the results of their operations and their cash flows for each of the three years in the period ended August 29, 2002 in conformity with accounting principles generally accepted in the United States of America. In addition, in our opinion, the financial statement schedule listed in the accompanying index presents fairly, in all material respects, the information set forth therein when read in conjunction with the related consolidated financial statements. These financial statements and the financial statement schedule are the responsibility of the Company's management; our responsibility is to express an opinion on these financial statements and the financial statement schedule based on our audits. We conducted our audits of these statements in accordance with auditing standards generally accepted in the United States of America,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Jose, CA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September 24, 2002</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and Executive Officers of the Registrant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w:t>
      </w:r>
    </w:p>
    <w:p>
      <w:pPr>
        <w:spacing w:after="0" w:line="231"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Certain information concerning the registrant's executive officers is included under the caption, "Officers and Directors of the Registrant," following Part I, Item 1 of this report. Other information required by Items 10, 11, 12 and 13 will be contained in the registrant's Proxy Statement which will be filed with the Securities and Exchange Commission within 120 days after August 29, 2002, and is incorporated herein by reference.</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Controls and Procedures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380"/>
          </w:cols>
          <w:pgMar w:left="240" w:top="131" w:right="279" w:bottom="0" w:gutter="0" w:footer="0" w:header="0"/>
        </w:sect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4763"/>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246620" cy="4763"/>
                    </a:xfrm>
                    <a:prstGeom prst="rect">
                      <a:avLst/>
                    </a:prstGeom>
                    <a:noFill/>
                  </pic:spPr>
                </pic:pic>
              </a:graphicData>
            </a:graphic>
          </wp:anchor>
        </w:drawing>
      </w:r>
    </w:p>
    <w:p>
      <w:pPr>
        <w:sectPr>
          <w:pgSz w:w="11900" w:h="16838" w:orient="portrait"/>
          <w:cols w:equalWidth="0" w:num="1">
            <w:col w:w="11380"/>
          </w:cols>
          <w:pgMar w:left="240" w:top="131" w:right="279" w:bottom="0" w:gutter="0" w:footer="0" w:header="0"/>
          <w:type w:val="continuous"/>
        </w:sectPr>
      </w:pPr>
    </w:p>
    <w:bookmarkStart w:id="33" w:name="page34"/>
    <w:bookmarkEnd w:id="33"/>
    <w:p>
      <w:pPr>
        <w:ind w:left="53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079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250430" cy="10795"/>
                    </a:xfrm>
                    <a:prstGeom prst="rect">
                      <a:avLst/>
                    </a:prstGeom>
                    <a:noFill/>
                  </pic:spPr>
                </pic:pic>
              </a:graphicData>
            </a:graphic>
          </wp:anchor>
        </w:drawing>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Financial Statement Schedules and Reports on Form 8-K</w:t>
      </w:r>
    </w:p>
    <w:p>
      <w:pPr>
        <w:spacing w:after="0" w:line="245"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225"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Consolidated financial statements and the financial statement schedule—(see "Item 8. Financial Statements and Supplementary Data Financial Statements and Supplementary Data—Notes to Consolidated Financial Statements—Contingencies.")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8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80" w:type="dxa"/>
            <w:vAlign w:val="bottom"/>
          </w:tcPr>
          <w:p>
            <w:pPr>
              <w:spacing w:after="0"/>
              <w:rPr>
                <w:sz w:val="15"/>
                <w:szCs w:val="15"/>
                <w:color w:val="auto"/>
              </w:rPr>
            </w:pPr>
          </w:p>
        </w:tc>
        <w:tc>
          <w:tcPr>
            <w:tcW w:w="7660" w:type="dxa"/>
            <w:vAlign w:val="bottom"/>
          </w:tcPr>
          <w:p>
            <w:pPr>
              <w:ind w:left="3500"/>
              <w:spacing w:after="0"/>
              <w:rPr>
                <w:sz w:val="20"/>
                <w:szCs w:val="20"/>
                <w:color w:val="auto"/>
              </w:rPr>
            </w:pPr>
            <w:r>
              <w:rPr>
                <w:rFonts w:ascii="Arial" w:cs="Arial" w:eastAsia="Arial" w:hAnsi="Arial"/>
                <w:sz w:val="14"/>
                <w:szCs w:val="14"/>
                <w:b w:val="1"/>
                <w:bCs w:val="1"/>
                <w:color w:val="auto"/>
              </w:rPr>
              <w:t>Description</w:t>
            </w:r>
          </w:p>
        </w:tc>
        <w:tc>
          <w:tcPr>
            <w:tcW w:w="2400" w:type="dxa"/>
            <w:vAlign w:val="bottom"/>
          </w:tcPr>
          <w:p>
            <w:pPr>
              <w:spacing w:after="0"/>
              <w:rPr>
                <w:sz w:val="15"/>
                <w:szCs w:val="15"/>
                <w:color w:val="auto"/>
              </w:rPr>
            </w:pPr>
          </w:p>
        </w:tc>
      </w:tr>
      <w:tr>
        <w:trPr>
          <w:trHeight w:val="105"/>
        </w:trPr>
        <w:tc>
          <w:tcPr>
            <w:tcW w:w="10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7660" w:type="dxa"/>
            <w:vAlign w:val="bottom"/>
            <w:tcBorders>
              <w:bottom w:val="single" w:sz="8" w:color="808080"/>
            </w:tcBorders>
          </w:tcPr>
          <w:p>
            <w:pPr>
              <w:spacing w:after="0"/>
              <w:rPr>
                <w:sz w:val="9"/>
                <w:szCs w:val="9"/>
                <w:color w:val="auto"/>
              </w:rPr>
            </w:pPr>
          </w:p>
        </w:tc>
        <w:tc>
          <w:tcPr>
            <w:tcW w:w="2400" w:type="dxa"/>
            <w:vAlign w:val="bottom"/>
          </w:tcPr>
          <w:p>
            <w:pPr>
              <w:spacing w:after="0"/>
              <w:rPr>
                <w:sz w:val="9"/>
                <w:szCs w:val="9"/>
                <w:color w:val="auto"/>
              </w:rPr>
            </w:pPr>
          </w:p>
        </w:tc>
      </w:tr>
      <w:tr>
        <w:trPr>
          <w:trHeight w:val="319"/>
        </w:trPr>
        <w:tc>
          <w:tcPr>
            <w:tcW w:w="1080" w:type="dxa"/>
            <w:vAlign w:val="bottom"/>
          </w:tcPr>
          <w:p>
            <w:pPr>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24"/>
                <w:szCs w:val="24"/>
                <w:color w:val="auto"/>
              </w:rPr>
            </w:pPr>
          </w:p>
        </w:tc>
        <w:tc>
          <w:tcPr>
            <w:tcW w:w="7660" w:type="dxa"/>
            <w:vAlign w:val="bottom"/>
          </w:tcPr>
          <w:p>
            <w:pPr>
              <w:spacing w:after="0"/>
              <w:rPr>
                <w:sz w:val="20"/>
                <w:szCs w:val="20"/>
                <w:color w:val="auto"/>
              </w:rPr>
            </w:pPr>
            <w:r>
              <w:rPr>
                <w:rFonts w:ascii="Arial" w:cs="Arial" w:eastAsia="Arial" w:hAnsi="Arial"/>
                <w:sz w:val="18"/>
                <w:szCs w:val="18"/>
                <w:color w:val="auto"/>
                <w:w w:val="89"/>
              </w:rPr>
              <w:t>Acquisition Agreement between the Registrant and Texas Instruments Incorporated dated June 18, 1998(1)</w:t>
            </w:r>
          </w:p>
        </w:tc>
        <w:tc>
          <w:tcPr>
            <w:tcW w:w="2400" w:type="dxa"/>
            <w:vAlign w:val="bottom"/>
          </w:tcPr>
          <w:p>
            <w:pPr>
              <w:spacing w:after="0"/>
              <w:rPr>
                <w:sz w:val="24"/>
                <w:szCs w:val="24"/>
                <w:color w:val="auto"/>
              </w:rPr>
            </w:pPr>
          </w:p>
        </w:tc>
      </w:tr>
      <w:tr>
        <w:trPr>
          <w:trHeight w:val="426"/>
        </w:trPr>
        <w:tc>
          <w:tcPr>
            <w:tcW w:w="1080" w:type="dxa"/>
            <w:vAlign w:val="bottom"/>
          </w:tcPr>
          <w:p>
            <w:pPr>
              <w:spacing w:after="0"/>
              <w:rPr>
                <w:sz w:val="20"/>
                <w:szCs w:val="20"/>
                <w:color w:val="auto"/>
              </w:rPr>
            </w:pPr>
            <w:r>
              <w:rPr>
                <w:rFonts w:ascii="Arial" w:cs="Arial" w:eastAsia="Arial" w:hAnsi="Arial"/>
                <w:sz w:val="18"/>
                <w:szCs w:val="18"/>
                <w:color w:val="auto"/>
              </w:rPr>
              <w:t>2.2</w:t>
            </w:r>
          </w:p>
        </w:tc>
        <w:tc>
          <w:tcPr>
            <w:tcW w:w="280" w:type="dxa"/>
            <w:vAlign w:val="bottom"/>
          </w:tcPr>
          <w:p>
            <w:pPr>
              <w:spacing w:after="0"/>
              <w:rPr>
                <w:sz w:val="24"/>
                <w:szCs w:val="24"/>
                <w:color w:val="auto"/>
              </w:rPr>
            </w:pPr>
          </w:p>
        </w:tc>
        <w:tc>
          <w:tcPr>
            <w:tcW w:w="7660" w:type="dxa"/>
            <w:vAlign w:val="bottom"/>
          </w:tcPr>
          <w:p>
            <w:pPr>
              <w:spacing w:after="0"/>
              <w:rPr>
                <w:sz w:val="20"/>
                <w:szCs w:val="20"/>
                <w:color w:val="auto"/>
              </w:rPr>
            </w:pPr>
            <w:r>
              <w:rPr>
                <w:rFonts w:ascii="Arial" w:cs="Arial" w:eastAsia="Arial" w:hAnsi="Arial"/>
                <w:sz w:val="18"/>
                <w:szCs w:val="18"/>
                <w:color w:val="auto"/>
                <w:w w:val="88"/>
              </w:rPr>
              <w:t>Second Amendment to Acquisition Agreement dated as of September 30, 1998, between the Registrant and</w:t>
            </w:r>
          </w:p>
        </w:tc>
        <w:tc>
          <w:tcPr>
            <w:tcW w:w="2400" w:type="dxa"/>
            <w:vAlign w:val="bottom"/>
          </w:tcPr>
          <w:p>
            <w:pPr>
              <w:spacing w:after="0"/>
              <w:rPr>
                <w:sz w:val="24"/>
                <w:szCs w:val="24"/>
                <w:color w:val="auto"/>
              </w:rPr>
            </w:pPr>
          </w:p>
        </w:tc>
      </w:tr>
      <w:tr>
        <w:trPr>
          <w:trHeight w:val="222"/>
        </w:trPr>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Texas Instruments Incorporated(2)</w:t>
            </w:r>
          </w:p>
        </w:tc>
        <w:tc>
          <w:tcPr>
            <w:tcW w:w="2400" w:type="dxa"/>
            <w:vAlign w:val="bottom"/>
          </w:tcPr>
          <w:p>
            <w:pPr>
              <w:spacing w:after="0"/>
              <w:rPr>
                <w:sz w:val="19"/>
                <w:szCs w:val="19"/>
                <w:color w:val="auto"/>
              </w:rPr>
            </w:pP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24"/>
                <w:szCs w:val="24"/>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Restated Certificate of Incorporation of the Registrant(9)</w:t>
            </w:r>
          </w:p>
        </w:tc>
        <w:tc>
          <w:tcPr>
            <w:tcW w:w="2400" w:type="dxa"/>
            <w:vAlign w:val="bottom"/>
          </w:tcPr>
          <w:p>
            <w:pPr>
              <w:spacing w:after="0"/>
              <w:rPr>
                <w:sz w:val="24"/>
                <w:szCs w:val="24"/>
                <w:color w:val="auto"/>
              </w:rPr>
            </w:pP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3.7</w:t>
            </w:r>
          </w:p>
        </w:tc>
        <w:tc>
          <w:tcPr>
            <w:tcW w:w="280" w:type="dxa"/>
            <w:vAlign w:val="bottom"/>
          </w:tcPr>
          <w:p>
            <w:pPr>
              <w:spacing w:after="0"/>
              <w:rPr>
                <w:sz w:val="24"/>
                <w:szCs w:val="24"/>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Bylaws of the Registrant, as amended</w:t>
            </w:r>
          </w:p>
        </w:tc>
        <w:tc>
          <w:tcPr>
            <w:tcW w:w="2400" w:type="dxa"/>
            <w:vAlign w:val="bottom"/>
          </w:tcPr>
          <w:p>
            <w:pPr>
              <w:spacing w:after="0"/>
              <w:rPr>
                <w:sz w:val="24"/>
                <w:szCs w:val="24"/>
                <w:color w:val="auto"/>
              </w:rPr>
            </w:pPr>
          </w:p>
        </w:tc>
      </w:tr>
      <w:tr>
        <w:trPr>
          <w:trHeight w:val="426"/>
        </w:trPr>
        <w:tc>
          <w:tcPr>
            <w:tcW w:w="1080" w:type="dxa"/>
            <w:vAlign w:val="bottom"/>
          </w:tcPr>
          <w:p>
            <w:pPr>
              <w:spacing w:after="0"/>
              <w:rPr>
                <w:sz w:val="20"/>
                <w:szCs w:val="20"/>
                <w:color w:val="auto"/>
              </w:rPr>
            </w:pPr>
            <w:r>
              <w:rPr>
                <w:rFonts w:ascii="Arial" w:cs="Arial" w:eastAsia="Arial" w:hAnsi="Arial"/>
                <w:sz w:val="18"/>
                <w:szCs w:val="18"/>
                <w:color w:val="auto"/>
              </w:rPr>
              <w:t>4.9</w:t>
            </w:r>
          </w:p>
        </w:tc>
        <w:tc>
          <w:tcPr>
            <w:tcW w:w="280" w:type="dxa"/>
            <w:vAlign w:val="bottom"/>
          </w:tcPr>
          <w:p>
            <w:pPr>
              <w:spacing w:after="0"/>
              <w:rPr>
                <w:sz w:val="24"/>
                <w:szCs w:val="24"/>
                <w:color w:val="auto"/>
              </w:rPr>
            </w:pPr>
          </w:p>
        </w:tc>
        <w:tc>
          <w:tcPr>
            <w:tcW w:w="7660" w:type="dxa"/>
            <w:vAlign w:val="bottom"/>
          </w:tcPr>
          <w:p>
            <w:pPr>
              <w:spacing w:after="0"/>
              <w:rPr>
                <w:sz w:val="20"/>
                <w:szCs w:val="20"/>
                <w:color w:val="auto"/>
              </w:rPr>
            </w:pPr>
            <w:r>
              <w:rPr>
                <w:rFonts w:ascii="Arial" w:cs="Arial" w:eastAsia="Arial" w:hAnsi="Arial"/>
                <w:sz w:val="18"/>
                <w:szCs w:val="18"/>
                <w:color w:val="auto"/>
                <w:w w:val="93"/>
              </w:rPr>
              <w:t>Form of Global Warrant representing Warrants to purchase Common Stock expiring May 15, 2008 (the</w:t>
            </w:r>
          </w:p>
        </w:tc>
        <w:tc>
          <w:tcPr>
            <w:tcW w:w="2400" w:type="dxa"/>
            <w:vAlign w:val="bottom"/>
          </w:tcPr>
          <w:p>
            <w:pPr>
              <w:spacing w:after="0"/>
              <w:rPr>
                <w:sz w:val="24"/>
                <w:szCs w:val="24"/>
                <w:color w:val="auto"/>
              </w:rPr>
            </w:pPr>
          </w:p>
        </w:tc>
      </w:tr>
      <w:tr>
        <w:trPr>
          <w:trHeight w:val="222"/>
        </w:trPr>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"Warrants")(5)</w:t>
            </w:r>
          </w:p>
        </w:tc>
        <w:tc>
          <w:tcPr>
            <w:tcW w:w="2400" w:type="dxa"/>
            <w:vAlign w:val="bottom"/>
          </w:tcPr>
          <w:p>
            <w:pPr>
              <w:spacing w:after="0"/>
              <w:rPr>
                <w:sz w:val="19"/>
                <w:szCs w:val="19"/>
                <w:color w:val="auto"/>
              </w:rPr>
            </w:pP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10.82</w:t>
            </w:r>
          </w:p>
        </w:tc>
        <w:tc>
          <w:tcPr>
            <w:tcW w:w="280" w:type="dxa"/>
            <w:vAlign w:val="bottom"/>
          </w:tcPr>
          <w:p>
            <w:pPr>
              <w:spacing w:after="0"/>
              <w:rPr>
                <w:sz w:val="24"/>
                <w:szCs w:val="24"/>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Form of Indemnification Agreement between the Registrant and its officers and directors(6)</w:t>
            </w:r>
          </w:p>
        </w:tc>
        <w:tc>
          <w:tcPr>
            <w:tcW w:w="2400" w:type="dxa"/>
            <w:vAlign w:val="bottom"/>
          </w:tcPr>
          <w:p>
            <w:pPr>
              <w:spacing w:after="0"/>
              <w:rPr>
                <w:sz w:val="24"/>
                <w:szCs w:val="24"/>
                <w:color w:val="auto"/>
              </w:rPr>
            </w:pPr>
          </w:p>
        </w:tc>
      </w:tr>
      <w:tr>
        <w:trPr>
          <w:trHeight w:val="426"/>
        </w:trPr>
        <w:tc>
          <w:tcPr>
            <w:tcW w:w="1080" w:type="dxa"/>
            <w:vAlign w:val="bottom"/>
          </w:tcPr>
          <w:p>
            <w:pPr>
              <w:spacing w:after="0"/>
              <w:rPr>
                <w:sz w:val="20"/>
                <w:szCs w:val="20"/>
                <w:color w:val="auto"/>
              </w:rPr>
            </w:pPr>
            <w:r>
              <w:rPr>
                <w:rFonts w:ascii="Arial" w:cs="Arial" w:eastAsia="Arial" w:hAnsi="Arial"/>
                <w:sz w:val="18"/>
                <w:szCs w:val="18"/>
                <w:color w:val="auto"/>
              </w:rPr>
              <w:t>10.91</w:t>
            </w:r>
          </w:p>
        </w:tc>
        <w:tc>
          <w:tcPr>
            <w:tcW w:w="280" w:type="dxa"/>
            <w:vAlign w:val="bottom"/>
          </w:tcPr>
          <w:p>
            <w:pPr>
              <w:spacing w:after="0"/>
              <w:rPr>
                <w:sz w:val="24"/>
                <w:szCs w:val="24"/>
                <w:color w:val="auto"/>
              </w:rPr>
            </w:pPr>
          </w:p>
        </w:tc>
        <w:tc>
          <w:tcPr>
            <w:tcW w:w="7660" w:type="dxa"/>
            <w:vAlign w:val="bottom"/>
          </w:tcPr>
          <w:p>
            <w:pPr>
              <w:spacing w:after="0"/>
              <w:rPr>
                <w:sz w:val="20"/>
                <w:szCs w:val="20"/>
                <w:color w:val="auto"/>
              </w:rPr>
            </w:pPr>
            <w:r>
              <w:rPr>
                <w:rFonts w:ascii="Arial" w:cs="Arial" w:eastAsia="Arial" w:hAnsi="Arial"/>
                <w:sz w:val="18"/>
                <w:szCs w:val="18"/>
                <w:color w:val="auto"/>
                <w:w w:val="89"/>
              </w:rPr>
              <w:t>Board Resolution regarding stock and bonus plan vesting schedules in the event of change in control of the</w:t>
            </w:r>
          </w:p>
        </w:tc>
        <w:tc>
          <w:tcPr>
            <w:tcW w:w="2400" w:type="dxa"/>
            <w:vAlign w:val="bottom"/>
          </w:tcPr>
          <w:p>
            <w:pPr>
              <w:spacing w:after="0"/>
              <w:rPr>
                <w:sz w:val="24"/>
                <w:szCs w:val="24"/>
                <w:color w:val="auto"/>
              </w:rPr>
            </w:pPr>
          </w:p>
        </w:tc>
      </w:tr>
      <w:tr>
        <w:trPr>
          <w:trHeight w:val="222"/>
        </w:trPr>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Registrant(7)</w:t>
            </w:r>
          </w:p>
        </w:tc>
        <w:tc>
          <w:tcPr>
            <w:tcW w:w="2400" w:type="dxa"/>
            <w:vAlign w:val="bottom"/>
          </w:tcPr>
          <w:p>
            <w:pPr>
              <w:spacing w:after="0"/>
              <w:rPr>
                <w:sz w:val="19"/>
                <w:szCs w:val="19"/>
                <w:color w:val="auto"/>
              </w:rPr>
            </w:pP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10.100</w:t>
            </w:r>
          </w:p>
        </w:tc>
        <w:tc>
          <w:tcPr>
            <w:tcW w:w="280" w:type="dxa"/>
            <w:vAlign w:val="bottom"/>
          </w:tcPr>
          <w:p>
            <w:pPr>
              <w:spacing w:after="0"/>
              <w:rPr>
                <w:sz w:val="24"/>
                <w:szCs w:val="24"/>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Amended and Restated 1985 Incentive Stock Option Plan(8)</w:t>
            </w:r>
          </w:p>
        </w:tc>
        <w:tc>
          <w:tcPr>
            <w:tcW w:w="2400" w:type="dxa"/>
            <w:vAlign w:val="bottom"/>
          </w:tcPr>
          <w:p>
            <w:pPr>
              <w:spacing w:after="0"/>
              <w:rPr>
                <w:sz w:val="24"/>
                <w:szCs w:val="24"/>
                <w:color w:val="auto"/>
              </w:rPr>
            </w:pP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10.110</w:t>
            </w:r>
          </w:p>
        </w:tc>
        <w:tc>
          <w:tcPr>
            <w:tcW w:w="280" w:type="dxa"/>
            <w:vAlign w:val="bottom"/>
          </w:tcPr>
          <w:p>
            <w:pPr>
              <w:spacing w:after="0"/>
              <w:rPr>
                <w:sz w:val="24"/>
                <w:szCs w:val="24"/>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1994 Stock Option Plan(17)</w:t>
            </w:r>
          </w:p>
        </w:tc>
        <w:tc>
          <w:tcPr>
            <w:tcW w:w="2400" w:type="dxa"/>
            <w:vAlign w:val="bottom"/>
          </w:tcPr>
          <w:p>
            <w:pPr>
              <w:spacing w:after="0"/>
              <w:rPr>
                <w:sz w:val="24"/>
                <w:szCs w:val="24"/>
                <w:color w:val="auto"/>
              </w:rPr>
            </w:pP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10.111</w:t>
            </w:r>
          </w:p>
        </w:tc>
        <w:tc>
          <w:tcPr>
            <w:tcW w:w="280" w:type="dxa"/>
            <w:vAlign w:val="bottom"/>
          </w:tcPr>
          <w:p>
            <w:pPr>
              <w:spacing w:after="0"/>
              <w:rPr>
                <w:sz w:val="24"/>
                <w:szCs w:val="24"/>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Executive Bonus Plan(3)</w:t>
            </w:r>
          </w:p>
        </w:tc>
        <w:tc>
          <w:tcPr>
            <w:tcW w:w="2400" w:type="dxa"/>
            <w:vAlign w:val="bottom"/>
          </w:tcPr>
          <w:p>
            <w:pPr>
              <w:spacing w:after="0"/>
              <w:rPr>
                <w:sz w:val="24"/>
                <w:szCs w:val="24"/>
                <w:color w:val="auto"/>
              </w:rPr>
            </w:pPr>
          </w:p>
        </w:tc>
      </w:tr>
      <w:tr>
        <w:trPr>
          <w:trHeight w:val="426"/>
        </w:trPr>
        <w:tc>
          <w:tcPr>
            <w:tcW w:w="1080" w:type="dxa"/>
            <w:vAlign w:val="bottom"/>
          </w:tcPr>
          <w:p>
            <w:pPr>
              <w:spacing w:after="0"/>
              <w:rPr>
                <w:sz w:val="20"/>
                <w:szCs w:val="20"/>
                <w:color w:val="auto"/>
              </w:rPr>
            </w:pPr>
            <w:r>
              <w:rPr>
                <w:rFonts w:ascii="Arial" w:cs="Arial" w:eastAsia="Arial" w:hAnsi="Arial"/>
                <w:sz w:val="18"/>
                <w:szCs w:val="18"/>
                <w:color w:val="auto"/>
              </w:rPr>
              <w:t>10.116</w:t>
            </w:r>
          </w:p>
        </w:tc>
        <w:tc>
          <w:tcPr>
            <w:tcW w:w="280" w:type="dxa"/>
            <w:vAlign w:val="bottom"/>
          </w:tcPr>
          <w:p>
            <w:pPr>
              <w:spacing w:after="0"/>
              <w:rPr>
                <w:sz w:val="24"/>
                <w:szCs w:val="24"/>
                <w:color w:val="auto"/>
              </w:rPr>
            </w:pPr>
          </w:p>
        </w:tc>
        <w:tc>
          <w:tcPr>
            <w:tcW w:w="7660" w:type="dxa"/>
            <w:vAlign w:val="bottom"/>
          </w:tcPr>
          <w:p>
            <w:pPr>
              <w:spacing w:after="0"/>
              <w:rPr>
                <w:sz w:val="20"/>
                <w:szCs w:val="20"/>
                <w:color w:val="auto"/>
              </w:rPr>
            </w:pPr>
            <w:r>
              <w:rPr>
                <w:rFonts w:ascii="Arial" w:cs="Arial" w:eastAsia="Arial" w:hAnsi="Arial"/>
                <w:sz w:val="18"/>
                <w:szCs w:val="18"/>
                <w:color w:val="auto"/>
                <w:w w:val="91"/>
              </w:rPr>
              <w:t>Registration Rights Agreement dated as of June 28, 1996, between the Registrant and Canadian Imperial</w:t>
            </w:r>
          </w:p>
        </w:tc>
        <w:tc>
          <w:tcPr>
            <w:tcW w:w="2400" w:type="dxa"/>
            <w:vAlign w:val="bottom"/>
          </w:tcPr>
          <w:p>
            <w:pPr>
              <w:spacing w:after="0"/>
              <w:rPr>
                <w:sz w:val="24"/>
                <w:szCs w:val="24"/>
                <w:color w:val="auto"/>
              </w:rPr>
            </w:pPr>
          </w:p>
        </w:tc>
      </w:tr>
      <w:tr>
        <w:trPr>
          <w:trHeight w:val="222"/>
        </w:trPr>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Bank of Commerce(11)</w:t>
            </w:r>
          </w:p>
        </w:tc>
        <w:tc>
          <w:tcPr>
            <w:tcW w:w="2400" w:type="dxa"/>
            <w:vAlign w:val="bottom"/>
          </w:tcPr>
          <w:p>
            <w:pPr>
              <w:spacing w:after="0"/>
              <w:rPr>
                <w:sz w:val="19"/>
                <w:szCs w:val="19"/>
                <w:color w:val="auto"/>
              </w:rPr>
            </w:pPr>
          </w:p>
        </w:tc>
      </w:tr>
      <w:tr>
        <w:trPr>
          <w:trHeight w:val="426"/>
        </w:trPr>
        <w:tc>
          <w:tcPr>
            <w:tcW w:w="1080" w:type="dxa"/>
            <w:vAlign w:val="bottom"/>
          </w:tcPr>
          <w:p>
            <w:pPr>
              <w:spacing w:after="0"/>
              <w:rPr>
                <w:sz w:val="20"/>
                <w:szCs w:val="20"/>
                <w:color w:val="auto"/>
              </w:rPr>
            </w:pPr>
            <w:r>
              <w:rPr>
                <w:rFonts w:ascii="Arial" w:cs="Arial" w:eastAsia="Arial" w:hAnsi="Arial"/>
                <w:sz w:val="18"/>
                <w:szCs w:val="18"/>
                <w:color w:val="auto"/>
              </w:rPr>
              <w:t>10.117</w:t>
            </w:r>
          </w:p>
        </w:tc>
        <w:tc>
          <w:tcPr>
            <w:tcW w:w="280" w:type="dxa"/>
            <w:vAlign w:val="bottom"/>
          </w:tcPr>
          <w:p>
            <w:pPr>
              <w:spacing w:after="0"/>
              <w:rPr>
                <w:sz w:val="24"/>
                <w:szCs w:val="24"/>
                <w:color w:val="auto"/>
              </w:rPr>
            </w:pPr>
          </w:p>
        </w:tc>
        <w:tc>
          <w:tcPr>
            <w:tcW w:w="7660" w:type="dxa"/>
            <w:vAlign w:val="bottom"/>
          </w:tcPr>
          <w:p>
            <w:pPr>
              <w:spacing w:after="0"/>
              <w:rPr>
                <w:sz w:val="20"/>
                <w:szCs w:val="20"/>
                <w:color w:val="auto"/>
              </w:rPr>
            </w:pPr>
            <w:r>
              <w:rPr>
                <w:rFonts w:ascii="Arial" w:cs="Arial" w:eastAsia="Arial" w:hAnsi="Arial"/>
                <w:sz w:val="18"/>
                <w:szCs w:val="18"/>
                <w:color w:val="auto"/>
                <w:w w:val="91"/>
              </w:rPr>
              <w:t>Registration Rights Agreement dated as of July 29, 1996, between the Registrant and Canadian Imperial</w:t>
            </w:r>
          </w:p>
        </w:tc>
        <w:tc>
          <w:tcPr>
            <w:tcW w:w="2400" w:type="dxa"/>
            <w:vAlign w:val="bottom"/>
          </w:tcPr>
          <w:p>
            <w:pPr>
              <w:spacing w:after="0"/>
              <w:rPr>
                <w:sz w:val="24"/>
                <w:szCs w:val="24"/>
                <w:color w:val="auto"/>
              </w:rPr>
            </w:pPr>
          </w:p>
        </w:tc>
      </w:tr>
      <w:tr>
        <w:trPr>
          <w:trHeight w:val="222"/>
        </w:trPr>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Bank of Commerce(11)</w:t>
            </w:r>
          </w:p>
        </w:tc>
        <w:tc>
          <w:tcPr>
            <w:tcW w:w="2400" w:type="dxa"/>
            <w:vAlign w:val="bottom"/>
          </w:tcPr>
          <w:p>
            <w:pPr>
              <w:spacing w:after="0"/>
              <w:rPr>
                <w:sz w:val="19"/>
                <w:szCs w:val="19"/>
                <w:color w:val="auto"/>
              </w:rPr>
            </w:pP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10.119(a)</w:t>
            </w:r>
          </w:p>
        </w:tc>
        <w:tc>
          <w:tcPr>
            <w:tcW w:w="280" w:type="dxa"/>
            <w:vAlign w:val="bottom"/>
          </w:tcPr>
          <w:p>
            <w:pPr>
              <w:spacing w:after="0"/>
              <w:rPr>
                <w:sz w:val="24"/>
                <w:szCs w:val="24"/>
                <w:color w:val="auto"/>
              </w:rPr>
            </w:pPr>
          </w:p>
        </w:tc>
        <w:tc>
          <w:tcPr>
            <w:tcW w:w="7660" w:type="dxa"/>
            <w:vAlign w:val="bottom"/>
          </w:tcPr>
          <w:p>
            <w:pPr>
              <w:spacing w:after="0"/>
              <w:rPr>
                <w:sz w:val="20"/>
                <w:szCs w:val="20"/>
                <w:color w:val="auto"/>
              </w:rPr>
            </w:pPr>
            <w:r>
              <w:rPr>
                <w:rFonts w:ascii="Arial" w:cs="Arial" w:eastAsia="Arial" w:hAnsi="Arial"/>
                <w:sz w:val="18"/>
                <w:szCs w:val="18"/>
                <w:color w:val="auto"/>
                <w:w w:val="91"/>
              </w:rPr>
              <w:t>Reformed Irrevocable Proxy dated July 23, 1998, by J.R. Simplot Company in favor of the Registrant(14)</w:t>
            </w:r>
          </w:p>
        </w:tc>
        <w:tc>
          <w:tcPr>
            <w:tcW w:w="2400" w:type="dxa"/>
            <w:vAlign w:val="bottom"/>
          </w:tcPr>
          <w:p>
            <w:pPr>
              <w:spacing w:after="0"/>
              <w:rPr>
                <w:sz w:val="24"/>
                <w:szCs w:val="24"/>
                <w:color w:val="auto"/>
              </w:rPr>
            </w:pPr>
          </w:p>
        </w:tc>
      </w:tr>
      <w:tr>
        <w:trPr>
          <w:trHeight w:val="426"/>
        </w:trPr>
        <w:tc>
          <w:tcPr>
            <w:tcW w:w="1080" w:type="dxa"/>
            <w:vAlign w:val="bottom"/>
          </w:tcPr>
          <w:p>
            <w:pPr>
              <w:spacing w:after="0"/>
              <w:rPr>
                <w:sz w:val="20"/>
                <w:szCs w:val="20"/>
                <w:color w:val="auto"/>
              </w:rPr>
            </w:pPr>
            <w:r>
              <w:rPr>
                <w:rFonts w:ascii="Arial" w:cs="Arial" w:eastAsia="Arial" w:hAnsi="Arial"/>
                <w:sz w:val="18"/>
                <w:szCs w:val="18"/>
                <w:color w:val="auto"/>
              </w:rPr>
              <w:t>10.119(b)</w:t>
            </w:r>
          </w:p>
        </w:tc>
        <w:tc>
          <w:tcPr>
            <w:tcW w:w="280" w:type="dxa"/>
            <w:vAlign w:val="bottom"/>
          </w:tcPr>
          <w:p>
            <w:pPr>
              <w:spacing w:after="0"/>
              <w:rPr>
                <w:sz w:val="24"/>
                <w:szCs w:val="24"/>
                <w:color w:val="auto"/>
              </w:rPr>
            </w:pPr>
          </w:p>
        </w:tc>
        <w:tc>
          <w:tcPr>
            <w:tcW w:w="7660" w:type="dxa"/>
            <w:vAlign w:val="bottom"/>
          </w:tcPr>
          <w:p>
            <w:pPr>
              <w:spacing w:after="0"/>
              <w:rPr>
                <w:sz w:val="20"/>
                <w:szCs w:val="20"/>
                <w:color w:val="auto"/>
              </w:rPr>
            </w:pPr>
            <w:r>
              <w:rPr>
                <w:rFonts w:ascii="Arial" w:cs="Arial" w:eastAsia="Arial" w:hAnsi="Arial"/>
                <w:sz w:val="18"/>
                <w:szCs w:val="18"/>
                <w:color w:val="auto"/>
                <w:w w:val="98"/>
              </w:rPr>
              <w:t>Irrevocable Proxy dated July 24, 1998, by the Registrant in favor of the Canadian Imperial Bank of</w:t>
            </w:r>
          </w:p>
        </w:tc>
        <w:tc>
          <w:tcPr>
            <w:tcW w:w="2400" w:type="dxa"/>
            <w:vAlign w:val="bottom"/>
          </w:tcPr>
          <w:p>
            <w:pPr>
              <w:spacing w:after="0"/>
              <w:rPr>
                <w:sz w:val="24"/>
                <w:szCs w:val="24"/>
                <w:color w:val="auto"/>
              </w:rPr>
            </w:pPr>
          </w:p>
        </w:tc>
      </w:tr>
      <w:tr>
        <w:trPr>
          <w:trHeight w:val="222"/>
        </w:trPr>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Commerce(14)</w:t>
            </w:r>
          </w:p>
        </w:tc>
        <w:tc>
          <w:tcPr>
            <w:tcW w:w="2400" w:type="dxa"/>
            <w:vAlign w:val="bottom"/>
          </w:tcPr>
          <w:p>
            <w:pPr>
              <w:spacing w:after="0"/>
              <w:rPr>
                <w:sz w:val="19"/>
                <w:szCs w:val="19"/>
                <w:color w:val="auto"/>
              </w:rPr>
            </w:pPr>
          </w:p>
        </w:tc>
      </w:tr>
      <w:tr>
        <w:trPr>
          <w:trHeight w:val="426"/>
        </w:trPr>
        <w:tc>
          <w:tcPr>
            <w:tcW w:w="1080" w:type="dxa"/>
            <w:vAlign w:val="bottom"/>
          </w:tcPr>
          <w:p>
            <w:pPr>
              <w:spacing w:after="0"/>
              <w:rPr>
                <w:sz w:val="20"/>
                <w:szCs w:val="20"/>
                <w:color w:val="auto"/>
              </w:rPr>
            </w:pPr>
            <w:r>
              <w:rPr>
                <w:rFonts w:ascii="Arial" w:cs="Arial" w:eastAsia="Arial" w:hAnsi="Arial"/>
                <w:sz w:val="18"/>
                <w:szCs w:val="18"/>
                <w:color w:val="auto"/>
              </w:rPr>
              <w:t>10.125</w:t>
            </w:r>
          </w:p>
        </w:tc>
        <w:tc>
          <w:tcPr>
            <w:tcW w:w="280" w:type="dxa"/>
            <w:vAlign w:val="bottom"/>
          </w:tcPr>
          <w:p>
            <w:pPr>
              <w:spacing w:after="0"/>
              <w:rPr>
                <w:sz w:val="24"/>
                <w:szCs w:val="24"/>
                <w:color w:val="auto"/>
              </w:rPr>
            </w:pPr>
          </w:p>
        </w:tc>
        <w:tc>
          <w:tcPr>
            <w:tcW w:w="7660" w:type="dxa"/>
            <w:vAlign w:val="bottom"/>
          </w:tcPr>
          <w:p>
            <w:pPr>
              <w:spacing w:after="0"/>
              <w:rPr>
                <w:sz w:val="20"/>
                <w:szCs w:val="20"/>
                <w:color w:val="auto"/>
              </w:rPr>
            </w:pPr>
            <w:r>
              <w:rPr>
                <w:rFonts w:ascii="Arial" w:cs="Arial" w:eastAsia="Arial" w:hAnsi="Arial"/>
                <w:sz w:val="18"/>
                <w:szCs w:val="18"/>
                <w:color w:val="auto"/>
                <w:w w:val="92"/>
              </w:rPr>
              <w:t>Second Supplemental Trust Indenture dated as of September 30, 1998, between the Registrant and the</w:t>
            </w:r>
          </w:p>
        </w:tc>
        <w:tc>
          <w:tcPr>
            <w:tcW w:w="2400" w:type="dxa"/>
            <w:vAlign w:val="bottom"/>
          </w:tcPr>
          <w:p>
            <w:pPr>
              <w:spacing w:after="0"/>
              <w:rPr>
                <w:sz w:val="24"/>
                <w:szCs w:val="24"/>
                <w:color w:val="auto"/>
              </w:rPr>
            </w:pPr>
          </w:p>
        </w:tc>
      </w:tr>
      <w:tr>
        <w:trPr>
          <w:trHeight w:val="216"/>
        </w:trPr>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w w:val="88"/>
              </w:rPr>
              <w:t>Trustee, relating to the issuance of 6.5% Convertible Subordinated Notes due October 2, 2005, including the</w:t>
            </w:r>
          </w:p>
        </w:tc>
        <w:tc>
          <w:tcPr>
            <w:tcW w:w="2400" w:type="dxa"/>
            <w:vAlign w:val="bottom"/>
          </w:tcPr>
          <w:p>
            <w:pPr>
              <w:spacing w:after="0"/>
              <w:rPr>
                <w:sz w:val="18"/>
                <w:szCs w:val="18"/>
                <w:color w:val="auto"/>
              </w:rPr>
            </w:pPr>
          </w:p>
        </w:tc>
      </w:tr>
      <w:tr>
        <w:trPr>
          <w:trHeight w:val="222"/>
        </w:trPr>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form of Note(2)</w:t>
            </w:r>
          </w:p>
        </w:tc>
        <w:tc>
          <w:tcPr>
            <w:tcW w:w="2400" w:type="dxa"/>
            <w:vAlign w:val="bottom"/>
          </w:tcPr>
          <w:p>
            <w:pPr>
              <w:spacing w:after="0"/>
              <w:rPr>
                <w:sz w:val="19"/>
                <w:szCs w:val="19"/>
                <w:color w:val="auto"/>
              </w:rPr>
            </w:pPr>
          </w:p>
        </w:tc>
      </w:tr>
      <w:tr>
        <w:trPr>
          <w:trHeight w:val="426"/>
        </w:trPr>
        <w:tc>
          <w:tcPr>
            <w:tcW w:w="1080" w:type="dxa"/>
            <w:vAlign w:val="bottom"/>
          </w:tcPr>
          <w:p>
            <w:pPr>
              <w:spacing w:after="0"/>
              <w:rPr>
                <w:sz w:val="20"/>
                <w:szCs w:val="20"/>
                <w:color w:val="auto"/>
              </w:rPr>
            </w:pPr>
            <w:r>
              <w:rPr>
                <w:rFonts w:ascii="Arial" w:cs="Arial" w:eastAsia="Arial" w:hAnsi="Arial"/>
                <w:sz w:val="18"/>
                <w:szCs w:val="18"/>
                <w:color w:val="auto"/>
              </w:rPr>
              <w:t>10.126</w:t>
            </w:r>
          </w:p>
        </w:tc>
        <w:tc>
          <w:tcPr>
            <w:tcW w:w="280" w:type="dxa"/>
            <w:vAlign w:val="bottom"/>
          </w:tcPr>
          <w:p>
            <w:pPr>
              <w:spacing w:after="0"/>
              <w:rPr>
                <w:sz w:val="24"/>
                <w:szCs w:val="24"/>
                <w:color w:val="auto"/>
              </w:rPr>
            </w:pPr>
          </w:p>
        </w:tc>
        <w:tc>
          <w:tcPr>
            <w:tcW w:w="7660" w:type="dxa"/>
            <w:vAlign w:val="bottom"/>
          </w:tcPr>
          <w:p>
            <w:pPr>
              <w:spacing w:after="0"/>
              <w:rPr>
                <w:sz w:val="20"/>
                <w:szCs w:val="20"/>
                <w:color w:val="auto"/>
              </w:rPr>
            </w:pPr>
            <w:r>
              <w:rPr>
                <w:rFonts w:ascii="Arial" w:cs="Arial" w:eastAsia="Arial" w:hAnsi="Arial"/>
                <w:sz w:val="18"/>
                <w:szCs w:val="18"/>
                <w:color w:val="auto"/>
                <w:w w:val="91"/>
              </w:rPr>
              <w:t>Subordinated Promissory Note dated September 30, 1998, issued by the Registrant in the name of Texas</w:t>
            </w:r>
          </w:p>
        </w:tc>
        <w:tc>
          <w:tcPr>
            <w:tcW w:w="2400" w:type="dxa"/>
            <w:vAlign w:val="bottom"/>
          </w:tcPr>
          <w:p>
            <w:pPr>
              <w:spacing w:after="0"/>
              <w:rPr>
                <w:sz w:val="24"/>
                <w:szCs w:val="24"/>
                <w:color w:val="auto"/>
              </w:rPr>
            </w:pPr>
          </w:p>
        </w:tc>
      </w:tr>
      <w:tr>
        <w:trPr>
          <w:trHeight w:val="222"/>
        </w:trPr>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Instruments Incorporated in the amount of $210,000,000(2)</w:t>
            </w:r>
          </w:p>
        </w:tc>
        <w:tc>
          <w:tcPr>
            <w:tcW w:w="2400" w:type="dxa"/>
            <w:vAlign w:val="bottom"/>
          </w:tcPr>
          <w:p>
            <w:pPr>
              <w:spacing w:after="0"/>
              <w:rPr>
                <w:sz w:val="19"/>
                <w:szCs w:val="19"/>
                <w:color w:val="auto"/>
              </w:rPr>
            </w:pPr>
          </w:p>
        </w:tc>
      </w:tr>
      <w:tr>
        <w:trPr>
          <w:trHeight w:val="426"/>
        </w:trPr>
        <w:tc>
          <w:tcPr>
            <w:tcW w:w="1080" w:type="dxa"/>
            <w:vAlign w:val="bottom"/>
          </w:tcPr>
          <w:p>
            <w:pPr>
              <w:spacing w:after="0"/>
              <w:rPr>
                <w:sz w:val="20"/>
                <w:szCs w:val="20"/>
                <w:color w:val="auto"/>
              </w:rPr>
            </w:pPr>
            <w:r>
              <w:rPr>
                <w:rFonts w:ascii="Arial" w:cs="Arial" w:eastAsia="Arial" w:hAnsi="Arial"/>
                <w:sz w:val="18"/>
                <w:szCs w:val="18"/>
                <w:color w:val="auto"/>
              </w:rPr>
              <w:t>10.127</w:t>
            </w:r>
          </w:p>
        </w:tc>
        <w:tc>
          <w:tcPr>
            <w:tcW w:w="280" w:type="dxa"/>
            <w:vAlign w:val="bottom"/>
          </w:tcPr>
          <w:p>
            <w:pPr>
              <w:spacing w:after="0"/>
              <w:rPr>
                <w:sz w:val="24"/>
                <w:szCs w:val="24"/>
                <w:color w:val="auto"/>
              </w:rPr>
            </w:pPr>
          </w:p>
        </w:tc>
        <w:tc>
          <w:tcPr>
            <w:tcW w:w="7660" w:type="dxa"/>
            <w:vAlign w:val="bottom"/>
          </w:tcPr>
          <w:p>
            <w:pPr>
              <w:spacing w:after="0"/>
              <w:rPr>
                <w:sz w:val="20"/>
                <w:szCs w:val="20"/>
                <w:color w:val="auto"/>
              </w:rPr>
            </w:pPr>
            <w:r>
              <w:rPr>
                <w:rFonts w:ascii="Arial" w:cs="Arial" w:eastAsia="Arial" w:hAnsi="Arial"/>
                <w:sz w:val="18"/>
                <w:szCs w:val="18"/>
                <w:color w:val="auto"/>
                <w:w w:val="90"/>
              </w:rPr>
              <w:t>Registration Rights Agreement dated as of July 20, 1998, between the Registrant, Canadian Imperial Bank</w:t>
            </w:r>
          </w:p>
        </w:tc>
        <w:tc>
          <w:tcPr>
            <w:tcW w:w="2400" w:type="dxa"/>
            <w:vAlign w:val="bottom"/>
          </w:tcPr>
          <w:p>
            <w:pPr>
              <w:spacing w:after="0"/>
              <w:rPr>
                <w:sz w:val="24"/>
                <w:szCs w:val="24"/>
                <w:color w:val="auto"/>
              </w:rPr>
            </w:pPr>
          </w:p>
        </w:tc>
      </w:tr>
      <w:tr>
        <w:trPr>
          <w:trHeight w:val="222"/>
        </w:trPr>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of Commerce and J.R. Simplot Company(4)</w:t>
            </w:r>
          </w:p>
        </w:tc>
        <w:tc>
          <w:tcPr>
            <w:tcW w:w="2400" w:type="dxa"/>
            <w:vAlign w:val="bottom"/>
          </w:tcPr>
          <w:p>
            <w:pPr>
              <w:spacing w:after="0"/>
              <w:rPr>
                <w:sz w:val="19"/>
                <w:szCs w:val="19"/>
                <w:color w:val="auto"/>
              </w:rPr>
            </w:pP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10.128</w:t>
            </w:r>
          </w:p>
        </w:tc>
        <w:tc>
          <w:tcPr>
            <w:tcW w:w="280" w:type="dxa"/>
            <w:vAlign w:val="bottom"/>
          </w:tcPr>
          <w:p>
            <w:pPr>
              <w:spacing w:after="0"/>
              <w:rPr>
                <w:sz w:val="24"/>
                <w:szCs w:val="24"/>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Nonstatutory Stock Option Plan(16)</w:t>
            </w:r>
          </w:p>
        </w:tc>
        <w:tc>
          <w:tcPr>
            <w:tcW w:w="2400" w:type="dxa"/>
            <w:vAlign w:val="bottom"/>
          </w:tcPr>
          <w:p>
            <w:pPr>
              <w:spacing w:after="0"/>
              <w:rPr>
                <w:sz w:val="24"/>
                <w:szCs w:val="24"/>
                <w:color w:val="auto"/>
              </w:rPr>
            </w:pP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10.129</w:t>
            </w:r>
          </w:p>
        </w:tc>
        <w:tc>
          <w:tcPr>
            <w:tcW w:w="280" w:type="dxa"/>
            <w:vAlign w:val="bottom"/>
          </w:tcPr>
          <w:p>
            <w:pPr>
              <w:spacing w:after="0"/>
              <w:rPr>
                <w:sz w:val="24"/>
                <w:szCs w:val="24"/>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1997 Nonstatutory Stock Option Plan(12)</w:t>
            </w:r>
          </w:p>
        </w:tc>
        <w:tc>
          <w:tcPr>
            <w:tcW w:w="2400" w:type="dxa"/>
            <w:vAlign w:val="bottom"/>
          </w:tcPr>
          <w:p>
            <w:pPr>
              <w:spacing w:after="0"/>
              <w:rPr>
                <w:sz w:val="24"/>
                <w:szCs w:val="24"/>
                <w:color w:val="auto"/>
              </w:rPr>
            </w:pPr>
          </w:p>
        </w:tc>
      </w:tr>
      <w:tr>
        <w:trPr>
          <w:trHeight w:val="891"/>
        </w:trPr>
        <w:tc>
          <w:tcPr>
            <w:tcW w:w="1080" w:type="dxa"/>
            <w:vAlign w:val="bottom"/>
          </w:tcPr>
          <w:p>
            <w:pPr>
              <w:spacing w:after="0"/>
              <w:rPr>
                <w:sz w:val="24"/>
                <w:szCs w:val="24"/>
                <w:color w:val="auto"/>
              </w:rPr>
            </w:pPr>
          </w:p>
        </w:tc>
        <w:tc>
          <w:tcPr>
            <w:tcW w:w="7940" w:type="dxa"/>
            <w:vAlign w:val="bottom"/>
            <w:gridSpan w:val="2"/>
          </w:tcPr>
          <w:p>
            <w:pPr>
              <w:jc w:val="right"/>
              <w:ind w:right="3133"/>
              <w:spacing w:after="0"/>
              <w:rPr>
                <w:sz w:val="20"/>
                <w:szCs w:val="20"/>
                <w:color w:val="auto"/>
              </w:rPr>
            </w:pPr>
            <w:r>
              <w:rPr>
                <w:rFonts w:ascii="Arial" w:cs="Arial" w:eastAsia="Arial" w:hAnsi="Arial"/>
                <w:sz w:val="18"/>
                <w:szCs w:val="18"/>
                <w:color w:val="auto"/>
              </w:rPr>
              <w:t>53</w:t>
            </w:r>
          </w:p>
        </w:tc>
        <w:tc>
          <w:tcPr>
            <w:tcW w:w="2400" w:type="dxa"/>
            <w:vAlign w:val="bottom"/>
          </w:tcPr>
          <w:p>
            <w:pPr>
              <w:spacing w:after="0"/>
              <w:rPr>
                <w:sz w:val="24"/>
                <w:szCs w:val="24"/>
                <w:color w:val="auto"/>
              </w:rPr>
            </w:pPr>
          </w:p>
        </w:tc>
      </w:tr>
      <w:tr>
        <w:trPr>
          <w:trHeight w:val="228"/>
        </w:trPr>
        <w:tc>
          <w:tcPr>
            <w:tcW w:w="10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7660" w:type="dxa"/>
            <w:vAlign w:val="bottom"/>
            <w:tcBorders>
              <w:bottom w:val="single" w:sz="8" w:color="808080"/>
            </w:tcBorders>
          </w:tcPr>
          <w:p>
            <w:pPr>
              <w:spacing w:after="0"/>
              <w:rPr>
                <w:sz w:val="19"/>
                <w:szCs w:val="19"/>
                <w:color w:val="auto"/>
              </w:rPr>
            </w:pPr>
          </w:p>
        </w:tc>
        <w:tc>
          <w:tcPr>
            <w:tcW w:w="2400" w:type="dxa"/>
            <w:vAlign w:val="bottom"/>
            <w:tcBorders>
              <w:bottom w:val="single" w:sz="8" w:color="808080"/>
            </w:tcBorders>
          </w:tcPr>
          <w:p>
            <w:pPr>
              <w:spacing w:after="0"/>
              <w:rPr>
                <w:sz w:val="19"/>
                <w:szCs w:val="19"/>
                <w:color w:val="auto"/>
              </w:rPr>
            </w:pPr>
          </w:p>
        </w:tc>
      </w:tr>
      <w:tr>
        <w:trPr>
          <w:trHeight w:val="535"/>
        </w:trPr>
        <w:tc>
          <w:tcPr>
            <w:tcW w:w="1080" w:type="dxa"/>
            <w:vAlign w:val="bottom"/>
          </w:tcPr>
          <w:p>
            <w:pPr>
              <w:spacing w:after="0"/>
              <w:rPr>
                <w:sz w:val="20"/>
                <w:szCs w:val="20"/>
                <w:color w:val="auto"/>
              </w:rPr>
            </w:pPr>
            <w:r>
              <w:rPr>
                <w:rFonts w:ascii="Arial" w:cs="Arial" w:eastAsia="Arial" w:hAnsi="Arial"/>
                <w:sz w:val="18"/>
                <w:szCs w:val="18"/>
                <w:color w:val="auto"/>
              </w:rPr>
              <w:t>10.130</w:t>
            </w:r>
          </w:p>
        </w:tc>
        <w:tc>
          <w:tcPr>
            <w:tcW w:w="280" w:type="dxa"/>
            <w:vAlign w:val="bottom"/>
          </w:tcPr>
          <w:p>
            <w:pPr>
              <w:spacing w:after="0"/>
              <w:rPr>
                <w:sz w:val="24"/>
                <w:szCs w:val="24"/>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Micron Quantum Devices, Inc. 1996 Stock Option Plan(12)</w:t>
            </w:r>
          </w:p>
        </w:tc>
        <w:tc>
          <w:tcPr>
            <w:tcW w:w="2400" w:type="dxa"/>
            <w:vAlign w:val="bottom"/>
          </w:tcPr>
          <w:p>
            <w:pPr>
              <w:spacing w:after="0"/>
              <w:rPr>
                <w:sz w:val="24"/>
                <w:szCs w:val="24"/>
                <w:color w:val="auto"/>
              </w:rPr>
            </w:pP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10.131</w:t>
            </w:r>
          </w:p>
        </w:tc>
        <w:tc>
          <w:tcPr>
            <w:tcW w:w="280" w:type="dxa"/>
            <w:vAlign w:val="bottom"/>
          </w:tcPr>
          <w:p>
            <w:pPr>
              <w:spacing w:after="0"/>
              <w:rPr>
                <w:sz w:val="24"/>
                <w:szCs w:val="24"/>
                <w:color w:val="auto"/>
              </w:rPr>
            </w:pPr>
          </w:p>
        </w:tc>
        <w:tc>
          <w:tcPr>
            <w:tcW w:w="7660" w:type="dxa"/>
            <w:vAlign w:val="bottom"/>
          </w:tcPr>
          <w:p>
            <w:pPr>
              <w:spacing w:after="0"/>
              <w:rPr>
                <w:sz w:val="20"/>
                <w:szCs w:val="20"/>
                <w:color w:val="auto"/>
              </w:rPr>
            </w:pPr>
            <w:r>
              <w:rPr>
                <w:rFonts w:ascii="Arial" w:cs="Arial" w:eastAsia="Arial" w:hAnsi="Arial"/>
                <w:sz w:val="18"/>
                <w:szCs w:val="18"/>
                <w:color w:val="auto"/>
                <w:w w:val="93"/>
              </w:rPr>
              <w:t>Sample Stock Option Assumption Letter for Micron Quantum Devices, Inc. 1996 Stock Option Plan(12)</w:t>
            </w:r>
          </w:p>
        </w:tc>
        <w:tc>
          <w:tcPr>
            <w:tcW w:w="2400" w:type="dxa"/>
            <w:vAlign w:val="bottom"/>
          </w:tcPr>
          <w:p>
            <w:pPr>
              <w:spacing w:after="0"/>
              <w:rPr>
                <w:sz w:val="24"/>
                <w:szCs w:val="24"/>
                <w:color w:val="auto"/>
              </w:rPr>
            </w:pP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10.132</w:t>
            </w:r>
          </w:p>
        </w:tc>
        <w:tc>
          <w:tcPr>
            <w:tcW w:w="280" w:type="dxa"/>
            <w:vAlign w:val="bottom"/>
          </w:tcPr>
          <w:p>
            <w:pPr>
              <w:spacing w:after="0"/>
              <w:rPr>
                <w:sz w:val="24"/>
                <w:szCs w:val="24"/>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1998 Nonstatutory Stock Option Plan(16)</w:t>
            </w:r>
          </w:p>
        </w:tc>
        <w:tc>
          <w:tcPr>
            <w:tcW w:w="2400" w:type="dxa"/>
            <w:vAlign w:val="bottom"/>
          </w:tcPr>
          <w:p>
            <w:pPr>
              <w:spacing w:after="0"/>
              <w:rPr>
                <w:sz w:val="24"/>
                <w:szCs w:val="24"/>
                <w:color w:val="auto"/>
              </w:rPr>
            </w:pP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10.133</w:t>
            </w:r>
          </w:p>
        </w:tc>
        <w:tc>
          <w:tcPr>
            <w:tcW w:w="280" w:type="dxa"/>
            <w:vAlign w:val="bottom"/>
          </w:tcPr>
          <w:p>
            <w:pPr>
              <w:spacing w:after="0"/>
              <w:rPr>
                <w:sz w:val="24"/>
                <w:szCs w:val="24"/>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Rendition, Inc. 1994 Equity Incentive Plan(13)</w:t>
            </w:r>
          </w:p>
        </w:tc>
        <w:tc>
          <w:tcPr>
            <w:tcW w:w="24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680720</wp:posOffset>
            </wp:positionH>
            <wp:positionV relativeFrom="paragraph">
              <wp:posOffset>-8415020</wp:posOffset>
            </wp:positionV>
            <wp:extent cx="12700" cy="88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-8415020</wp:posOffset>
            </wp:positionV>
            <wp:extent cx="12700" cy="88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-8415020</wp:posOffset>
            </wp:positionV>
            <wp:extent cx="12700" cy="88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860425</wp:posOffset>
            </wp:positionH>
            <wp:positionV relativeFrom="paragraph">
              <wp:posOffset>-8415020</wp:posOffset>
            </wp:positionV>
            <wp:extent cx="12700"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-1177290</wp:posOffset>
            </wp:positionV>
            <wp:extent cx="12700" cy="88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-1177290</wp:posOffset>
            </wp:positionV>
            <wp:extent cx="12700" cy="88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22" w:right="239" w:bottom="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22"/>
        </w:trPr>
        <w:tc>
          <w:tcPr>
            <w:tcW w:w="920" w:type="dxa"/>
            <w:vAlign w:val="bottom"/>
          </w:tcPr>
          <w:p>
            <w:pPr>
              <w:spacing w:after="0"/>
              <w:rPr>
                <w:sz w:val="20"/>
                <w:szCs w:val="20"/>
                <w:color w:val="auto"/>
              </w:rPr>
            </w:pPr>
            <w:r>
              <w:rPr>
                <w:rFonts w:ascii="Arial" w:cs="Arial" w:eastAsia="Arial" w:hAnsi="Arial"/>
                <w:sz w:val="18"/>
                <w:szCs w:val="18"/>
                <w:color w:val="auto"/>
              </w:rPr>
              <w:t>10.134</w:t>
            </w:r>
          </w:p>
        </w:tc>
        <w:tc>
          <w:tcPr>
            <w:tcW w:w="8080" w:type="dxa"/>
            <w:vAlign w:val="bottom"/>
            <w:gridSpan w:val="2"/>
          </w:tcPr>
          <w:p>
            <w:pPr>
              <w:ind w:left="440"/>
              <w:spacing w:after="0"/>
              <w:rPr>
                <w:sz w:val="20"/>
                <w:szCs w:val="20"/>
                <w:color w:val="auto"/>
              </w:rPr>
            </w:pPr>
            <w:r>
              <w:rPr>
                <w:rFonts w:ascii="Arial" w:cs="Arial" w:eastAsia="Arial" w:hAnsi="Arial"/>
                <w:sz w:val="18"/>
                <w:szCs w:val="18"/>
                <w:color w:val="auto"/>
              </w:rPr>
              <w:t>Sample Stock Option Assumption Letter for Rendition, Inc. 1994 Equity Incentive Plan(13)</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10.139</w:t>
            </w:r>
          </w:p>
        </w:tc>
        <w:tc>
          <w:tcPr>
            <w:tcW w:w="8080" w:type="dxa"/>
            <w:vAlign w:val="bottom"/>
            <w:gridSpan w:val="2"/>
          </w:tcPr>
          <w:p>
            <w:pPr>
              <w:ind w:left="440"/>
              <w:spacing w:after="0"/>
              <w:rPr>
                <w:sz w:val="20"/>
                <w:szCs w:val="20"/>
                <w:color w:val="auto"/>
              </w:rPr>
            </w:pPr>
            <w:r>
              <w:rPr>
                <w:rFonts w:ascii="Arial" w:cs="Arial" w:eastAsia="Arial" w:hAnsi="Arial"/>
                <w:sz w:val="18"/>
                <w:szCs w:val="18"/>
                <w:color w:val="auto"/>
              </w:rPr>
              <w:t>1989 Employee Stock Purchase Plan(18)</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10.140</w:t>
            </w:r>
          </w:p>
        </w:tc>
        <w:tc>
          <w:tcPr>
            <w:tcW w:w="8080" w:type="dxa"/>
            <w:vAlign w:val="bottom"/>
            <w:gridSpan w:val="2"/>
          </w:tcPr>
          <w:p>
            <w:pPr>
              <w:ind w:left="440"/>
              <w:spacing w:after="0"/>
              <w:rPr>
                <w:sz w:val="20"/>
                <w:szCs w:val="20"/>
                <w:color w:val="auto"/>
              </w:rPr>
            </w:pPr>
            <w:r>
              <w:rPr>
                <w:rFonts w:ascii="Arial" w:cs="Arial" w:eastAsia="Arial" w:hAnsi="Arial"/>
                <w:sz w:val="18"/>
                <w:szCs w:val="18"/>
                <w:color w:val="auto"/>
              </w:rPr>
              <w:t>1998 Non-Employee Director Stock Incentive Plan(16)</w:t>
            </w:r>
          </w:p>
        </w:tc>
      </w:tr>
      <w:tr>
        <w:trPr>
          <w:trHeight w:val="426"/>
        </w:trPr>
        <w:tc>
          <w:tcPr>
            <w:tcW w:w="920" w:type="dxa"/>
            <w:vAlign w:val="bottom"/>
          </w:tcPr>
          <w:p>
            <w:pPr>
              <w:spacing w:after="0"/>
              <w:rPr>
                <w:sz w:val="20"/>
                <w:szCs w:val="20"/>
                <w:color w:val="auto"/>
              </w:rPr>
            </w:pPr>
            <w:r>
              <w:rPr>
                <w:rFonts w:ascii="Arial" w:cs="Arial" w:eastAsia="Arial" w:hAnsi="Arial"/>
                <w:sz w:val="18"/>
                <w:szCs w:val="18"/>
                <w:color w:val="auto"/>
              </w:rPr>
              <w:t>10.142</w:t>
            </w:r>
          </w:p>
        </w:tc>
        <w:tc>
          <w:tcPr>
            <w:tcW w:w="8080" w:type="dxa"/>
            <w:vAlign w:val="bottom"/>
            <w:gridSpan w:val="2"/>
          </w:tcPr>
          <w:p>
            <w:pPr>
              <w:ind w:left="440"/>
              <w:spacing w:after="0"/>
              <w:rPr>
                <w:sz w:val="20"/>
                <w:szCs w:val="20"/>
                <w:color w:val="auto"/>
              </w:rPr>
            </w:pPr>
            <w:r>
              <w:rPr>
                <w:rFonts w:ascii="Arial" w:cs="Arial" w:eastAsia="Arial" w:hAnsi="Arial"/>
                <w:sz w:val="18"/>
                <w:szCs w:val="18"/>
                <w:color w:val="auto"/>
                <w:w w:val="90"/>
              </w:rPr>
              <w:t>Purchase Agreement dated October 1, 1998, between the Company and TECH Semiconductor Singapore</w:t>
            </w:r>
          </w:p>
        </w:tc>
      </w:tr>
      <w:tr>
        <w:trPr>
          <w:trHeight w:val="222"/>
        </w:trPr>
        <w:tc>
          <w:tcPr>
            <w:tcW w:w="920" w:type="dxa"/>
            <w:vAlign w:val="bottom"/>
          </w:tcPr>
          <w:p>
            <w:pPr>
              <w:spacing w:after="0"/>
              <w:rPr>
                <w:sz w:val="19"/>
                <w:szCs w:val="19"/>
                <w:color w:val="auto"/>
              </w:rPr>
            </w:pPr>
          </w:p>
        </w:tc>
        <w:tc>
          <w:tcPr>
            <w:tcW w:w="8080" w:type="dxa"/>
            <w:vAlign w:val="bottom"/>
            <w:gridSpan w:val="2"/>
          </w:tcPr>
          <w:p>
            <w:pPr>
              <w:ind w:left="440"/>
              <w:spacing w:after="0"/>
              <w:rPr>
                <w:sz w:val="20"/>
                <w:szCs w:val="20"/>
                <w:color w:val="auto"/>
              </w:rPr>
            </w:pPr>
            <w:r>
              <w:rPr>
                <w:rFonts w:ascii="Arial" w:cs="Arial" w:eastAsia="Arial" w:hAnsi="Arial"/>
                <w:sz w:val="18"/>
                <w:szCs w:val="18"/>
                <w:color w:val="auto"/>
              </w:rPr>
              <w:t>Pte. Ltd.(15)</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10.143</w:t>
            </w:r>
          </w:p>
        </w:tc>
        <w:tc>
          <w:tcPr>
            <w:tcW w:w="8080" w:type="dxa"/>
            <w:vAlign w:val="bottom"/>
            <w:gridSpan w:val="2"/>
          </w:tcPr>
          <w:p>
            <w:pPr>
              <w:ind w:left="440"/>
              <w:spacing w:after="0"/>
              <w:rPr>
                <w:sz w:val="20"/>
                <w:szCs w:val="20"/>
                <w:color w:val="auto"/>
              </w:rPr>
            </w:pPr>
            <w:r>
              <w:rPr>
                <w:rFonts w:ascii="Arial" w:cs="Arial" w:eastAsia="Arial" w:hAnsi="Arial"/>
                <w:sz w:val="18"/>
                <w:szCs w:val="18"/>
                <w:color w:val="auto"/>
              </w:rPr>
              <w:t>Micron Quantum Devices Stock Bonus Plan(17)</w:t>
            </w:r>
          </w:p>
        </w:tc>
      </w:tr>
      <w:tr>
        <w:trPr>
          <w:trHeight w:val="426"/>
        </w:trPr>
        <w:tc>
          <w:tcPr>
            <w:tcW w:w="920" w:type="dxa"/>
            <w:vAlign w:val="bottom"/>
          </w:tcPr>
          <w:p>
            <w:pPr>
              <w:spacing w:after="0"/>
              <w:rPr>
                <w:sz w:val="20"/>
                <w:szCs w:val="20"/>
                <w:color w:val="auto"/>
              </w:rPr>
            </w:pPr>
            <w:r>
              <w:rPr>
                <w:rFonts w:ascii="Arial" w:cs="Arial" w:eastAsia="Arial" w:hAnsi="Arial"/>
                <w:sz w:val="18"/>
                <w:szCs w:val="18"/>
                <w:color w:val="auto"/>
              </w:rPr>
              <w:t>10.144</w:t>
            </w:r>
          </w:p>
        </w:tc>
        <w:tc>
          <w:tcPr>
            <w:tcW w:w="8080" w:type="dxa"/>
            <w:vAlign w:val="bottom"/>
            <w:gridSpan w:val="2"/>
          </w:tcPr>
          <w:p>
            <w:pPr>
              <w:ind w:left="440"/>
              <w:spacing w:after="0"/>
              <w:rPr>
                <w:sz w:val="20"/>
                <w:szCs w:val="20"/>
                <w:color w:val="auto"/>
              </w:rPr>
            </w:pPr>
            <w:r>
              <w:rPr>
                <w:rFonts w:ascii="Arial" w:cs="Arial" w:eastAsia="Arial" w:hAnsi="Arial"/>
                <w:sz w:val="18"/>
                <w:szCs w:val="18"/>
                <w:color w:val="auto"/>
                <w:w w:val="87"/>
              </w:rPr>
              <w:t>Purchase Agreement dated as of July 12, 2001, between the Registrant and Lehman Brothers, Inc. relating to</w:t>
            </w:r>
          </w:p>
        </w:tc>
      </w:tr>
      <w:tr>
        <w:trPr>
          <w:trHeight w:val="222"/>
        </w:trPr>
        <w:tc>
          <w:tcPr>
            <w:tcW w:w="920" w:type="dxa"/>
            <w:vAlign w:val="bottom"/>
          </w:tcPr>
          <w:p>
            <w:pPr>
              <w:spacing w:after="0"/>
              <w:rPr>
                <w:sz w:val="19"/>
                <w:szCs w:val="19"/>
                <w:color w:val="auto"/>
              </w:rPr>
            </w:pPr>
          </w:p>
        </w:tc>
        <w:tc>
          <w:tcPr>
            <w:tcW w:w="8080" w:type="dxa"/>
            <w:vAlign w:val="bottom"/>
            <w:gridSpan w:val="2"/>
          </w:tcPr>
          <w:p>
            <w:pPr>
              <w:ind w:left="440"/>
              <w:spacing w:after="0"/>
              <w:rPr>
                <w:sz w:val="20"/>
                <w:szCs w:val="20"/>
                <w:color w:val="auto"/>
              </w:rPr>
            </w:pPr>
            <w:r>
              <w:rPr>
                <w:rFonts w:ascii="Arial" w:cs="Arial" w:eastAsia="Arial" w:hAnsi="Arial"/>
                <w:sz w:val="18"/>
                <w:szCs w:val="18"/>
                <w:color w:val="auto"/>
              </w:rPr>
              <w:t>the Warrants(5)</w:t>
            </w:r>
          </w:p>
        </w:tc>
      </w:tr>
      <w:tr>
        <w:trPr>
          <w:trHeight w:val="426"/>
        </w:trPr>
        <w:tc>
          <w:tcPr>
            <w:tcW w:w="920" w:type="dxa"/>
            <w:vAlign w:val="bottom"/>
          </w:tcPr>
          <w:p>
            <w:pPr>
              <w:spacing w:after="0"/>
              <w:rPr>
                <w:sz w:val="20"/>
                <w:szCs w:val="20"/>
                <w:color w:val="auto"/>
              </w:rPr>
            </w:pPr>
            <w:r>
              <w:rPr>
                <w:rFonts w:ascii="Arial" w:cs="Arial" w:eastAsia="Arial" w:hAnsi="Arial"/>
                <w:sz w:val="18"/>
                <w:szCs w:val="18"/>
                <w:color w:val="auto"/>
              </w:rPr>
              <w:t>10.145</w:t>
            </w:r>
          </w:p>
        </w:tc>
        <w:tc>
          <w:tcPr>
            <w:tcW w:w="8080" w:type="dxa"/>
            <w:vAlign w:val="bottom"/>
            <w:gridSpan w:val="2"/>
          </w:tcPr>
          <w:p>
            <w:pPr>
              <w:ind w:left="440"/>
              <w:spacing w:after="0"/>
              <w:rPr>
                <w:sz w:val="20"/>
                <w:szCs w:val="20"/>
                <w:color w:val="auto"/>
              </w:rPr>
            </w:pPr>
            <w:r>
              <w:rPr>
                <w:rFonts w:ascii="Arial" w:cs="Arial" w:eastAsia="Arial" w:hAnsi="Arial"/>
                <w:sz w:val="18"/>
                <w:szCs w:val="18"/>
                <w:color w:val="auto"/>
                <w:w w:val="87"/>
              </w:rPr>
              <w:t>Registration Rights Agreement dated as of July 18, 2001, between the Registrant and Lehman Brothers, Inc.,</w:t>
            </w:r>
          </w:p>
        </w:tc>
      </w:tr>
      <w:tr>
        <w:trPr>
          <w:trHeight w:val="222"/>
        </w:trPr>
        <w:tc>
          <w:tcPr>
            <w:tcW w:w="920" w:type="dxa"/>
            <w:vAlign w:val="bottom"/>
          </w:tcPr>
          <w:p>
            <w:pPr>
              <w:spacing w:after="0"/>
              <w:rPr>
                <w:sz w:val="19"/>
                <w:szCs w:val="19"/>
                <w:color w:val="auto"/>
              </w:rPr>
            </w:pPr>
          </w:p>
        </w:tc>
        <w:tc>
          <w:tcPr>
            <w:tcW w:w="8080" w:type="dxa"/>
            <w:vAlign w:val="bottom"/>
            <w:gridSpan w:val="2"/>
          </w:tcPr>
          <w:p>
            <w:pPr>
              <w:ind w:left="440"/>
              <w:spacing w:after="0"/>
              <w:rPr>
                <w:sz w:val="20"/>
                <w:szCs w:val="20"/>
                <w:color w:val="auto"/>
              </w:rPr>
            </w:pPr>
            <w:r>
              <w:rPr>
                <w:rFonts w:ascii="Arial" w:cs="Arial" w:eastAsia="Arial" w:hAnsi="Arial"/>
                <w:sz w:val="18"/>
                <w:szCs w:val="18"/>
                <w:color w:val="auto"/>
              </w:rPr>
              <w:t>relating to the Warrants(5)</w:t>
            </w:r>
          </w:p>
        </w:tc>
      </w:tr>
      <w:tr>
        <w:trPr>
          <w:trHeight w:val="426"/>
        </w:trPr>
        <w:tc>
          <w:tcPr>
            <w:tcW w:w="920" w:type="dxa"/>
            <w:vAlign w:val="bottom"/>
          </w:tcPr>
          <w:p>
            <w:pPr>
              <w:spacing w:after="0"/>
              <w:rPr>
                <w:sz w:val="20"/>
                <w:szCs w:val="20"/>
                <w:color w:val="auto"/>
              </w:rPr>
            </w:pPr>
            <w:r>
              <w:rPr>
                <w:rFonts w:ascii="Arial" w:cs="Arial" w:eastAsia="Arial" w:hAnsi="Arial"/>
                <w:sz w:val="18"/>
                <w:szCs w:val="18"/>
                <w:color w:val="auto"/>
              </w:rPr>
              <w:t>10.146</w:t>
            </w:r>
          </w:p>
        </w:tc>
        <w:tc>
          <w:tcPr>
            <w:tcW w:w="8080" w:type="dxa"/>
            <w:vAlign w:val="bottom"/>
            <w:gridSpan w:val="2"/>
          </w:tcPr>
          <w:p>
            <w:pPr>
              <w:ind w:left="440"/>
              <w:spacing w:after="0"/>
              <w:rPr>
                <w:sz w:val="20"/>
                <w:szCs w:val="20"/>
                <w:color w:val="auto"/>
              </w:rPr>
            </w:pPr>
            <w:r>
              <w:rPr>
                <w:rFonts w:ascii="Arial" w:cs="Arial" w:eastAsia="Arial" w:hAnsi="Arial"/>
                <w:sz w:val="18"/>
                <w:szCs w:val="18"/>
                <w:color w:val="auto"/>
                <w:w w:val="91"/>
              </w:rPr>
              <w:t>Warrant Agreement dated as of July 18, 2001, between the Registrant and Wells Fargo Bank Minnesota,</w:t>
            </w:r>
          </w:p>
        </w:tc>
      </w:tr>
      <w:tr>
        <w:trPr>
          <w:trHeight w:val="222"/>
        </w:trPr>
        <w:tc>
          <w:tcPr>
            <w:tcW w:w="920" w:type="dxa"/>
            <w:vAlign w:val="bottom"/>
          </w:tcPr>
          <w:p>
            <w:pPr>
              <w:spacing w:after="0"/>
              <w:rPr>
                <w:sz w:val="19"/>
                <w:szCs w:val="19"/>
                <w:color w:val="auto"/>
              </w:rPr>
            </w:pPr>
          </w:p>
        </w:tc>
        <w:tc>
          <w:tcPr>
            <w:tcW w:w="8080" w:type="dxa"/>
            <w:vAlign w:val="bottom"/>
            <w:gridSpan w:val="2"/>
          </w:tcPr>
          <w:p>
            <w:pPr>
              <w:ind w:left="440"/>
              <w:spacing w:after="0"/>
              <w:rPr>
                <w:sz w:val="20"/>
                <w:szCs w:val="20"/>
                <w:color w:val="auto"/>
              </w:rPr>
            </w:pPr>
            <w:r>
              <w:rPr>
                <w:rFonts w:ascii="Arial" w:cs="Arial" w:eastAsia="Arial" w:hAnsi="Arial"/>
                <w:sz w:val="18"/>
                <w:szCs w:val="18"/>
                <w:color w:val="auto"/>
              </w:rPr>
              <w:t>N.A., relating to the Warrants(5)</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10.151</w:t>
            </w:r>
          </w:p>
        </w:tc>
        <w:tc>
          <w:tcPr>
            <w:tcW w:w="8080" w:type="dxa"/>
            <w:vAlign w:val="bottom"/>
            <w:gridSpan w:val="2"/>
          </w:tcPr>
          <w:p>
            <w:pPr>
              <w:ind w:left="440"/>
              <w:spacing w:after="0"/>
              <w:rPr>
                <w:sz w:val="20"/>
                <w:szCs w:val="20"/>
                <w:color w:val="auto"/>
              </w:rPr>
            </w:pPr>
            <w:r>
              <w:rPr>
                <w:rFonts w:ascii="Arial" w:cs="Arial" w:eastAsia="Arial" w:hAnsi="Arial"/>
                <w:sz w:val="18"/>
                <w:szCs w:val="18"/>
                <w:color w:val="auto"/>
              </w:rPr>
              <w:t>2001 Stock Option Plan(10)</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21.1</w:t>
            </w:r>
          </w:p>
        </w:tc>
        <w:tc>
          <w:tcPr>
            <w:tcW w:w="8080" w:type="dxa"/>
            <w:vAlign w:val="bottom"/>
            <w:gridSpan w:val="2"/>
          </w:tcPr>
          <w:p>
            <w:pPr>
              <w:ind w:left="440"/>
              <w:spacing w:after="0"/>
              <w:rPr>
                <w:sz w:val="20"/>
                <w:szCs w:val="20"/>
                <w:color w:val="auto"/>
              </w:rPr>
            </w:pPr>
            <w:r>
              <w:rPr>
                <w:rFonts w:ascii="Arial" w:cs="Arial" w:eastAsia="Arial" w:hAnsi="Arial"/>
                <w:sz w:val="18"/>
                <w:szCs w:val="18"/>
                <w:color w:val="auto"/>
              </w:rPr>
              <w:t>Subsidiaries of the Registrant</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23.1</w:t>
            </w:r>
          </w:p>
        </w:tc>
        <w:tc>
          <w:tcPr>
            <w:tcW w:w="8080" w:type="dxa"/>
            <w:vAlign w:val="bottom"/>
            <w:gridSpan w:val="2"/>
          </w:tcPr>
          <w:p>
            <w:pPr>
              <w:ind w:left="440"/>
              <w:spacing w:after="0"/>
              <w:rPr>
                <w:sz w:val="20"/>
                <w:szCs w:val="20"/>
                <w:color w:val="auto"/>
              </w:rPr>
            </w:pPr>
            <w:r>
              <w:rPr>
                <w:rFonts w:ascii="Arial" w:cs="Arial" w:eastAsia="Arial" w:hAnsi="Arial"/>
                <w:sz w:val="18"/>
                <w:szCs w:val="18"/>
                <w:color w:val="auto"/>
              </w:rPr>
              <w:t>Consent of Independent Accountants</w:t>
            </w:r>
          </w:p>
        </w:tc>
      </w:tr>
      <w:tr>
        <w:trPr>
          <w:trHeight w:val="426"/>
        </w:trPr>
        <w:tc>
          <w:tcPr>
            <w:tcW w:w="920" w:type="dxa"/>
            <w:vAlign w:val="bottom"/>
          </w:tcPr>
          <w:p>
            <w:pPr>
              <w:spacing w:after="0"/>
              <w:rPr>
                <w:sz w:val="20"/>
                <w:szCs w:val="20"/>
                <w:color w:val="auto"/>
              </w:rPr>
            </w:pPr>
            <w:r>
              <w:rPr>
                <w:rFonts w:ascii="Arial" w:cs="Arial" w:eastAsia="Arial" w:hAnsi="Arial"/>
                <w:sz w:val="18"/>
                <w:szCs w:val="18"/>
                <w:color w:val="auto"/>
              </w:rPr>
              <w:t>99.1</w:t>
            </w:r>
          </w:p>
        </w:tc>
        <w:tc>
          <w:tcPr>
            <w:tcW w:w="8080" w:type="dxa"/>
            <w:vAlign w:val="bottom"/>
            <w:gridSpan w:val="2"/>
          </w:tcPr>
          <w:p>
            <w:pPr>
              <w:ind w:left="440"/>
              <w:spacing w:after="0"/>
              <w:rPr>
                <w:sz w:val="20"/>
                <w:szCs w:val="20"/>
                <w:color w:val="auto"/>
              </w:rPr>
            </w:pPr>
            <w:r>
              <w:rPr>
                <w:rFonts w:ascii="Arial" w:cs="Arial" w:eastAsia="Arial" w:hAnsi="Arial"/>
                <w:sz w:val="18"/>
                <w:szCs w:val="18"/>
                <w:color w:val="auto"/>
                <w:w w:val="91"/>
              </w:rPr>
              <w:t>Certifications Pursuant to 18 U.S.C. Section 1350, as Adopted Pursuant to Section 906 of the Sarbanes-</w:t>
            </w:r>
          </w:p>
        </w:tc>
      </w:tr>
      <w:tr>
        <w:trPr>
          <w:trHeight w:val="222"/>
        </w:trPr>
        <w:tc>
          <w:tcPr>
            <w:tcW w:w="920" w:type="dxa"/>
            <w:vAlign w:val="bottom"/>
          </w:tcPr>
          <w:p>
            <w:pPr>
              <w:spacing w:after="0"/>
              <w:rPr>
                <w:sz w:val="19"/>
                <w:szCs w:val="19"/>
                <w:color w:val="auto"/>
              </w:rPr>
            </w:pPr>
          </w:p>
        </w:tc>
        <w:tc>
          <w:tcPr>
            <w:tcW w:w="8080" w:type="dxa"/>
            <w:vAlign w:val="bottom"/>
            <w:gridSpan w:val="2"/>
          </w:tcPr>
          <w:p>
            <w:pPr>
              <w:ind w:left="440"/>
              <w:spacing w:after="0"/>
              <w:rPr>
                <w:sz w:val="20"/>
                <w:szCs w:val="20"/>
                <w:color w:val="auto"/>
              </w:rPr>
            </w:pPr>
            <w:r>
              <w:rPr>
                <w:rFonts w:ascii="Arial" w:cs="Arial" w:eastAsia="Arial" w:hAnsi="Arial"/>
                <w:sz w:val="18"/>
                <w:szCs w:val="18"/>
                <w:color w:val="auto"/>
              </w:rPr>
              <w:t>Oxley Act of 2002</w:t>
            </w:r>
          </w:p>
        </w:tc>
      </w:tr>
      <w:tr>
        <w:trPr>
          <w:trHeight w:val="120"/>
        </w:trPr>
        <w:tc>
          <w:tcPr>
            <w:tcW w:w="9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734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11" w:lineRule="exact"/>
        <w:rPr>
          <w:sz w:val="20"/>
          <w:szCs w:val="20"/>
          <w:color w:val="auto"/>
        </w:rPr>
      </w:pPr>
    </w:p>
    <w:p>
      <w:pPr>
        <w:ind w:left="540" w:hanging="532"/>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Incorporated by Reference to Quarterly Report on Form 10-Q for the fiscal quarter ended May 28, 1998</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Incorporated by Reference to Current Report on Form 8-K filed on October 14, 1998, as amended on October 16, 1998</w:t>
      </w:r>
    </w:p>
    <w:p>
      <w:pPr>
        <w:spacing w:after="0" w:line="261" w:lineRule="exact"/>
        <w:rPr>
          <w:rFonts w:ascii="Arial" w:cs="Arial" w:eastAsia="Arial" w:hAnsi="Arial"/>
          <w:sz w:val="16"/>
          <w:szCs w:val="16"/>
          <w:color w:val="auto"/>
        </w:rPr>
      </w:pPr>
    </w:p>
    <w:p>
      <w:pPr>
        <w:ind w:left="540" w:hanging="532"/>
        <w:spacing w:after="0"/>
        <w:tabs>
          <w:tab w:leader="none" w:pos="54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Incorporated by Reference to Annual Report on Form 10-K as amended for the fiscal year ended August 31, 1995</w:t>
      </w:r>
    </w:p>
    <w:p>
      <w:pPr>
        <w:spacing w:after="0" w:line="275" w:lineRule="exact"/>
        <w:rPr>
          <w:rFonts w:ascii="Arial" w:cs="Arial" w:eastAsia="Arial" w:hAnsi="Arial"/>
          <w:sz w:val="16"/>
          <w:szCs w:val="16"/>
          <w:color w:val="auto"/>
        </w:rPr>
      </w:pPr>
    </w:p>
    <w:p>
      <w:pPr>
        <w:ind w:left="540" w:hanging="532"/>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Incorporated by Reference to Registration Statement on Form S-3 as amended (Reg. No. 333-57973)</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Incorporated by Reference to Form 10-K for the fiscal year ended August 30, 2001</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Incorporated by Reference to Proxy Statement for the 1986 Annual Meeting of Shareholders</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Incorporated by Reference to Annual Report on Form 10-K for the fiscal year ended August 31, 1989</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Incorporated by Reference to Registration Statement on Forms S-8 (Reg. No. 33-52653)</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Incorporated by Reference to Quarterly Report on Form 10-Q for the fiscal quarter ended May 31, 2001</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540" w:hanging="532"/>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Registration Statement on Form S-8 (Reg. No. 99271)</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Annual Report on Form 10-K for the fiscal year ended August 29, 1996</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Registration Statement on Form S-8 (Reg. No. 333-50353)</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Registration Statement on Form S-8 (Reg. No. 333-65449)</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Annual Report on Form 10-K for the fiscal year ended September 3, 1998</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Incorporated by Reference to Quarterly Report on Form 10-Q for the fiscal quarter ended December 3, 1998</w:t>
      </w:r>
    </w:p>
    <w:p>
      <w:pPr>
        <w:spacing w:after="0" w:line="261" w:lineRule="exact"/>
        <w:rPr>
          <w:rFonts w:ascii="Arial" w:cs="Arial" w:eastAsia="Arial" w:hAnsi="Arial"/>
          <w:sz w:val="16"/>
          <w:szCs w:val="16"/>
          <w:color w:val="auto"/>
        </w:rPr>
      </w:pPr>
    </w:p>
    <w:p>
      <w:pPr>
        <w:ind w:left="540" w:hanging="532"/>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Quarterly Report on Form 10-Q for the fiscal quarter ended June 3, 1999</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Incorporated by Reference to Registration Statement on Form S-8 (Reg. No. 333-82549)</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Incorporated by Reference to Quarterly Report on Form 10-Q for the fiscal quarter ended February 28, 2002</w:t>
      </w:r>
    </w:p>
    <w:p>
      <w:pPr>
        <w:spacing w:after="0" w:line="200" w:lineRule="exact"/>
        <w:rPr>
          <w:rFonts w:ascii="Arial" w:cs="Arial" w:eastAsia="Arial" w:hAnsi="Arial"/>
          <w:sz w:val="16"/>
          <w:szCs w:val="16"/>
          <w:color w:val="auto"/>
        </w:rPr>
      </w:pPr>
    </w:p>
    <w:p>
      <w:pPr>
        <w:spacing w:after="0" w:line="277" w:lineRule="exact"/>
        <w:rPr>
          <w:rFonts w:ascii="Arial" w:cs="Arial" w:eastAsia="Arial" w:hAnsi="Arial"/>
          <w:sz w:val="16"/>
          <w:szCs w:val="16"/>
          <w:color w:val="auto"/>
        </w:rPr>
      </w:pPr>
    </w:p>
    <w:p>
      <w:pPr>
        <w:ind w:left="5620" w:right="2099" w:hanging="5072"/>
        <w:spacing w:after="0" w:line="519" w:lineRule="auto"/>
        <w:tabs>
          <w:tab w:leader="none" w:pos="1082"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registrant did not file any reports on Form 8-K during the fiscal quarter ended August 29, 2002.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0" w:gutter="0" w:footer="0" w:header="0"/>
        </w:sectPr>
      </w:pPr>
    </w:p>
    <w:bookmarkStart w:id="35" w:name="page36"/>
    <w:bookmarkEnd w:id="35"/>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ind w:right="160" w:firstLine="351"/>
        <w:spacing w:after="0" w:line="339" w:lineRule="auto"/>
        <w:rPr>
          <w:sz w:val="20"/>
          <w:szCs w:val="20"/>
          <w:color w:val="auto"/>
        </w:rPr>
      </w:pPr>
      <w:r>
        <w:rPr>
          <w:rFonts w:ascii="Arial" w:cs="Arial" w:eastAsia="Arial" w:hAnsi="Arial"/>
          <w:sz w:val="16"/>
          <w:szCs w:val="16"/>
          <w:b w:val="1"/>
          <w:bCs w:val="1"/>
          <w:color w:val="auto"/>
        </w:rPr>
        <w:t>Pursuant to the requirements of Section 13 or 15(d) of the Securities Exchange Act of 1934, the Registrant has duly caused this report to be signed on its behalf by the undersigned, thereunto duly authorized, in the City of Boise, State of Idaho, on the 15th day of October 2002.</w:t>
      </w:r>
    </w:p>
    <w:p>
      <w:pPr>
        <w:spacing w:after="0" w:line="134"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Micron Technology, Inc.</w:t>
      </w:r>
    </w:p>
    <w:p>
      <w:pPr>
        <w:spacing w:after="0" w:line="225" w:lineRule="exact"/>
        <w:rPr>
          <w:sz w:val="20"/>
          <w:szCs w:val="20"/>
          <w:color w:val="auto"/>
        </w:rPr>
      </w:pPr>
    </w:p>
    <w:p>
      <w:pPr>
        <w:ind w:left="5140"/>
        <w:spacing w:after="0"/>
        <w:tabs>
          <w:tab w:leader="none" w:pos="6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WILBUR G. STOVER,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77470</wp:posOffset>
            </wp:positionV>
            <wp:extent cx="2877185" cy="215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2877185" cy="21590"/>
                    </a:xfrm>
                    <a:prstGeom prst="rect">
                      <a:avLst/>
                    </a:prstGeom>
                    <a:noFill/>
                  </pic:spPr>
                </pic:pic>
              </a:graphicData>
            </a:graphic>
          </wp:anchor>
        </w:drawing>
      </w:r>
    </w:p>
    <w:p>
      <w:pPr>
        <w:spacing w:after="0" w:line="232" w:lineRule="exact"/>
        <w:rPr>
          <w:sz w:val="20"/>
          <w:szCs w:val="20"/>
          <w:color w:val="auto"/>
        </w:rPr>
      </w:pPr>
    </w:p>
    <w:p>
      <w:pPr>
        <w:jc w:val="center"/>
        <w:ind w:left="4600"/>
        <w:spacing w:after="0"/>
        <w:rPr>
          <w:sz w:val="20"/>
          <w:szCs w:val="20"/>
          <w:color w:val="auto"/>
        </w:rPr>
      </w:pPr>
      <w:r>
        <w:rPr>
          <w:rFonts w:ascii="Arial" w:cs="Arial" w:eastAsia="Arial" w:hAnsi="Arial"/>
          <w:sz w:val="18"/>
          <w:szCs w:val="18"/>
          <w:color w:val="auto"/>
        </w:rPr>
        <w:t>Wilbur G. Stover, Jr.,</w:t>
      </w:r>
    </w:p>
    <w:p>
      <w:pPr>
        <w:spacing w:after="0" w:line="15" w:lineRule="exact"/>
        <w:rPr>
          <w:sz w:val="20"/>
          <w:szCs w:val="20"/>
          <w:color w:val="auto"/>
        </w:rPr>
      </w:pPr>
    </w:p>
    <w:p>
      <w:pPr>
        <w:jc w:val="center"/>
        <w:ind w:left="4600"/>
        <w:spacing w:after="0"/>
        <w:rPr>
          <w:sz w:val="20"/>
          <w:szCs w:val="20"/>
          <w:color w:val="auto"/>
        </w:rPr>
      </w:pPr>
      <w:r>
        <w:rPr>
          <w:rFonts w:ascii="Arial" w:cs="Arial" w:eastAsia="Arial" w:hAnsi="Arial"/>
          <w:sz w:val="18"/>
          <w:szCs w:val="18"/>
          <w:i w:val="1"/>
          <w:iCs w:val="1"/>
          <w:color w:val="auto"/>
        </w:rPr>
        <w:t>Vice President of Finance, Chief Financial Officer</w:t>
      </w:r>
    </w:p>
    <w:p>
      <w:pPr>
        <w:spacing w:after="0" w:line="9" w:lineRule="exact"/>
        <w:rPr>
          <w:sz w:val="20"/>
          <w:szCs w:val="20"/>
          <w:color w:val="auto"/>
        </w:rPr>
      </w:pPr>
    </w:p>
    <w:p>
      <w:pPr>
        <w:jc w:val="center"/>
        <w:ind w:left="460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13" w:lineRule="exact"/>
        <w:rPr>
          <w:sz w:val="20"/>
          <w:szCs w:val="20"/>
          <w:color w:val="auto"/>
        </w:rPr>
      </w:pPr>
    </w:p>
    <w:p>
      <w:pPr>
        <w:ind w:right="120" w:firstLine="351"/>
        <w:spacing w:after="0" w:line="275" w:lineRule="auto"/>
        <w:rPr>
          <w:sz w:val="20"/>
          <w:szCs w:val="20"/>
          <w:color w:val="auto"/>
        </w:rPr>
      </w:pPr>
      <w:r>
        <w:rPr>
          <w:rFonts w:ascii="Arial" w:cs="Arial" w:eastAsia="Arial" w:hAnsi="Arial"/>
          <w:sz w:val="18"/>
          <w:szCs w:val="18"/>
          <w:b w:val="1"/>
          <w:bCs w:val="1"/>
          <w:color w:val="auto"/>
        </w:rPr>
        <w:t>Pursuant to the requirements of the Securities Exchange Act of 1934, this Annual Report has been signed below by the following persons on behalf of the Registrant and in the capacities and on the dates indicated.</w:t>
      </w:r>
    </w:p>
    <w:p>
      <w:pPr>
        <w:spacing w:after="0" w:line="175" w:lineRule="exact"/>
        <w:rPr>
          <w:sz w:val="20"/>
          <w:szCs w:val="20"/>
          <w:color w:val="auto"/>
        </w:rPr>
      </w:pPr>
    </w:p>
    <w:p>
      <w:pPr>
        <w:ind w:left="1860"/>
        <w:spacing w:after="0"/>
        <w:tabs>
          <w:tab w:leader="none" w:pos="6480" w:val="left"/>
          <w:tab w:leader="none" w:pos="1004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50430" cy="215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jc w:val="center"/>
              <w:ind w:right="172"/>
              <w:spacing w:after="0"/>
              <w:rPr>
                <w:sz w:val="20"/>
                <w:szCs w:val="20"/>
                <w:color w:val="auto"/>
              </w:rPr>
            </w:pPr>
            <w:r>
              <w:rPr>
                <w:rFonts w:ascii="Arial" w:cs="Arial" w:eastAsia="Arial" w:hAnsi="Arial"/>
                <w:sz w:val="18"/>
                <w:szCs w:val="18"/>
                <w:color w:val="auto"/>
                <w:w w:val="93"/>
              </w:rPr>
              <w:t>/s/ STEVEN R. APPLETON</w:t>
            </w:r>
          </w:p>
        </w:tc>
        <w:tc>
          <w:tcPr>
            <w:tcW w:w="4900" w:type="dxa"/>
            <w:vAlign w:val="bottom"/>
          </w:tcPr>
          <w:p>
            <w:pPr>
              <w:ind w:left="220"/>
              <w:spacing w:after="0"/>
              <w:rPr>
                <w:sz w:val="20"/>
                <w:szCs w:val="20"/>
                <w:color w:val="auto"/>
              </w:rPr>
            </w:pPr>
            <w:r>
              <w:rPr>
                <w:rFonts w:ascii="Arial" w:cs="Arial" w:eastAsia="Arial" w:hAnsi="Arial"/>
                <w:sz w:val="18"/>
                <w:szCs w:val="18"/>
                <w:color w:val="auto"/>
              </w:rPr>
              <w:t>Chairman of the Board, Chief Executive Officer and</w:t>
            </w:r>
          </w:p>
        </w:tc>
        <w:tc>
          <w:tcPr>
            <w:tcW w:w="1620" w:type="dxa"/>
            <w:vAlign w:val="bottom"/>
          </w:tcPr>
          <w:p>
            <w:pPr>
              <w:ind w:left="400"/>
              <w:spacing w:after="0"/>
              <w:rPr>
                <w:sz w:val="20"/>
                <w:szCs w:val="20"/>
                <w:color w:val="auto"/>
              </w:rPr>
            </w:pPr>
            <w:r>
              <w:rPr>
                <w:rFonts w:ascii="Arial" w:cs="Arial" w:eastAsia="Arial" w:hAnsi="Arial"/>
                <w:sz w:val="18"/>
                <w:szCs w:val="18"/>
                <w:color w:val="auto"/>
                <w:w w:val="86"/>
              </w:rPr>
              <w:t>October 15, 2002</w:t>
            </w:r>
          </w:p>
        </w:tc>
        <w:tc>
          <w:tcPr>
            <w:tcW w:w="0" w:type="dxa"/>
            <w:vAlign w:val="bottom"/>
          </w:tcPr>
          <w:p>
            <w:pPr>
              <w:spacing w:after="0"/>
              <w:rPr>
                <w:sz w:val="1"/>
                <w:szCs w:val="1"/>
                <w:color w:val="auto"/>
              </w:rPr>
            </w:pPr>
          </w:p>
        </w:tc>
      </w:tr>
      <w:tr>
        <w:trPr>
          <w:trHeight w:val="127"/>
        </w:trPr>
        <w:tc>
          <w:tcPr>
            <w:tcW w:w="4280" w:type="dxa"/>
            <w:vAlign w:val="bottom"/>
            <w:tcBorders>
              <w:bottom w:val="single" w:sz="8" w:color="808080"/>
            </w:tcBorders>
          </w:tcPr>
          <w:p>
            <w:pPr>
              <w:spacing w:after="0"/>
              <w:rPr>
                <w:sz w:val="11"/>
                <w:szCs w:val="11"/>
                <w:color w:val="auto"/>
              </w:rPr>
            </w:pPr>
          </w:p>
        </w:tc>
        <w:tc>
          <w:tcPr>
            <w:tcW w:w="4900" w:type="dxa"/>
            <w:vAlign w:val="bottom"/>
            <w:vMerge w:val="restart"/>
          </w:tcPr>
          <w:p>
            <w:pPr>
              <w:ind w:left="220"/>
              <w:spacing w:after="0"/>
              <w:rPr>
                <w:sz w:val="20"/>
                <w:szCs w:val="20"/>
                <w:color w:val="auto"/>
              </w:rPr>
            </w:pPr>
            <w:r>
              <w:rPr>
                <w:rFonts w:ascii="Arial" w:cs="Arial" w:eastAsia="Arial" w:hAnsi="Arial"/>
                <w:sz w:val="18"/>
                <w:szCs w:val="18"/>
                <w:color w:val="auto"/>
              </w:rPr>
              <w:t>President</w:t>
            </w:r>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4280" w:type="dxa"/>
            <w:vAlign w:val="bottom"/>
            <w:vMerge w:val="restart"/>
          </w:tcPr>
          <w:p>
            <w:pPr>
              <w:jc w:val="center"/>
              <w:spacing w:after="0"/>
              <w:rPr>
                <w:sz w:val="20"/>
                <w:szCs w:val="20"/>
                <w:color w:val="auto"/>
              </w:rPr>
            </w:pPr>
            <w:r>
              <w:rPr>
                <w:rFonts w:ascii="Arial" w:cs="Arial" w:eastAsia="Arial" w:hAnsi="Arial"/>
                <w:sz w:val="18"/>
                <w:szCs w:val="18"/>
                <w:color w:val="auto"/>
                <w:w w:val="89"/>
              </w:rPr>
              <w:t>(Steven R. Appleton)</w:t>
            </w:r>
          </w:p>
        </w:tc>
        <w:tc>
          <w:tcPr>
            <w:tcW w:w="4900" w:type="dxa"/>
            <w:vAlign w:val="bottom"/>
            <w:vMerge w:val="continue"/>
          </w:tcPr>
          <w:p>
            <w:pPr>
              <w:spacing w:after="0"/>
              <w:rPr>
                <w:sz w:val="6"/>
                <w:szCs w:val="6"/>
                <w:color w:val="auto"/>
              </w:rPr>
            </w:pPr>
          </w:p>
        </w:tc>
        <w:tc>
          <w:tcPr>
            <w:tcW w:w="1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4280" w:type="dxa"/>
            <w:vAlign w:val="bottom"/>
            <w:vMerge w:val="continue"/>
          </w:tcPr>
          <w:p>
            <w:pPr>
              <w:spacing w:after="0"/>
              <w:rPr>
                <w:sz w:val="21"/>
                <w:szCs w:val="21"/>
                <w:color w:val="auto"/>
              </w:rPr>
            </w:pPr>
          </w:p>
        </w:tc>
        <w:tc>
          <w:tcPr>
            <w:tcW w:w="49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4280" w:type="dxa"/>
            <w:vAlign w:val="bottom"/>
          </w:tcPr>
          <w:p>
            <w:pPr>
              <w:jc w:val="center"/>
              <w:ind w:right="172"/>
              <w:spacing w:after="0"/>
              <w:rPr>
                <w:sz w:val="20"/>
                <w:szCs w:val="20"/>
                <w:color w:val="auto"/>
              </w:rPr>
            </w:pPr>
            <w:r>
              <w:rPr>
                <w:rFonts w:ascii="Arial" w:cs="Arial" w:eastAsia="Arial" w:hAnsi="Arial"/>
                <w:sz w:val="18"/>
                <w:szCs w:val="18"/>
                <w:color w:val="auto"/>
                <w:w w:val="94"/>
              </w:rPr>
              <w:t>/s/ WILBUR G. STOVER, JR.</w:t>
            </w:r>
          </w:p>
        </w:tc>
        <w:tc>
          <w:tcPr>
            <w:tcW w:w="4900" w:type="dxa"/>
            <w:vAlign w:val="bottom"/>
          </w:tcPr>
          <w:p>
            <w:pPr>
              <w:ind w:left="220"/>
              <w:spacing w:after="0"/>
              <w:rPr>
                <w:sz w:val="20"/>
                <w:szCs w:val="20"/>
                <w:color w:val="auto"/>
              </w:rPr>
            </w:pPr>
            <w:r>
              <w:rPr>
                <w:rFonts w:ascii="Arial" w:cs="Arial" w:eastAsia="Arial" w:hAnsi="Arial"/>
                <w:sz w:val="18"/>
                <w:szCs w:val="18"/>
                <w:color w:val="auto"/>
                <w:w w:val="98"/>
              </w:rPr>
              <w:t>Vice President of Finance, Chief Financial Officer (Principal</w:t>
            </w:r>
          </w:p>
        </w:tc>
        <w:tc>
          <w:tcPr>
            <w:tcW w:w="1620" w:type="dxa"/>
            <w:vAlign w:val="bottom"/>
          </w:tcPr>
          <w:p>
            <w:pPr>
              <w:ind w:left="400"/>
              <w:spacing w:after="0"/>
              <w:rPr>
                <w:sz w:val="20"/>
                <w:szCs w:val="20"/>
                <w:color w:val="auto"/>
              </w:rPr>
            </w:pPr>
            <w:r>
              <w:rPr>
                <w:rFonts w:ascii="Arial" w:cs="Arial" w:eastAsia="Arial" w:hAnsi="Arial"/>
                <w:sz w:val="18"/>
                <w:szCs w:val="18"/>
                <w:color w:val="auto"/>
                <w:w w:val="86"/>
              </w:rPr>
              <w:t>October 15, 2002</w:t>
            </w:r>
          </w:p>
        </w:tc>
        <w:tc>
          <w:tcPr>
            <w:tcW w:w="0" w:type="dxa"/>
            <w:vAlign w:val="bottom"/>
          </w:tcPr>
          <w:p>
            <w:pPr>
              <w:spacing w:after="0"/>
              <w:rPr>
                <w:sz w:val="1"/>
                <w:szCs w:val="1"/>
                <w:color w:val="auto"/>
              </w:rPr>
            </w:pPr>
          </w:p>
        </w:tc>
      </w:tr>
      <w:tr>
        <w:trPr>
          <w:trHeight w:val="127"/>
        </w:trPr>
        <w:tc>
          <w:tcPr>
            <w:tcW w:w="4280" w:type="dxa"/>
            <w:vAlign w:val="bottom"/>
            <w:tcBorders>
              <w:bottom w:val="single" w:sz="8" w:color="808080"/>
            </w:tcBorders>
          </w:tcPr>
          <w:p>
            <w:pPr>
              <w:spacing w:after="0"/>
              <w:rPr>
                <w:sz w:val="11"/>
                <w:szCs w:val="11"/>
                <w:color w:val="auto"/>
              </w:rPr>
            </w:pPr>
          </w:p>
        </w:tc>
        <w:tc>
          <w:tcPr>
            <w:tcW w:w="4900" w:type="dxa"/>
            <w:vAlign w:val="bottom"/>
            <w:vMerge w:val="restart"/>
          </w:tcPr>
          <w:p>
            <w:pPr>
              <w:ind w:left="220"/>
              <w:spacing w:after="0"/>
              <w:rPr>
                <w:sz w:val="20"/>
                <w:szCs w:val="20"/>
                <w:color w:val="auto"/>
              </w:rPr>
            </w:pPr>
            <w:r>
              <w:rPr>
                <w:rFonts w:ascii="Arial" w:cs="Arial" w:eastAsia="Arial" w:hAnsi="Arial"/>
                <w:sz w:val="18"/>
                <w:szCs w:val="18"/>
                <w:color w:val="auto"/>
              </w:rPr>
              <w:t>Financial and Accounting Officer)</w:t>
            </w:r>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4280" w:type="dxa"/>
            <w:vAlign w:val="bottom"/>
            <w:vMerge w:val="restart"/>
          </w:tcPr>
          <w:p>
            <w:pPr>
              <w:jc w:val="center"/>
              <w:spacing w:after="0"/>
              <w:rPr>
                <w:sz w:val="20"/>
                <w:szCs w:val="20"/>
                <w:color w:val="auto"/>
              </w:rPr>
            </w:pPr>
            <w:r>
              <w:rPr>
                <w:rFonts w:ascii="Arial" w:cs="Arial" w:eastAsia="Arial" w:hAnsi="Arial"/>
                <w:sz w:val="18"/>
                <w:szCs w:val="18"/>
                <w:color w:val="auto"/>
                <w:w w:val="89"/>
              </w:rPr>
              <w:t>(Wilbur G. Stover, Jr.)</w:t>
            </w:r>
          </w:p>
        </w:tc>
        <w:tc>
          <w:tcPr>
            <w:tcW w:w="4900" w:type="dxa"/>
            <w:vAlign w:val="bottom"/>
            <w:vMerge w:val="continue"/>
          </w:tcPr>
          <w:p>
            <w:pPr>
              <w:spacing w:after="0"/>
              <w:rPr>
                <w:sz w:val="6"/>
                <w:szCs w:val="6"/>
                <w:color w:val="auto"/>
              </w:rPr>
            </w:pPr>
          </w:p>
        </w:tc>
        <w:tc>
          <w:tcPr>
            <w:tcW w:w="1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4280" w:type="dxa"/>
            <w:vAlign w:val="bottom"/>
            <w:vMerge w:val="continue"/>
          </w:tcPr>
          <w:p>
            <w:pPr>
              <w:spacing w:after="0"/>
              <w:rPr>
                <w:sz w:val="21"/>
                <w:szCs w:val="21"/>
                <w:color w:val="auto"/>
              </w:rPr>
            </w:pPr>
          </w:p>
        </w:tc>
        <w:tc>
          <w:tcPr>
            <w:tcW w:w="49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280" w:type="dxa"/>
            <w:vAlign w:val="bottom"/>
          </w:tcPr>
          <w:p>
            <w:pPr>
              <w:jc w:val="center"/>
              <w:ind w:right="172"/>
              <w:spacing w:after="0"/>
              <w:rPr>
                <w:sz w:val="20"/>
                <w:szCs w:val="20"/>
                <w:color w:val="auto"/>
              </w:rPr>
            </w:pPr>
            <w:r>
              <w:rPr>
                <w:rFonts w:ascii="Arial" w:cs="Arial" w:eastAsia="Arial" w:hAnsi="Arial"/>
                <w:sz w:val="18"/>
                <w:szCs w:val="18"/>
                <w:color w:val="auto"/>
                <w:w w:val="96"/>
              </w:rPr>
              <w:t>/s/ JAMES W. BAGLEY</w:t>
            </w:r>
          </w:p>
        </w:tc>
        <w:tc>
          <w:tcPr>
            <w:tcW w:w="4900" w:type="dxa"/>
            <w:vAlign w:val="bottom"/>
          </w:tcPr>
          <w:p>
            <w:pPr>
              <w:ind w:left="220"/>
              <w:spacing w:after="0"/>
              <w:rPr>
                <w:sz w:val="20"/>
                <w:szCs w:val="20"/>
                <w:color w:val="auto"/>
              </w:rPr>
            </w:pPr>
            <w:r>
              <w:rPr>
                <w:rFonts w:ascii="Arial" w:cs="Arial" w:eastAsia="Arial" w:hAnsi="Arial"/>
                <w:sz w:val="18"/>
                <w:szCs w:val="18"/>
                <w:color w:val="auto"/>
              </w:rPr>
              <w:t>Director</w:t>
            </w:r>
          </w:p>
        </w:tc>
        <w:tc>
          <w:tcPr>
            <w:tcW w:w="1620" w:type="dxa"/>
            <w:vAlign w:val="bottom"/>
          </w:tcPr>
          <w:p>
            <w:pPr>
              <w:ind w:left="400"/>
              <w:spacing w:after="0"/>
              <w:rPr>
                <w:sz w:val="20"/>
                <w:szCs w:val="20"/>
                <w:color w:val="auto"/>
              </w:rPr>
            </w:pPr>
            <w:r>
              <w:rPr>
                <w:rFonts w:ascii="Arial" w:cs="Arial" w:eastAsia="Arial" w:hAnsi="Arial"/>
                <w:sz w:val="18"/>
                <w:szCs w:val="18"/>
                <w:color w:val="auto"/>
                <w:w w:val="86"/>
              </w:rPr>
              <w:t>October 15, 2002</w:t>
            </w:r>
          </w:p>
        </w:tc>
        <w:tc>
          <w:tcPr>
            <w:tcW w:w="0" w:type="dxa"/>
            <w:vAlign w:val="bottom"/>
          </w:tcPr>
          <w:p>
            <w:pPr>
              <w:spacing w:after="0"/>
              <w:rPr>
                <w:sz w:val="1"/>
                <w:szCs w:val="1"/>
                <w:color w:val="auto"/>
              </w:rPr>
            </w:pPr>
          </w:p>
        </w:tc>
      </w:tr>
      <w:tr>
        <w:trPr>
          <w:trHeight w:val="120"/>
        </w:trPr>
        <w:tc>
          <w:tcPr>
            <w:tcW w:w="4280" w:type="dxa"/>
            <w:vAlign w:val="bottom"/>
            <w:tcBorders>
              <w:bottom w:val="single" w:sz="8" w:color="808080"/>
            </w:tcBorders>
          </w:tcPr>
          <w:p>
            <w:pPr>
              <w:spacing w:after="0"/>
              <w:rPr>
                <w:sz w:val="10"/>
                <w:szCs w:val="10"/>
                <w:color w:val="auto"/>
              </w:rPr>
            </w:pPr>
          </w:p>
        </w:tc>
        <w:tc>
          <w:tcPr>
            <w:tcW w:w="49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280" w:type="dxa"/>
            <w:vAlign w:val="bottom"/>
          </w:tcPr>
          <w:p>
            <w:pPr>
              <w:jc w:val="center"/>
              <w:spacing w:after="0"/>
              <w:rPr>
                <w:sz w:val="20"/>
                <w:szCs w:val="20"/>
                <w:color w:val="auto"/>
              </w:rPr>
            </w:pPr>
            <w:r>
              <w:rPr>
                <w:rFonts w:ascii="Arial" w:cs="Arial" w:eastAsia="Arial" w:hAnsi="Arial"/>
                <w:sz w:val="18"/>
                <w:szCs w:val="18"/>
                <w:color w:val="auto"/>
                <w:w w:val="86"/>
              </w:rPr>
              <w:t>(James W. Bagley)</w:t>
            </w:r>
          </w:p>
        </w:tc>
        <w:tc>
          <w:tcPr>
            <w:tcW w:w="49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280" w:type="dxa"/>
            <w:vAlign w:val="bottom"/>
          </w:tcPr>
          <w:p>
            <w:pPr>
              <w:jc w:val="center"/>
              <w:ind w:right="172"/>
              <w:spacing w:after="0"/>
              <w:rPr>
                <w:sz w:val="20"/>
                <w:szCs w:val="20"/>
                <w:color w:val="auto"/>
              </w:rPr>
            </w:pPr>
            <w:r>
              <w:rPr>
                <w:rFonts w:ascii="Arial" w:cs="Arial" w:eastAsia="Arial" w:hAnsi="Arial"/>
                <w:sz w:val="18"/>
                <w:szCs w:val="18"/>
                <w:color w:val="auto"/>
                <w:w w:val="94"/>
              </w:rPr>
              <w:t>/s/ ROBERT A. LOTHROP</w:t>
            </w:r>
          </w:p>
        </w:tc>
        <w:tc>
          <w:tcPr>
            <w:tcW w:w="4900" w:type="dxa"/>
            <w:vAlign w:val="bottom"/>
          </w:tcPr>
          <w:p>
            <w:pPr>
              <w:ind w:left="220"/>
              <w:spacing w:after="0"/>
              <w:rPr>
                <w:sz w:val="20"/>
                <w:szCs w:val="20"/>
                <w:color w:val="auto"/>
              </w:rPr>
            </w:pPr>
            <w:r>
              <w:rPr>
                <w:rFonts w:ascii="Arial" w:cs="Arial" w:eastAsia="Arial" w:hAnsi="Arial"/>
                <w:sz w:val="18"/>
                <w:szCs w:val="18"/>
                <w:color w:val="auto"/>
              </w:rPr>
              <w:t>Director</w:t>
            </w:r>
          </w:p>
        </w:tc>
        <w:tc>
          <w:tcPr>
            <w:tcW w:w="1620" w:type="dxa"/>
            <w:vAlign w:val="bottom"/>
          </w:tcPr>
          <w:p>
            <w:pPr>
              <w:ind w:left="400"/>
              <w:spacing w:after="0"/>
              <w:rPr>
                <w:sz w:val="20"/>
                <w:szCs w:val="20"/>
                <w:color w:val="auto"/>
              </w:rPr>
            </w:pPr>
            <w:r>
              <w:rPr>
                <w:rFonts w:ascii="Arial" w:cs="Arial" w:eastAsia="Arial" w:hAnsi="Arial"/>
                <w:sz w:val="18"/>
                <w:szCs w:val="18"/>
                <w:color w:val="auto"/>
                <w:w w:val="86"/>
              </w:rPr>
              <w:t>October 15, 2002</w:t>
            </w:r>
          </w:p>
        </w:tc>
        <w:tc>
          <w:tcPr>
            <w:tcW w:w="0" w:type="dxa"/>
            <w:vAlign w:val="bottom"/>
          </w:tcPr>
          <w:p>
            <w:pPr>
              <w:spacing w:after="0"/>
              <w:rPr>
                <w:sz w:val="1"/>
                <w:szCs w:val="1"/>
                <w:color w:val="auto"/>
              </w:rPr>
            </w:pPr>
          </w:p>
        </w:tc>
      </w:tr>
      <w:tr>
        <w:trPr>
          <w:trHeight w:val="120"/>
        </w:trPr>
        <w:tc>
          <w:tcPr>
            <w:tcW w:w="4280" w:type="dxa"/>
            <w:vAlign w:val="bottom"/>
            <w:tcBorders>
              <w:bottom w:val="single" w:sz="8" w:color="808080"/>
            </w:tcBorders>
          </w:tcPr>
          <w:p>
            <w:pPr>
              <w:spacing w:after="0"/>
              <w:rPr>
                <w:sz w:val="10"/>
                <w:szCs w:val="10"/>
                <w:color w:val="auto"/>
              </w:rPr>
            </w:pPr>
          </w:p>
        </w:tc>
        <w:tc>
          <w:tcPr>
            <w:tcW w:w="49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280" w:type="dxa"/>
            <w:vAlign w:val="bottom"/>
          </w:tcPr>
          <w:p>
            <w:pPr>
              <w:jc w:val="center"/>
              <w:spacing w:after="0"/>
              <w:rPr>
                <w:sz w:val="20"/>
                <w:szCs w:val="20"/>
                <w:color w:val="auto"/>
              </w:rPr>
            </w:pPr>
            <w:r>
              <w:rPr>
                <w:rFonts w:ascii="Arial" w:cs="Arial" w:eastAsia="Arial" w:hAnsi="Arial"/>
                <w:sz w:val="18"/>
                <w:szCs w:val="18"/>
                <w:color w:val="auto"/>
                <w:w w:val="92"/>
              </w:rPr>
              <w:t>(Robert A. Lothrop)</w:t>
            </w:r>
          </w:p>
        </w:tc>
        <w:tc>
          <w:tcPr>
            <w:tcW w:w="49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280" w:type="dxa"/>
            <w:vAlign w:val="bottom"/>
          </w:tcPr>
          <w:p>
            <w:pPr>
              <w:jc w:val="center"/>
              <w:ind w:right="172"/>
              <w:spacing w:after="0"/>
              <w:rPr>
                <w:sz w:val="20"/>
                <w:szCs w:val="20"/>
                <w:color w:val="auto"/>
              </w:rPr>
            </w:pPr>
            <w:r>
              <w:rPr>
                <w:rFonts w:ascii="Arial" w:cs="Arial" w:eastAsia="Arial" w:hAnsi="Arial"/>
                <w:sz w:val="18"/>
                <w:szCs w:val="18"/>
                <w:color w:val="auto"/>
                <w:w w:val="94"/>
              </w:rPr>
              <w:t>/s/ THOMAS T. NICHOLSON</w:t>
            </w:r>
          </w:p>
        </w:tc>
        <w:tc>
          <w:tcPr>
            <w:tcW w:w="4900" w:type="dxa"/>
            <w:vAlign w:val="bottom"/>
          </w:tcPr>
          <w:p>
            <w:pPr>
              <w:ind w:left="220"/>
              <w:spacing w:after="0"/>
              <w:rPr>
                <w:sz w:val="20"/>
                <w:szCs w:val="20"/>
                <w:color w:val="auto"/>
              </w:rPr>
            </w:pPr>
            <w:r>
              <w:rPr>
                <w:rFonts w:ascii="Arial" w:cs="Arial" w:eastAsia="Arial" w:hAnsi="Arial"/>
                <w:sz w:val="18"/>
                <w:szCs w:val="18"/>
                <w:color w:val="auto"/>
              </w:rPr>
              <w:t>Director</w:t>
            </w:r>
          </w:p>
        </w:tc>
        <w:tc>
          <w:tcPr>
            <w:tcW w:w="1620" w:type="dxa"/>
            <w:vAlign w:val="bottom"/>
          </w:tcPr>
          <w:p>
            <w:pPr>
              <w:ind w:left="400"/>
              <w:spacing w:after="0"/>
              <w:rPr>
                <w:sz w:val="20"/>
                <w:szCs w:val="20"/>
                <w:color w:val="auto"/>
              </w:rPr>
            </w:pPr>
            <w:r>
              <w:rPr>
                <w:rFonts w:ascii="Arial" w:cs="Arial" w:eastAsia="Arial" w:hAnsi="Arial"/>
                <w:sz w:val="18"/>
                <w:szCs w:val="18"/>
                <w:color w:val="auto"/>
                <w:w w:val="86"/>
              </w:rPr>
              <w:t>October 15, 2002</w:t>
            </w:r>
          </w:p>
        </w:tc>
        <w:tc>
          <w:tcPr>
            <w:tcW w:w="0" w:type="dxa"/>
            <w:vAlign w:val="bottom"/>
          </w:tcPr>
          <w:p>
            <w:pPr>
              <w:spacing w:after="0"/>
              <w:rPr>
                <w:sz w:val="1"/>
                <w:szCs w:val="1"/>
                <w:color w:val="auto"/>
              </w:rPr>
            </w:pPr>
          </w:p>
        </w:tc>
      </w:tr>
      <w:tr>
        <w:trPr>
          <w:trHeight w:val="120"/>
        </w:trPr>
        <w:tc>
          <w:tcPr>
            <w:tcW w:w="4280" w:type="dxa"/>
            <w:vAlign w:val="bottom"/>
            <w:tcBorders>
              <w:bottom w:val="single" w:sz="8" w:color="808080"/>
            </w:tcBorders>
          </w:tcPr>
          <w:p>
            <w:pPr>
              <w:spacing w:after="0"/>
              <w:rPr>
                <w:sz w:val="10"/>
                <w:szCs w:val="10"/>
                <w:color w:val="auto"/>
              </w:rPr>
            </w:pPr>
          </w:p>
        </w:tc>
        <w:tc>
          <w:tcPr>
            <w:tcW w:w="49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280" w:type="dxa"/>
            <w:vAlign w:val="bottom"/>
          </w:tcPr>
          <w:p>
            <w:pPr>
              <w:jc w:val="center"/>
              <w:spacing w:after="0"/>
              <w:rPr>
                <w:sz w:val="20"/>
                <w:szCs w:val="20"/>
                <w:color w:val="auto"/>
              </w:rPr>
            </w:pPr>
            <w:r>
              <w:rPr>
                <w:rFonts w:ascii="Arial" w:cs="Arial" w:eastAsia="Arial" w:hAnsi="Arial"/>
                <w:sz w:val="18"/>
                <w:szCs w:val="18"/>
                <w:color w:val="auto"/>
                <w:w w:val="90"/>
              </w:rPr>
              <w:t>(Thomas T. Nicholson)</w:t>
            </w:r>
          </w:p>
        </w:tc>
        <w:tc>
          <w:tcPr>
            <w:tcW w:w="49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280" w:type="dxa"/>
            <w:vAlign w:val="bottom"/>
          </w:tcPr>
          <w:p>
            <w:pPr>
              <w:jc w:val="center"/>
              <w:ind w:right="172"/>
              <w:spacing w:after="0"/>
              <w:rPr>
                <w:sz w:val="20"/>
                <w:szCs w:val="20"/>
                <w:color w:val="auto"/>
              </w:rPr>
            </w:pPr>
            <w:r>
              <w:rPr>
                <w:rFonts w:ascii="Arial" w:cs="Arial" w:eastAsia="Arial" w:hAnsi="Arial"/>
                <w:sz w:val="18"/>
                <w:szCs w:val="18"/>
                <w:color w:val="auto"/>
                <w:w w:val="94"/>
              </w:rPr>
              <w:t>/s/ DON J. SIMPLOT</w:t>
            </w:r>
          </w:p>
        </w:tc>
        <w:tc>
          <w:tcPr>
            <w:tcW w:w="4900" w:type="dxa"/>
            <w:vAlign w:val="bottom"/>
          </w:tcPr>
          <w:p>
            <w:pPr>
              <w:ind w:left="220"/>
              <w:spacing w:after="0"/>
              <w:rPr>
                <w:sz w:val="20"/>
                <w:szCs w:val="20"/>
                <w:color w:val="auto"/>
              </w:rPr>
            </w:pPr>
            <w:r>
              <w:rPr>
                <w:rFonts w:ascii="Arial" w:cs="Arial" w:eastAsia="Arial" w:hAnsi="Arial"/>
                <w:sz w:val="18"/>
                <w:szCs w:val="18"/>
                <w:color w:val="auto"/>
              </w:rPr>
              <w:t>Director</w:t>
            </w:r>
          </w:p>
        </w:tc>
        <w:tc>
          <w:tcPr>
            <w:tcW w:w="1620" w:type="dxa"/>
            <w:vAlign w:val="bottom"/>
          </w:tcPr>
          <w:p>
            <w:pPr>
              <w:ind w:left="400"/>
              <w:spacing w:after="0"/>
              <w:rPr>
                <w:sz w:val="20"/>
                <w:szCs w:val="20"/>
                <w:color w:val="auto"/>
              </w:rPr>
            </w:pPr>
            <w:r>
              <w:rPr>
                <w:rFonts w:ascii="Arial" w:cs="Arial" w:eastAsia="Arial" w:hAnsi="Arial"/>
                <w:sz w:val="18"/>
                <w:szCs w:val="18"/>
                <w:color w:val="auto"/>
                <w:w w:val="86"/>
              </w:rPr>
              <w:t>October 15, 2002</w:t>
            </w:r>
          </w:p>
        </w:tc>
        <w:tc>
          <w:tcPr>
            <w:tcW w:w="0" w:type="dxa"/>
            <w:vAlign w:val="bottom"/>
          </w:tcPr>
          <w:p>
            <w:pPr>
              <w:spacing w:after="0"/>
              <w:rPr>
                <w:sz w:val="1"/>
                <w:szCs w:val="1"/>
                <w:color w:val="auto"/>
              </w:rPr>
            </w:pPr>
          </w:p>
        </w:tc>
      </w:tr>
      <w:tr>
        <w:trPr>
          <w:trHeight w:val="120"/>
        </w:trPr>
        <w:tc>
          <w:tcPr>
            <w:tcW w:w="4280" w:type="dxa"/>
            <w:vAlign w:val="bottom"/>
            <w:tcBorders>
              <w:bottom w:val="single" w:sz="8" w:color="808080"/>
            </w:tcBorders>
          </w:tcPr>
          <w:p>
            <w:pPr>
              <w:spacing w:after="0"/>
              <w:rPr>
                <w:sz w:val="10"/>
                <w:szCs w:val="10"/>
                <w:color w:val="auto"/>
              </w:rPr>
            </w:pPr>
          </w:p>
        </w:tc>
        <w:tc>
          <w:tcPr>
            <w:tcW w:w="49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280" w:type="dxa"/>
            <w:vAlign w:val="bottom"/>
          </w:tcPr>
          <w:p>
            <w:pPr>
              <w:jc w:val="center"/>
              <w:spacing w:after="0"/>
              <w:rPr>
                <w:sz w:val="20"/>
                <w:szCs w:val="20"/>
                <w:color w:val="auto"/>
              </w:rPr>
            </w:pPr>
            <w:r>
              <w:rPr>
                <w:rFonts w:ascii="Arial" w:cs="Arial" w:eastAsia="Arial" w:hAnsi="Arial"/>
                <w:sz w:val="18"/>
                <w:szCs w:val="18"/>
                <w:color w:val="auto"/>
                <w:w w:val="89"/>
              </w:rPr>
              <w:t>(Don J. Simplot)</w:t>
            </w:r>
          </w:p>
        </w:tc>
        <w:tc>
          <w:tcPr>
            <w:tcW w:w="49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280" w:type="dxa"/>
            <w:vAlign w:val="bottom"/>
          </w:tcPr>
          <w:p>
            <w:pPr>
              <w:jc w:val="center"/>
              <w:ind w:right="152"/>
              <w:spacing w:after="0"/>
              <w:rPr>
                <w:sz w:val="20"/>
                <w:szCs w:val="20"/>
                <w:color w:val="auto"/>
              </w:rPr>
            </w:pPr>
            <w:r>
              <w:rPr>
                <w:rFonts w:ascii="Arial" w:cs="Arial" w:eastAsia="Arial" w:hAnsi="Arial"/>
                <w:sz w:val="18"/>
                <w:szCs w:val="18"/>
                <w:color w:val="auto"/>
                <w:w w:val="95"/>
              </w:rPr>
              <w:t>/s/ GORDON C. SMITH</w:t>
            </w:r>
          </w:p>
        </w:tc>
        <w:tc>
          <w:tcPr>
            <w:tcW w:w="4900" w:type="dxa"/>
            <w:vAlign w:val="bottom"/>
          </w:tcPr>
          <w:p>
            <w:pPr>
              <w:ind w:left="220"/>
              <w:spacing w:after="0"/>
              <w:rPr>
                <w:sz w:val="20"/>
                <w:szCs w:val="20"/>
                <w:color w:val="auto"/>
              </w:rPr>
            </w:pPr>
            <w:r>
              <w:rPr>
                <w:rFonts w:ascii="Arial" w:cs="Arial" w:eastAsia="Arial" w:hAnsi="Arial"/>
                <w:sz w:val="18"/>
                <w:szCs w:val="18"/>
                <w:color w:val="auto"/>
              </w:rPr>
              <w:t>Director</w:t>
            </w:r>
          </w:p>
        </w:tc>
        <w:tc>
          <w:tcPr>
            <w:tcW w:w="1620" w:type="dxa"/>
            <w:vAlign w:val="bottom"/>
          </w:tcPr>
          <w:p>
            <w:pPr>
              <w:ind w:left="400"/>
              <w:spacing w:after="0"/>
              <w:rPr>
                <w:sz w:val="20"/>
                <w:szCs w:val="20"/>
                <w:color w:val="auto"/>
              </w:rPr>
            </w:pPr>
            <w:r>
              <w:rPr>
                <w:rFonts w:ascii="Arial" w:cs="Arial" w:eastAsia="Arial" w:hAnsi="Arial"/>
                <w:sz w:val="18"/>
                <w:szCs w:val="18"/>
                <w:color w:val="auto"/>
                <w:w w:val="86"/>
              </w:rPr>
              <w:t>October 15, 2002</w:t>
            </w:r>
          </w:p>
        </w:tc>
        <w:tc>
          <w:tcPr>
            <w:tcW w:w="0" w:type="dxa"/>
            <w:vAlign w:val="bottom"/>
          </w:tcPr>
          <w:p>
            <w:pPr>
              <w:spacing w:after="0"/>
              <w:rPr>
                <w:sz w:val="1"/>
                <w:szCs w:val="1"/>
                <w:color w:val="auto"/>
              </w:rPr>
            </w:pPr>
          </w:p>
        </w:tc>
      </w:tr>
      <w:tr>
        <w:trPr>
          <w:trHeight w:val="120"/>
        </w:trPr>
        <w:tc>
          <w:tcPr>
            <w:tcW w:w="4280" w:type="dxa"/>
            <w:vAlign w:val="bottom"/>
            <w:tcBorders>
              <w:bottom w:val="single" w:sz="8" w:color="808080"/>
            </w:tcBorders>
          </w:tcPr>
          <w:p>
            <w:pPr>
              <w:spacing w:after="0"/>
              <w:rPr>
                <w:sz w:val="10"/>
                <w:szCs w:val="10"/>
                <w:color w:val="auto"/>
              </w:rPr>
            </w:pPr>
          </w:p>
        </w:tc>
        <w:tc>
          <w:tcPr>
            <w:tcW w:w="49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280" w:type="dxa"/>
            <w:vAlign w:val="bottom"/>
          </w:tcPr>
          <w:p>
            <w:pPr>
              <w:jc w:val="center"/>
              <w:spacing w:after="0"/>
              <w:rPr>
                <w:sz w:val="20"/>
                <w:szCs w:val="20"/>
                <w:color w:val="auto"/>
              </w:rPr>
            </w:pPr>
            <w:r>
              <w:rPr>
                <w:rFonts w:ascii="Arial" w:cs="Arial" w:eastAsia="Arial" w:hAnsi="Arial"/>
                <w:sz w:val="18"/>
                <w:szCs w:val="18"/>
                <w:color w:val="auto"/>
                <w:w w:val="90"/>
              </w:rPr>
              <w:t>(Gordon C. Smith)</w:t>
            </w:r>
          </w:p>
        </w:tc>
        <w:tc>
          <w:tcPr>
            <w:tcW w:w="49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280" w:type="dxa"/>
            <w:vAlign w:val="bottom"/>
          </w:tcPr>
          <w:p>
            <w:pPr>
              <w:jc w:val="center"/>
              <w:ind w:right="172"/>
              <w:spacing w:after="0"/>
              <w:rPr>
                <w:sz w:val="20"/>
                <w:szCs w:val="20"/>
                <w:color w:val="auto"/>
              </w:rPr>
            </w:pPr>
            <w:r>
              <w:rPr>
                <w:rFonts w:ascii="Arial" w:cs="Arial" w:eastAsia="Arial" w:hAnsi="Arial"/>
                <w:sz w:val="18"/>
                <w:szCs w:val="18"/>
                <w:color w:val="auto"/>
                <w:w w:val="97"/>
              </w:rPr>
              <w:t>/s/ WILLIAM P. WEBER</w:t>
            </w:r>
          </w:p>
        </w:tc>
        <w:tc>
          <w:tcPr>
            <w:tcW w:w="4900" w:type="dxa"/>
            <w:vAlign w:val="bottom"/>
          </w:tcPr>
          <w:p>
            <w:pPr>
              <w:ind w:left="220"/>
              <w:spacing w:after="0"/>
              <w:rPr>
                <w:sz w:val="20"/>
                <w:szCs w:val="20"/>
                <w:color w:val="auto"/>
              </w:rPr>
            </w:pPr>
            <w:r>
              <w:rPr>
                <w:rFonts w:ascii="Arial" w:cs="Arial" w:eastAsia="Arial" w:hAnsi="Arial"/>
                <w:sz w:val="18"/>
                <w:szCs w:val="18"/>
                <w:color w:val="auto"/>
              </w:rPr>
              <w:t>Director</w:t>
            </w:r>
          </w:p>
        </w:tc>
        <w:tc>
          <w:tcPr>
            <w:tcW w:w="1620" w:type="dxa"/>
            <w:vAlign w:val="bottom"/>
          </w:tcPr>
          <w:p>
            <w:pPr>
              <w:ind w:left="400"/>
              <w:spacing w:after="0"/>
              <w:rPr>
                <w:sz w:val="20"/>
                <w:szCs w:val="20"/>
                <w:color w:val="auto"/>
              </w:rPr>
            </w:pPr>
            <w:r>
              <w:rPr>
                <w:rFonts w:ascii="Arial" w:cs="Arial" w:eastAsia="Arial" w:hAnsi="Arial"/>
                <w:sz w:val="18"/>
                <w:szCs w:val="18"/>
                <w:color w:val="auto"/>
                <w:w w:val="86"/>
              </w:rPr>
              <w:t>October 15, 2002</w:t>
            </w:r>
          </w:p>
        </w:tc>
        <w:tc>
          <w:tcPr>
            <w:tcW w:w="0" w:type="dxa"/>
            <w:vAlign w:val="bottom"/>
          </w:tcPr>
          <w:p>
            <w:pPr>
              <w:spacing w:after="0"/>
              <w:rPr>
                <w:sz w:val="1"/>
                <w:szCs w:val="1"/>
                <w:color w:val="auto"/>
              </w:rPr>
            </w:pPr>
          </w:p>
        </w:tc>
      </w:tr>
      <w:tr>
        <w:trPr>
          <w:trHeight w:val="120"/>
        </w:trPr>
        <w:tc>
          <w:tcPr>
            <w:tcW w:w="4280" w:type="dxa"/>
            <w:vAlign w:val="bottom"/>
            <w:tcBorders>
              <w:bottom w:val="single" w:sz="8" w:color="808080"/>
            </w:tcBorders>
          </w:tcPr>
          <w:p>
            <w:pPr>
              <w:spacing w:after="0"/>
              <w:rPr>
                <w:sz w:val="10"/>
                <w:szCs w:val="10"/>
                <w:color w:val="auto"/>
              </w:rPr>
            </w:pPr>
          </w:p>
        </w:tc>
        <w:tc>
          <w:tcPr>
            <w:tcW w:w="49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280" w:type="dxa"/>
            <w:vAlign w:val="bottom"/>
          </w:tcPr>
          <w:p>
            <w:pPr>
              <w:jc w:val="center"/>
              <w:spacing w:after="0"/>
              <w:rPr>
                <w:sz w:val="20"/>
                <w:szCs w:val="20"/>
                <w:color w:val="auto"/>
              </w:rPr>
            </w:pPr>
            <w:r>
              <w:rPr>
                <w:rFonts w:ascii="Arial" w:cs="Arial" w:eastAsia="Arial" w:hAnsi="Arial"/>
                <w:sz w:val="18"/>
                <w:szCs w:val="18"/>
                <w:color w:val="auto"/>
                <w:w w:val="90"/>
              </w:rPr>
              <w:t>(William P. Weber)</w:t>
            </w:r>
          </w:p>
        </w:tc>
        <w:tc>
          <w:tcPr>
            <w:tcW w:w="49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280" w:type="dxa"/>
            <w:vAlign w:val="bottom"/>
          </w:tcPr>
          <w:p>
            <w:pPr>
              <w:spacing w:after="0"/>
              <w:rPr>
                <w:sz w:val="24"/>
                <w:szCs w:val="24"/>
                <w:color w:val="auto"/>
              </w:rPr>
            </w:pPr>
          </w:p>
        </w:tc>
        <w:tc>
          <w:tcPr>
            <w:tcW w:w="4900" w:type="dxa"/>
            <w:vAlign w:val="bottom"/>
          </w:tcPr>
          <w:p>
            <w:pPr>
              <w:ind w:left="1340"/>
              <w:spacing w:after="0"/>
              <w:rPr>
                <w:sz w:val="20"/>
                <w:szCs w:val="20"/>
                <w:color w:val="auto"/>
              </w:rPr>
            </w:pPr>
            <w:r>
              <w:rPr>
                <w:rFonts w:ascii="Arial" w:cs="Arial" w:eastAsia="Arial" w:hAnsi="Arial"/>
                <w:sz w:val="18"/>
                <w:szCs w:val="18"/>
                <w:color w:val="auto"/>
              </w:rPr>
              <w:t>56</w:t>
            </w: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2704465</wp:posOffset>
            </wp:positionH>
            <wp:positionV relativeFrom="paragraph">
              <wp:posOffset>-4453255</wp:posOffset>
            </wp:positionV>
            <wp:extent cx="12700" cy="88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-4453255</wp:posOffset>
            </wp:positionV>
            <wp:extent cx="12700" cy="88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-3887470</wp:posOffset>
            </wp:positionV>
            <wp:extent cx="12700" cy="88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-3887470</wp:posOffset>
            </wp:positionV>
            <wp:extent cx="12700" cy="88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-3321050</wp:posOffset>
            </wp:positionV>
            <wp:extent cx="12700" cy="88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-3321050</wp:posOffset>
            </wp:positionV>
            <wp:extent cx="12700" cy="889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-2755265</wp:posOffset>
            </wp:positionV>
            <wp:extent cx="12700" cy="889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-2755265</wp:posOffset>
            </wp:positionV>
            <wp:extent cx="12700" cy="889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-2189480</wp:posOffset>
            </wp:positionV>
            <wp:extent cx="12700" cy="88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-2189480</wp:posOffset>
            </wp:positionV>
            <wp:extent cx="12700" cy="889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-1623060</wp:posOffset>
            </wp:positionV>
            <wp:extent cx="12700" cy="88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-1623060</wp:posOffset>
            </wp:positionV>
            <wp:extent cx="12700" cy="88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-1057275</wp:posOffset>
            </wp:positionV>
            <wp:extent cx="12700" cy="88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-1057275</wp:posOffset>
            </wp:positionV>
            <wp:extent cx="12700" cy="88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-491490</wp:posOffset>
            </wp:positionV>
            <wp:extent cx="12700" cy="88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-491490</wp:posOffset>
            </wp:positionV>
            <wp:extent cx="12700" cy="88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I, Steven R. Appleton, certify that:</w:t>
      </w:r>
    </w:p>
    <w:p>
      <w:pPr>
        <w:spacing w:after="0" w:line="239" w:lineRule="exact"/>
        <w:rPr>
          <w:sz w:val="20"/>
          <w:szCs w:val="20"/>
          <w:color w:val="auto"/>
        </w:rPr>
      </w:pPr>
    </w:p>
    <w:p>
      <w:pPr>
        <w:ind w:left="540" w:hanging="532"/>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Micron Technology, Inc.;</w:t>
      </w:r>
    </w:p>
    <w:p>
      <w:pPr>
        <w:spacing w:after="0" w:line="252" w:lineRule="exact"/>
        <w:rPr>
          <w:rFonts w:ascii="Arial" w:cs="Arial" w:eastAsia="Arial" w:hAnsi="Arial"/>
          <w:sz w:val="18"/>
          <w:szCs w:val="18"/>
          <w:color w:val="auto"/>
        </w:rPr>
      </w:pPr>
    </w:p>
    <w:p>
      <w:pPr>
        <w:ind w:left="540" w:right="40" w:hanging="532"/>
        <w:spacing w:after="0" w:line="259"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207" w:lineRule="exact"/>
        <w:rPr>
          <w:rFonts w:ascii="Arial" w:cs="Arial" w:eastAsia="Arial" w:hAnsi="Arial"/>
          <w:sz w:val="18"/>
          <w:szCs w:val="18"/>
          <w:color w:val="auto"/>
        </w:rPr>
      </w:pPr>
    </w:p>
    <w:p>
      <w:pPr>
        <w:ind w:left="540" w:hanging="532"/>
        <w:spacing w:after="0" w:line="332" w:lineRule="auto"/>
        <w:tabs>
          <w:tab w:leader="none" w:pos="5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Date: October 15, 2002</w:t>
      </w:r>
    </w:p>
    <w:p>
      <w:pPr>
        <w:spacing w:after="0" w:line="225"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 STEVEN R. APPLETON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3390265</wp:posOffset>
            </wp:positionH>
            <wp:positionV relativeFrom="paragraph">
              <wp:posOffset>77470</wp:posOffset>
            </wp:positionV>
            <wp:extent cx="3134360" cy="215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3134360" cy="21590"/>
                    </a:xfrm>
                    <a:prstGeom prst="rect">
                      <a:avLst/>
                    </a:prstGeom>
                    <a:noFill/>
                  </pic:spPr>
                </pic:pic>
              </a:graphicData>
            </a:graphic>
          </wp:anchor>
        </w:drawing>
      </w:r>
    </w:p>
    <w:p>
      <w:pPr>
        <w:spacing w:after="0" w:line="232" w:lineRule="exact"/>
        <w:rPr>
          <w:sz w:val="20"/>
          <w:szCs w:val="20"/>
          <w:color w:val="auto"/>
        </w:rPr>
      </w:pPr>
    </w:p>
    <w:p>
      <w:pPr>
        <w:jc w:val="center"/>
        <w:ind w:left="4200"/>
        <w:spacing w:after="0"/>
        <w:rPr>
          <w:sz w:val="20"/>
          <w:szCs w:val="20"/>
          <w:color w:val="auto"/>
        </w:rPr>
      </w:pPr>
      <w:r>
        <w:rPr>
          <w:rFonts w:ascii="Arial" w:cs="Arial" w:eastAsia="Arial" w:hAnsi="Arial"/>
          <w:sz w:val="18"/>
          <w:szCs w:val="18"/>
          <w:color w:val="auto"/>
        </w:rPr>
        <w:t>Steven R. Appleton</w:t>
      </w:r>
    </w:p>
    <w:p>
      <w:pPr>
        <w:spacing w:after="0" w:line="15" w:lineRule="exact"/>
        <w:rPr>
          <w:sz w:val="20"/>
          <w:szCs w:val="20"/>
          <w:color w:val="auto"/>
        </w:rPr>
      </w:pPr>
    </w:p>
    <w:p>
      <w:pPr>
        <w:jc w:val="center"/>
        <w:ind w:left="420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341" w:right="239" w:bottom="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I, Wilbur G. Stover, Jr., certify that:</w:t>
      </w:r>
    </w:p>
    <w:p>
      <w:pPr>
        <w:spacing w:after="0" w:line="239" w:lineRule="exact"/>
        <w:rPr>
          <w:sz w:val="20"/>
          <w:szCs w:val="20"/>
          <w:color w:val="auto"/>
        </w:rPr>
      </w:pPr>
    </w:p>
    <w:p>
      <w:pPr>
        <w:ind w:left="540" w:hanging="532"/>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Micron Technology, Inc.;</w:t>
      </w:r>
    </w:p>
    <w:p>
      <w:pPr>
        <w:spacing w:after="0" w:line="252" w:lineRule="exact"/>
        <w:rPr>
          <w:rFonts w:ascii="Arial" w:cs="Arial" w:eastAsia="Arial" w:hAnsi="Arial"/>
          <w:sz w:val="18"/>
          <w:szCs w:val="18"/>
          <w:color w:val="auto"/>
        </w:rPr>
      </w:pPr>
    </w:p>
    <w:p>
      <w:pPr>
        <w:ind w:left="540" w:right="40" w:hanging="532"/>
        <w:spacing w:after="0" w:line="259"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207" w:lineRule="exact"/>
        <w:rPr>
          <w:rFonts w:ascii="Arial" w:cs="Arial" w:eastAsia="Arial" w:hAnsi="Arial"/>
          <w:sz w:val="18"/>
          <w:szCs w:val="18"/>
          <w:color w:val="auto"/>
        </w:rPr>
      </w:pPr>
    </w:p>
    <w:p>
      <w:pPr>
        <w:ind w:left="540" w:hanging="532"/>
        <w:spacing w:after="0" w:line="332" w:lineRule="auto"/>
        <w:tabs>
          <w:tab w:leader="none" w:pos="5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Date: October 15, 2002</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560" w:type="dxa"/>
            <w:vAlign w:val="bottom"/>
            <w:gridSpan w:val="5"/>
          </w:tcPr>
          <w:p>
            <w:pPr>
              <w:jc w:val="right"/>
              <w:ind w:right="160"/>
              <w:spacing w:after="0"/>
              <w:rPr>
                <w:sz w:val="20"/>
                <w:szCs w:val="20"/>
                <w:color w:val="auto"/>
              </w:rPr>
            </w:pPr>
            <w:r>
              <w:rPr>
                <w:rFonts w:ascii="Arial" w:cs="Arial" w:eastAsia="Arial" w:hAnsi="Arial"/>
                <w:sz w:val="18"/>
                <w:szCs w:val="18"/>
                <w:color w:val="auto"/>
              </w:rPr>
              <w:t>/s/ WILBUR G. STOVER, JR.</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gridSpan w:val="3"/>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60" w:type="dxa"/>
            <w:vAlign w:val="bottom"/>
            <w:gridSpan w:val="5"/>
          </w:tcPr>
          <w:p>
            <w:pPr>
              <w:jc w:val="right"/>
              <w:ind w:right="400"/>
              <w:spacing w:after="0"/>
              <w:rPr>
                <w:sz w:val="20"/>
                <w:szCs w:val="20"/>
                <w:color w:val="auto"/>
              </w:rPr>
            </w:pPr>
            <w:r>
              <w:rPr>
                <w:rFonts w:ascii="Arial" w:cs="Arial" w:eastAsia="Arial" w:hAnsi="Arial"/>
                <w:sz w:val="18"/>
                <w:szCs w:val="18"/>
                <w:color w:val="auto"/>
              </w:rPr>
              <w:t>Wilbur G. Stover, Jr.</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560" w:type="dxa"/>
            <w:vAlign w:val="bottom"/>
            <w:gridSpan w:val="5"/>
          </w:tcPr>
          <w:p>
            <w:pPr>
              <w:jc w:val="right"/>
              <w:ind w:right="300"/>
              <w:spacing w:after="0"/>
              <w:rPr>
                <w:sz w:val="20"/>
                <w:szCs w:val="20"/>
                <w:color w:val="auto"/>
              </w:rPr>
            </w:pPr>
            <w:r>
              <w:rPr>
                <w:rFonts w:ascii="Arial" w:cs="Arial" w:eastAsia="Arial" w:hAnsi="Arial"/>
                <w:sz w:val="18"/>
                <w:szCs w:val="18"/>
                <w:i w:val="1"/>
                <w:iCs w:val="1"/>
                <w:color w:val="auto"/>
              </w:rPr>
              <w:t>Chief Financial Officer</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jc w:val="center"/>
              <w:ind w:left="620"/>
              <w:spacing w:after="0"/>
              <w:rPr>
                <w:sz w:val="20"/>
                <w:szCs w:val="20"/>
                <w:color w:val="auto"/>
              </w:rPr>
            </w:pPr>
            <w:r>
              <w:rPr>
                <w:rFonts w:ascii="Arial" w:cs="Arial" w:eastAsia="Arial" w:hAnsi="Arial"/>
                <w:sz w:val="18"/>
                <w:szCs w:val="18"/>
                <w:color w:val="auto"/>
                <w:w w:val="89"/>
              </w:rPr>
              <w:t>57</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9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gridSpan w:val="2"/>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643"/>
        </w:trPr>
        <w:tc>
          <w:tcPr>
            <w:tcW w:w="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gridSpan w:val="3"/>
          </w:tcPr>
          <w:p>
            <w:pPr>
              <w:jc w:val="center"/>
              <w:ind w:left="420"/>
              <w:spacing w:after="0"/>
              <w:rPr>
                <w:sz w:val="20"/>
                <w:szCs w:val="20"/>
                <w:color w:val="auto"/>
              </w:rPr>
            </w:pPr>
            <w:r>
              <w:rPr>
                <w:rFonts w:ascii="Arial" w:cs="Arial" w:eastAsia="Arial" w:hAnsi="Arial"/>
                <w:sz w:val="18"/>
                <w:szCs w:val="18"/>
                <w:b w:val="1"/>
                <w:bCs w:val="1"/>
                <w:color w:val="auto"/>
                <w:w w:val="90"/>
              </w:rPr>
              <w:t>Schedule II</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320" w:type="dxa"/>
            <w:vAlign w:val="bottom"/>
            <w:gridSpan w:val="9"/>
          </w:tcPr>
          <w:p>
            <w:pPr>
              <w:jc w:val="center"/>
              <w:ind w:right="580"/>
              <w:spacing w:after="0"/>
              <w:rPr>
                <w:sz w:val="20"/>
                <w:szCs w:val="20"/>
                <w:color w:val="auto"/>
              </w:rPr>
            </w:pPr>
            <w:r>
              <w:rPr>
                <w:rFonts w:ascii="Arial" w:cs="Arial" w:eastAsia="Arial" w:hAnsi="Arial"/>
                <w:sz w:val="18"/>
                <w:szCs w:val="18"/>
                <w:b w:val="1"/>
                <w:bCs w:val="1"/>
                <w:color w:val="auto"/>
                <w:w w:val="99"/>
              </w:rPr>
              <w:t>MICRON TECHNOLOGY, INC.</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20" w:type="dxa"/>
            <w:vAlign w:val="bottom"/>
            <w:gridSpan w:val="10"/>
          </w:tcPr>
          <w:p>
            <w:pPr>
              <w:jc w:val="center"/>
              <w:ind w:left="457"/>
              <w:spacing w:after="0"/>
              <w:rPr>
                <w:sz w:val="20"/>
                <w:szCs w:val="20"/>
                <w:color w:val="auto"/>
              </w:rPr>
            </w:pPr>
            <w:r>
              <w:rPr>
                <w:rFonts w:ascii="Arial" w:cs="Arial" w:eastAsia="Arial" w:hAnsi="Arial"/>
                <w:sz w:val="18"/>
                <w:szCs w:val="18"/>
                <w:b w:val="1"/>
                <w:bCs w:val="1"/>
                <w:color w:val="auto"/>
                <w:w w:val="98"/>
              </w:rPr>
              <w:t>VALUATION AND QUALIFYING ACCOUNTS</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40" w:type="dxa"/>
            <w:vAlign w:val="bottom"/>
            <w:gridSpan w:val="7"/>
          </w:tcPr>
          <w:p>
            <w:pPr>
              <w:jc w:val="center"/>
              <w:ind w:right="1000"/>
              <w:spacing w:after="0"/>
              <w:rPr>
                <w:sz w:val="20"/>
                <w:szCs w:val="20"/>
                <w:color w:val="auto"/>
              </w:rPr>
            </w:pPr>
            <w:r>
              <w:rPr>
                <w:rFonts w:ascii="Arial" w:cs="Arial" w:eastAsia="Arial" w:hAnsi="Arial"/>
                <w:sz w:val="18"/>
                <w:szCs w:val="18"/>
                <w:b w:val="1"/>
                <w:bCs w:val="1"/>
                <w:color w:val="auto"/>
                <w:w w:val="88"/>
              </w:rPr>
              <w:t>(Amounts in millions)</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Charged</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85"/>
              </w:rPr>
              <w:t>Balance at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Acquisition/</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(Credited) to</w:t>
            </w: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5"/>
              </w:rPr>
              <w:t>Balance</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84"/>
              </w:rPr>
              <w:t>Beginning of</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4"/>
              </w:rPr>
              <w:t>Deconsolidation</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2"/>
              </w:rPr>
              <w:t>Costs and</w:t>
            </w:r>
          </w:p>
        </w:tc>
        <w:tc>
          <w:tcPr>
            <w:tcW w:w="140" w:type="dxa"/>
            <w:vAlign w:val="bottom"/>
          </w:tcPr>
          <w:p>
            <w:pPr>
              <w:spacing w:after="0"/>
              <w:rPr>
                <w:sz w:val="12"/>
                <w:szCs w:val="12"/>
                <w:color w:val="auto"/>
              </w:rPr>
            </w:pPr>
          </w:p>
        </w:tc>
        <w:tc>
          <w:tcPr>
            <w:tcW w:w="114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89"/>
              </w:rPr>
              <w:t>Deductions/</w:t>
            </w:r>
          </w:p>
        </w:tc>
        <w:tc>
          <w:tcPr>
            <w:tcW w:w="120" w:type="dxa"/>
            <w:vAlign w:val="bottom"/>
          </w:tcPr>
          <w:p>
            <w:pPr>
              <w:spacing w:after="0"/>
              <w:rPr>
                <w:sz w:val="12"/>
                <w:szCs w:val="12"/>
                <w:color w:val="auto"/>
              </w:rPr>
            </w:pPr>
          </w:p>
        </w:tc>
        <w:tc>
          <w:tcPr>
            <w:tcW w:w="12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5"/>
              </w:rPr>
              <w:t>at end of</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center"/>
              <w:ind w:right="77"/>
              <w:spacing w:after="0"/>
              <w:rPr>
                <w:sz w:val="20"/>
                <w:szCs w:val="20"/>
                <w:color w:val="auto"/>
              </w:rPr>
            </w:pPr>
            <w:r>
              <w:rPr>
                <w:rFonts w:ascii="Arial" w:cs="Arial" w:eastAsia="Arial" w:hAnsi="Arial"/>
                <w:sz w:val="14"/>
                <w:szCs w:val="14"/>
                <w:b w:val="1"/>
                <w:bCs w:val="1"/>
                <w:color w:val="auto"/>
                <w:w w:val="87"/>
              </w:rPr>
              <w:t>Period</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9"/>
              </w:rPr>
              <w:t>of MEI</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2"/>
              </w:rPr>
              <w:t>Expenses</w:t>
            </w:r>
          </w:p>
        </w:tc>
        <w:tc>
          <w:tcPr>
            <w:tcW w:w="140" w:type="dxa"/>
            <w:vAlign w:val="bottom"/>
          </w:tcPr>
          <w:p>
            <w:pPr>
              <w:spacing w:after="0"/>
              <w:rPr>
                <w:sz w:val="15"/>
                <w:szCs w:val="15"/>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Write-Offs</w:t>
            </w:r>
          </w:p>
        </w:tc>
        <w:tc>
          <w:tcPr>
            <w:tcW w:w="120" w:type="dxa"/>
            <w:vAlign w:val="bottom"/>
          </w:tcPr>
          <w:p>
            <w:pPr>
              <w:spacing w:after="0"/>
              <w:rPr>
                <w:sz w:val="15"/>
                <w:szCs w:val="15"/>
                <w:color w:val="auto"/>
              </w:rPr>
            </w:pPr>
          </w:p>
        </w:tc>
        <w:tc>
          <w:tcPr>
            <w:tcW w:w="12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7"/>
              </w:rPr>
              <w:t>Period</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40" w:type="dxa"/>
            <w:vAlign w:val="bottom"/>
            <w:shd w:val="clear" w:color="auto" w:fill="CCEEFF"/>
          </w:tcPr>
          <w:p>
            <w:pPr>
              <w:jc w:val="center"/>
              <w:ind w:right="512"/>
              <w:spacing w:after="0"/>
              <w:rPr>
                <w:sz w:val="20"/>
                <w:szCs w:val="20"/>
                <w:color w:val="auto"/>
              </w:rPr>
            </w:pPr>
            <w:r>
              <w:rPr>
                <w:rFonts w:ascii="Arial" w:cs="Arial" w:eastAsia="Arial" w:hAnsi="Arial"/>
                <w:sz w:val="18"/>
                <w:szCs w:val="18"/>
                <w:i w:val="1"/>
                <w:iCs w:val="1"/>
                <w:color w:val="auto"/>
                <w:w w:val="90"/>
              </w:rPr>
              <w:t>Allowance for Doubtful Accounts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940" w:type="dxa"/>
            <w:vAlign w:val="bottom"/>
          </w:tcPr>
          <w:p>
            <w:pPr>
              <w:jc w:val="center"/>
              <w:ind w:right="492"/>
              <w:spacing w:after="0"/>
              <w:rPr>
                <w:sz w:val="20"/>
                <w:szCs w:val="20"/>
                <w:color w:val="auto"/>
              </w:rPr>
            </w:pPr>
            <w:r>
              <w:rPr>
                <w:rFonts w:ascii="Arial" w:cs="Arial" w:eastAsia="Arial" w:hAnsi="Arial"/>
                <w:sz w:val="18"/>
                <w:szCs w:val="18"/>
                <w:color w:val="auto"/>
                <w:w w:val="87"/>
              </w:rPr>
              <w:t>Year ended August 29, 2002</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3.8</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1"/>
                <w:szCs w:val="21"/>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(0.5)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6.2</w:t>
            </w:r>
          </w:p>
        </w:tc>
        <w:tc>
          <w:tcPr>
            <w:tcW w:w="5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940" w:type="dxa"/>
            <w:vAlign w:val="bottom"/>
            <w:shd w:val="clear" w:color="auto" w:fill="CCEEFF"/>
          </w:tcPr>
          <w:p>
            <w:pPr>
              <w:jc w:val="center"/>
              <w:ind w:right="492"/>
              <w:spacing w:after="0"/>
              <w:rPr>
                <w:sz w:val="20"/>
                <w:szCs w:val="20"/>
                <w:color w:val="auto"/>
              </w:rPr>
            </w:pPr>
            <w:r>
              <w:rPr>
                <w:rFonts w:ascii="Arial" w:cs="Arial" w:eastAsia="Arial" w:hAnsi="Arial"/>
                <w:sz w:val="18"/>
                <w:szCs w:val="18"/>
                <w:color w:val="auto"/>
                <w:w w:val="87"/>
              </w:rPr>
              <w:t>Year ended August 30, 2001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w:t>
            </w: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5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940" w:type="dxa"/>
            <w:vAlign w:val="bottom"/>
          </w:tcPr>
          <w:p>
            <w:pPr>
              <w:jc w:val="center"/>
              <w:ind w:right="492"/>
              <w:spacing w:after="0"/>
              <w:rPr>
                <w:sz w:val="20"/>
                <w:szCs w:val="20"/>
                <w:color w:val="auto"/>
              </w:rPr>
            </w:pPr>
            <w:r>
              <w:rPr>
                <w:rFonts w:ascii="Arial" w:cs="Arial" w:eastAsia="Arial" w:hAnsi="Arial"/>
                <w:sz w:val="18"/>
                <w:szCs w:val="18"/>
                <w:color w:val="auto"/>
                <w:w w:val="87"/>
              </w:rPr>
              <w:t>Year ended August 31, 2000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11.6</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14.4</w:t>
            </w:r>
          </w:p>
        </w:tc>
        <w:tc>
          <w:tcPr>
            <w:tcW w:w="5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2940" w:type="dxa"/>
            <w:vAlign w:val="bottom"/>
            <w:shd w:val="clear" w:color="auto" w:fill="CCEEFF"/>
          </w:tcPr>
          <w:p>
            <w:pPr>
              <w:jc w:val="center"/>
              <w:ind w:right="492"/>
              <w:spacing w:after="0"/>
              <w:rPr>
                <w:sz w:val="20"/>
                <w:szCs w:val="20"/>
                <w:color w:val="auto"/>
              </w:rPr>
            </w:pPr>
            <w:r>
              <w:rPr>
                <w:rFonts w:ascii="Arial" w:cs="Arial" w:eastAsia="Arial" w:hAnsi="Arial"/>
                <w:sz w:val="18"/>
                <w:szCs w:val="18"/>
                <w:i w:val="1"/>
                <w:iCs w:val="1"/>
                <w:color w:val="auto"/>
                <w:w w:val="89"/>
              </w:rPr>
              <w:t>Allowance for Obsolete Inventory</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940" w:type="dxa"/>
            <w:vAlign w:val="bottom"/>
          </w:tcPr>
          <w:p>
            <w:pPr>
              <w:jc w:val="center"/>
              <w:ind w:right="492"/>
              <w:spacing w:after="0"/>
              <w:rPr>
                <w:sz w:val="20"/>
                <w:szCs w:val="20"/>
                <w:color w:val="auto"/>
              </w:rPr>
            </w:pPr>
            <w:r>
              <w:rPr>
                <w:rFonts w:ascii="Arial" w:cs="Arial" w:eastAsia="Arial" w:hAnsi="Arial"/>
                <w:sz w:val="18"/>
                <w:szCs w:val="18"/>
                <w:color w:val="auto"/>
                <w:w w:val="87"/>
              </w:rPr>
              <w:t>Year ended August 29, 2002</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4.4</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1"/>
                <w:szCs w:val="21"/>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41.6</w:t>
            </w:r>
          </w:p>
        </w:tc>
        <w:tc>
          <w:tcPr>
            <w:tcW w:w="1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(18.9)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27.1</w:t>
            </w:r>
          </w:p>
        </w:tc>
        <w:tc>
          <w:tcPr>
            <w:tcW w:w="5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940" w:type="dxa"/>
            <w:vAlign w:val="bottom"/>
            <w:shd w:val="clear" w:color="auto" w:fill="CCEEFF"/>
          </w:tcPr>
          <w:p>
            <w:pPr>
              <w:jc w:val="center"/>
              <w:ind w:right="492"/>
              <w:spacing w:after="0"/>
              <w:rPr>
                <w:sz w:val="20"/>
                <w:szCs w:val="20"/>
                <w:color w:val="auto"/>
              </w:rPr>
            </w:pPr>
            <w:r>
              <w:rPr>
                <w:rFonts w:ascii="Arial" w:cs="Arial" w:eastAsia="Arial" w:hAnsi="Arial"/>
                <w:sz w:val="18"/>
                <w:szCs w:val="18"/>
                <w:color w:val="auto"/>
                <w:w w:val="87"/>
              </w:rPr>
              <w:t>Year ended August 30, 2001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(25.5)</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5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940" w:type="dxa"/>
            <w:vAlign w:val="bottom"/>
          </w:tcPr>
          <w:p>
            <w:pPr>
              <w:jc w:val="center"/>
              <w:ind w:right="492"/>
              <w:spacing w:after="0"/>
              <w:rPr>
                <w:sz w:val="20"/>
                <w:szCs w:val="20"/>
                <w:color w:val="auto"/>
              </w:rPr>
            </w:pPr>
            <w:r>
              <w:rPr>
                <w:rFonts w:ascii="Arial" w:cs="Arial" w:eastAsia="Arial" w:hAnsi="Arial"/>
                <w:sz w:val="18"/>
                <w:szCs w:val="18"/>
                <w:color w:val="auto"/>
                <w:w w:val="87"/>
              </w:rPr>
              <w:t>Year ended August 31, 2000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12.6</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0.9</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9.4</w:t>
            </w:r>
          </w:p>
        </w:tc>
        <w:tc>
          <w:tcPr>
            <w:tcW w:w="5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w w:val="90"/>
              </w:rPr>
              <w:t>Deferred Tax Asset Valuation Allowance</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940" w:type="dxa"/>
            <w:vAlign w:val="bottom"/>
          </w:tcPr>
          <w:p>
            <w:pPr>
              <w:jc w:val="center"/>
              <w:ind w:right="492"/>
              <w:spacing w:after="0"/>
              <w:rPr>
                <w:sz w:val="20"/>
                <w:szCs w:val="20"/>
                <w:color w:val="auto"/>
              </w:rPr>
            </w:pPr>
            <w:r>
              <w:rPr>
                <w:rFonts w:ascii="Arial" w:cs="Arial" w:eastAsia="Arial" w:hAnsi="Arial"/>
                <w:sz w:val="18"/>
                <w:szCs w:val="18"/>
                <w:color w:val="auto"/>
                <w:w w:val="87"/>
              </w:rPr>
              <w:t>Year ended August 29, 2002</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87.4</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1"/>
                <w:szCs w:val="21"/>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330.1</w:t>
            </w:r>
          </w:p>
        </w:tc>
        <w:tc>
          <w:tcPr>
            <w:tcW w:w="1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14.0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431.5</w:t>
            </w:r>
          </w:p>
        </w:tc>
        <w:tc>
          <w:tcPr>
            <w:tcW w:w="5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940" w:type="dxa"/>
            <w:vAlign w:val="bottom"/>
            <w:shd w:val="clear" w:color="auto" w:fill="CCEEFF"/>
          </w:tcPr>
          <w:p>
            <w:pPr>
              <w:jc w:val="center"/>
              <w:ind w:right="492"/>
              <w:spacing w:after="0"/>
              <w:rPr>
                <w:sz w:val="20"/>
                <w:szCs w:val="20"/>
                <w:color w:val="auto"/>
              </w:rPr>
            </w:pPr>
            <w:r>
              <w:rPr>
                <w:rFonts w:ascii="Arial" w:cs="Arial" w:eastAsia="Arial" w:hAnsi="Arial"/>
                <w:sz w:val="18"/>
                <w:szCs w:val="18"/>
                <w:color w:val="auto"/>
                <w:w w:val="87"/>
              </w:rPr>
              <w:t>Year ended August 30, 2001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39.6</w:t>
            </w: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5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940" w:type="dxa"/>
            <w:vAlign w:val="bottom"/>
          </w:tcPr>
          <w:p>
            <w:pPr>
              <w:jc w:val="center"/>
              <w:ind w:right="492"/>
              <w:spacing w:after="0"/>
              <w:rPr>
                <w:sz w:val="20"/>
                <w:szCs w:val="20"/>
                <w:color w:val="auto"/>
              </w:rPr>
            </w:pPr>
            <w:r>
              <w:rPr>
                <w:rFonts w:ascii="Arial" w:cs="Arial" w:eastAsia="Arial" w:hAnsi="Arial"/>
                <w:sz w:val="18"/>
                <w:szCs w:val="18"/>
                <w:color w:val="auto"/>
                <w:w w:val="87"/>
              </w:rPr>
              <w:t>Year ended August 31, 2000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14.6</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30.0</w:t>
            </w:r>
          </w:p>
        </w:tc>
        <w:tc>
          <w:tcPr>
            <w:tcW w:w="5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6511925</wp:posOffset>
            </wp:positionH>
            <wp:positionV relativeFrom="paragraph">
              <wp:posOffset>-4521835</wp:posOffset>
            </wp:positionV>
            <wp:extent cx="12700" cy="88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3390265</wp:posOffset>
            </wp:positionH>
            <wp:positionV relativeFrom="paragraph">
              <wp:posOffset>-4521835</wp:posOffset>
            </wp:positionV>
            <wp:extent cx="12700" cy="88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-3750310</wp:posOffset>
            </wp:positionV>
            <wp:extent cx="12700" cy="88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-3750310</wp:posOffset>
            </wp:positionV>
            <wp:extent cx="12700" cy="88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2747010</wp:posOffset>
            </wp:positionH>
            <wp:positionV relativeFrom="paragraph">
              <wp:posOffset>-2189480</wp:posOffset>
            </wp:positionV>
            <wp:extent cx="12700" cy="88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1941195</wp:posOffset>
            </wp:positionH>
            <wp:positionV relativeFrom="paragraph">
              <wp:posOffset>-2189480</wp:posOffset>
            </wp:positionV>
            <wp:extent cx="12700" cy="88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-2189480</wp:posOffset>
            </wp:positionV>
            <wp:extent cx="12700" cy="88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2875915</wp:posOffset>
            </wp:positionH>
            <wp:positionV relativeFrom="paragraph">
              <wp:posOffset>-2189480</wp:posOffset>
            </wp:positionV>
            <wp:extent cx="12700" cy="88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-2189480</wp:posOffset>
            </wp:positionV>
            <wp:extent cx="12700" cy="88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-2189480</wp:posOffset>
            </wp:positionV>
            <wp:extent cx="12700" cy="88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-2189480</wp:posOffset>
            </wp:positionV>
            <wp:extent cx="12700" cy="88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-2189480</wp:posOffset>
            </wp:positionV>
            <wp:extent cx="12700" cy="88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-2189480</wp:posOffset>
            </wp:positionV>
            <wp:extent cx="12700" cy="88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-2189480</wp:posOffset>
            </wp:positionV>
            <wp:extent cx="12700" cy="88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right="400" w:firstLine="348"/>
        <w:spacing w:after="0" w:line="259" w:lineRule="auto"/>
        <w:rPr>
          <w:sz w:val="20"/>
          <w:szCs w:val="20"/>
          <w:color w:val="auto"/>
        </w:rPr>
      </w:pPr>
      <w:r>
        <w:rPr>
          <w:rFonts w:ascii="Arial" w:cs="Arial" w:eastAsia="Arial" w:hAnsi="Arial"/>
          <w:sz w:val="18"/>
          <w:szCs w:val="18"/>
          <w:color w:val="auto"/>
        </w:rPr>
        <w:t>The allowance for obsolete inventory excludes any charges for write-downs of work in process and finished goods inventories to their estimated market values. See "Item 7. Management's Discussion and Analysis of Financial Condition and Results of Operations" and "Item 8. Financial Statements and Supplementary Data—Notes to Consolidated Financial Statements."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PART I</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Item 1. Business</w:t>
        </w:r>
      </w:hyperlink>
    </w:p>
    <w:p>
      <w:pPr>
        <w:spacing w:after="0" w:line="15" w:lineRule="exact"/>
        <w:rPr>
          <w:sz w:val="20"/>
          <w:szCs w:val="20"/>
          <w:color w:val="auto"/>
        </w:rPr>
      </w:pPr>
    </w:p>
    <w:p>
      <w:pPr>
        <w:ind w:left="54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Item 2. Properties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Item 3. Legal Proceedings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Item 4. Submission of Matters to a Vote of Security Holders</w:t>
        </w:r>
      </w:hyperlink>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PART II</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Item 5. Market for Registrant's Common Equity and Related Stockholder Matters</w:t>
        </w:r>
      </w:hyperlink>
    </w:p>
    <w:p>
      <w:pPr>
        <w:spacing w:after="0" w:line="15" w:lineRule="exact"/>
        <w:rPr>
          <w:sz w:val="20"/>
          <w:szCs w:val="20"/>
          <w:color w:val="auto"/>
        </w:rPr>
      </w:pPr>
    </w:p>
    <w:p>
      <w:pPr>
        <w:ind w:left="54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Item 6. Selected Financial Data</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Item 7. Management's Discussion and Analysis of Financial Condition and Results of Operations</w:t>
        </w:r>
      </w:hyperlink>
    </w:p>
    <w:p>
      <w:pPr>
        <w:sectPr>
          <w:pgSz w:w="11900" w:h="16838" w:orient="portrait"/>
          <w:cols w:equalWidth="0" w:num="1">
            <w:col w:w="11420"/>
          </w:cols>
          <w:pgMar w:left="240" w:top="131" w:right="239" w:bottom="0" w:gutter="0" w:footer="0" w:header="0"/>
        </w:sectPr>
      </w:pPr>
    </w:p>
    <w:bookmarkStart w:id="37" w:name="page38"/>
    <w:bookmarkEnd w:id="37"/>
    <w:p>
      <w:pPr>
        <w:ind w:left="540"/>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Item 7A. Quantitative and Qualitative Disclosures about Market Risk</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Item 8. Financial Statements and Supplementary Data</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MICRON TECHNOLOGY, INC. CONSOLIDATED STATEMENTS OF OPERATIONS (Amounts in millions except per share amounts)</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MICRON TECHNOLOGY, INC. CONSOLIDATED BALANCE SHEETS (Amounts in millions except par value amounts)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MICRON TECHNOLOGY, INC. CONSOLIDATED STATEMENTS OF SHAREHOLDERS' EQUITY (Amounts in millions)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MICRON TECHNOLOGY, INC. CONSOLIDATED STATEMENTS OF CASH FLOWS (Amounts in millions)</w:t>
        </w:r>
      </w:hyperlink>
    </w:p>
    <w:p>
      <w:pPr>
        <w:spacing w:after="0" w:line="9" w:lineRule="exact"/>
        <w:rPr>
          <w:sz w:val="20"/>
          <w:szCs w:val="20"/>
          <w:color w:val="auto"/>
        </w:rPr>
      </w:pPr>
    </w:p>
    <w:p>
      <w:pPr>
        <w:spacing w:after="0" w:line="261" w:lineRule="auto"/>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MICRON TECHNOLOGY, INC. NOTES TO CONSOLIDATED FINANCIAL STATEMENTS (All tabular amounts in millions except per share amounts)</w:t>
        </w:r>
      </w:hyperlink>
      <w:r>
        <w:rPr>
          <w:rFonts w:ascii="Arial" w:cs="Arial" w:eastAsia="Arial" w:hAnsi="Arial"/>
          <w:sz w:val="18"/>
          <w:szCs w:val="18"/>
          <w:u w:val="single" w:color="auto"/>
          <w:color w:val="0000EE"/>
        </w:rPr>
        <w:t xml:space="preserve"> </w:t>
      </w:r>
      <w:hyperlink w:anchor="page33">
        <w:r>
          <w:rPr>
            <w:rFonts w:ascii="Arial" w:cs="Arial" w:eastAsia="Arial" w:hAnsi="Arial"/>
            <w:sz w:val="18"/>
            <w:szCs w:val="18"/>
            <w:u w:val="single" w:color="auto"/>
            <w:color w:val="0000EE"/>
          </w:rPr>
          <w:t>Report of Independent Accountants</w:t>
        </w:r>
      </w:hyperlink>
    </w:p>
    <w:p>
      <w:pPr>
        <w:spacing w:after="0" w:line="192" w:lineRule="exact"/>
        <w:rPr>
          <w:sz w:val="20"/>
          <w:szCs w:val="20"/>
          <w:color w:val="auto"/>
        </w:rPr>
      </w:pPr>
    </w:p>
    <w:p>
      <w:pPr>
        <w:ind w:left="54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Item 9. Changes in and Disagreements with Accountants on Accounting and Financial Disclosure</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PART III</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Item 10. Directors and Executive Officers of the Registrant</w:t>
        </w:r>
      </w:hyperlink>
    </w:p>
    <w:p>
      <w:pPr>
        <w:spacing w:after="0" w:line="15" w:lineRule="exact"/>
        <w:rPr>
          <w:sz w:val="20"/>
          <w:szCs w:val="20"/>
          <w:color w:val="auto"/>
        </w:rPr>
      </w:pPr>
    </w:p>
    <w:p>
      <w:pPr>
        <w:ind w:left="54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Item 11. Executive Compensation</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Item 12. Security Ownership of Certain Beneficial Owners and Management and Related Stockholder Matters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Item 13. Certain Relationships and Related Transactions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Item 14. Controls and Procedures</w:t>
        </w:r>
      </w:hyperlink>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PART IV</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Item 15. Exhibits, Financial Statement Schedules and Reports on Form 8-K</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SIGNATURES</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Schedule II MICRON TECHNOLOGY, INC. VALUATION AND QUALIFYING ACCOUNTS (Amounts in millions)</w:t>
        </w:r>
      </w:hyperlink>
    </w:p>
    <w:p>
      <w:pPr>
        <w:sectPr>
          <w:pgSz w:w="11900" w:h="16838" w:orient="portrait"/>
          <w:cols w:equalWidth="0" w:num="1">
            <w:col w:w="10960"/>
          </w:cols>
          <w:pgMar w:left="240" w:top="131" w:right="699" w:bottom="1440" w:gutter="0" w:footer="0" w:header="0"/>
        </w:sectPr>
      </w:pPr>
    </w:p>
    <w:bookmarkStart w:id="38" w:name="page39"/>
    <w:bookmarkEnd w:id="38"/>
    <w:p>
      <w:pPr>
        <w:spacing w:after="0"/>
        <w:rPr>
          <w:rFonts w:ascii="Arial" w:cs="Arial" w:eastAsia="Arial" w:hAnsi="Arial"/>
          <w:sz w:val="22"/>
          <w:szCs w:val="22"/>
          <w:color w:val="0000EE"/>
        </w:rPr>
      </w:pPr>
      <w:hyperlink w:anchor="page52">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360"/>
        <w:spacing w:after="0"/>
        <w:rPr>
          <w:sz w:val="20"/>
          <w:szCs w:val="20"/>
          <w:color w:val="auto"/>
        </w:rPr>
      </w:pPr>
      <w:r>
        <w:rPr>
          <w:rFonts w:ascii="Arial" w:cs="Arial" w:eastAsia="Arial" w:hAnsi="Arial"/>
          <w:sz w:val="18"/>
          <w:szCs w:val="18"/>
          <w:b w:val="1"/>
          <w:bCs w:val="1"/>
          <w:color w:val="auto"/>
        </w:rPr>
        <w:t>EXHIBIT 3.7</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BYLAWS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MICRON TECHNOLOGY, INC.</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OFFICES</w:t>
      </w:r>
    </w:p>
    <w:p>
      <w:pPr>
        <w:spacing w:after="0" w:line="231" w:lineRule="exact"/>
        <w:rPr>
          <w:sz w:val="20"/>
          <w:szCs w:val="20"/>
          <w:color w:val="auto"/>
        </w:rPr>
      </w:pPr>
    </w:p>
    <w:p>
      <w:pPr>
        <w:ind w:left="360"/>
        <w:spacing w:after="0"/>
        <w:tabs>
          <w:tab w:leader="none" w:pos="142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6"/>
          <w:szCs w:val="16"/>
          <w:color w:val="auto"/>
        </w:rPr>
        <w:t>The registered office shall be 100 West Tenth Street, in the City of Wilmington, County of New Castle, State of Delaware.</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SECTION 2. The corporation may also have offices at such other places both within and without the State of Delaware as the Board of Directors may from time to time determine or the business of the corporation may require.</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STOCKHOLDERS</w:t>
      </w:r>
    </w:p>
    <w:p>
      <w:pPr>
        <w:spacing w:after="0" w:line="231" w:lineRule="exact"/>
        <w:rPr>
          <w:sz w:val="20"/>
          <w:szCs w:val="20"/>
          <w:color w:val="auto"/>
        </w:rPr>
      </w:pPr>
    </w:p>
    <w:p>
      <w:pPr>
        <w:ind w:right="220" w:firstLine="351"/>
        <w:spacing w:after="0" w:line="332" w:lineRule="auto"/>
        <w:rPr>
          <w:sz w:val="20"/>
          <w:szCs w:val="20"/>
          <w:color w:val="auto"/>
        </w:rPr>
      </w:pPr>
      <w:r>
        <w:rPr>
          <w:rFonts w:ascii="Arial" w:cs="Arial" w:eastAsia="Arial" w:hAnsi="Arial"/>
          <w:sz w:val="16"/>
          <w:szCs w:val="16"/>
          <w:color w:val="auto"/>
        </w:rPr>
        <w:t>SECTION 1. All meetings of the stockholders shall be held at the principal office of the corporation in the City of Boise, State of Idaho, or at such other place either within or without the State of Delaware as shall be designated in the notice of the meeting or in a duly executed waiver of notice thereof.</w:t>
      </w:r>
    </w:p>
    <w:p>
      <w:pPr>
        <w:spacing w:after="0" w:line="139"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SECTION 2. Annual meetings of stockholders shall be held on such day and such hour as shall be designated from time to time by the Board of Directors and stated in the notice of the meeting. At such meeting, the stockholders shall elect a Board of Directors and transact such other business as may properly be brought before the meeting.</w:t>
      </w:r>
    </w:p>
    <w:p>
      <w:pPr>
        <w:spacing w:after="0" w:line="194"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SECTION 3. Written notice of the annual meeting stating the place, date and hour of the meeting shall be given to each stockholder entitled to vote at such meeting not less than ten nor more than sixty days before the date of the meeting.</w:t>
      </w:r>
    </w:p>
    <w:p>
      <w:pPr>
        <w:spacing w:after="0" w:line="186"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SECTION 4. The officer who has charge of the stock ledger of the corporation shall prepare and make, at least ten days before every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 meeting, during ordinary business hours, for a period of at least ten days prior to the meeting, either at a place within the city where the meeting is to be held, which place shall be specified in the notice of the meeting, or, if not so specified, at the place where the meeting is to be held. The list shall also be produced and kept at the time and place of the meeting during the whole time thereof, and may be inspected by any stockholder who is present.</w:t>
      </w:r>
    </w:p>
    <w:p>
      <w:pPr>
        <w:spacing w:after="0" w:line="174"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SECTION 5. Special meetings of the stockholders, for any purpose or purposes, unless otherwise prescribed by statute or by the Certificate of Incorporation, may be called by the Board of Directors, the Chairman of the Board, the president, or by the holders of shares entitled to cast not less than twenty percent (20%) of the votes at the meeting. Such request shall state the purpose or purposes of the proposed meeting.</w:t>
      </w:r>
    </w:p>
    <w:p>
      <w:pPr>
        <w:spacing w:after="0" w:line="161" w:lineRule="exact"/>
        <w:rPr>
          <w:sz w:val="20"/>
          <w:szCs w:val="20"/>
          <w:color w:val="auto"/>
        </w:rPr>
      </w:pPr>
    </w:p>
    <w:p>
      <w:pPr>
        <w:ind w:right="440" w:firstLine="351"/>
        <w:spacing w:after="0" w:line="332" w:lineRule="auto"/>
        <w:rPr>
          <w:sz w:val="20"/>
          <w:szCs w:val="20"/>
          <w:color w:val="auto"/>
        </w:rPr>
      </w:pPr>
      <w:r>
        <w:rPr>
          <w:rFonts w:ascii="Arial" w:cs="Arial" w:eastAsia="Arial" w:hAnsi="Arial"/>
          <w:sz w:val="16"/>
          <w:szCs w:val="16"/>
          <w:color w:val="auto"/>
        </w:rPr>
        <w:t>SECTION 6. Written notice of a special meeting stating the place, date and hour of the meeting and the purpose or purposes for which the meeting is called, shall be given to each stockholder entitled to vote at such meeting not less than ten nor more than sixty days before the date of the meeting.</w:t>
      </w:r>
    </w:p>
    <w:p>
      <w:pPr>
        <w:spacing w:after="0" w:line="139" w:lineRule="exact"/>
        <w:rPr>
          <w:sz w:val="20"/>
          <w:szCs w:val="20"/>
          <w:color w:val="auto"/>
        </w:rPr>
      </w:pPr>
    </w:p>
    <w:p>
      <w:pPr>
        <w:ind w:left="360"/>
        <w:spacing w:after="0"/>
        <w:tabs>
          <w:tab w:leader="none" w:pos="1440" w:val="left"/>
        </w:tabs>
        <w:rPr>
          <w:sz w:val="20"/>
          <w:szCs w:val="20"/>
          <w:color w:val="auto"/>
        </w:rPr>
      </w:pPr>
      <w:r>
        <w:rPr>
          <w:rFonts w:ascii="Arial" w:cs="Arial" w:eastAsia="Arial" w:hAnsi="Arial"/>
          <w:sz w:val="18"/>
          <w:szCs w:val="18"/>
          <w:color w:val="auto"/>
        </w:rPr>
        <w:t>SECTION 7.</w:t>
      </w:r>
      <w:r>
        <w:rPr>
          <w:sz w:val="20"/>
          <w:szCs w:val="20"/>
          <w:color w:val="auto"/>
        </w:rPr>
        <w:tab/>
      </w:r>
      <w:r>
        <w:rPr>
          <w:rFonts w:ascii="Arial" w:cs="Arial" w:eastAsia="Arial" w:hAnsi="Arial"/>
          <w:sz w:val="15"/>
          <w:szCs w:val="15"/>
          <w:color w:val="auto"/>
        </w:rPr>
        <w:t>Business transacted at any special meeting of stockholders shall be limited to the purposes stated in the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SECTION 8. The holders of a majority of the stock issued and outstanding and entitled to vote thereat, present in person or represented by proxy, shall constitute a quorum at all meetings of the stockholders for the transaction of business except as otherwise provided by statute or by the Certificate of Incorporation. If, however, such quorum shall not be present or represented at any meeting of the stockholders, the stockholders entitled to vote thereat, present in person or represented by proxy, shall have power to adjourn the meeting from time to time, without notice other than announcement at the meeting, until a quorum shall be present or represented. At such adjourned meeting at which a quorum shall be present or represented any business may be transacted which might have been transacted at the meeting as originally notified. If the adjournment is for more than thirty days, or if after the adjournment a new record date is fixed for the adjourned meeting, a notice of the adjourned meeting shall be given to each stockholder of record entitled to vote at the meeting.</w:t>
      </w:r>
    </w:p>
    <w:p>
      <w:pPr>
        <w:spacing w:after="0" w:line="172"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color w:val="auto"/>
        </w:rPr>
        <w:t>SECTION 9. When a quorum is present at any meeting, the vote of the holders of a majority of the stock having voting power present in person or represented by proxy shall decide any question brought before such meeting, unless the question is one upon which by express provision of the statutes or of the Certificate of Incorporation, a different vote is required in which case such express provision shall govern and control the decision of the question.</w:t>
      </w:r>
    </w:p>
    <w:p>
      <w:pPr>
        <w:spacing w:after="0" w:line="161"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SECTION 10. Unless otherwise provided in the Certificate of Incorporation, each stockholder shall at every meeting of the stockholders be entitled to one vote in person or by proxy for each share of the capital stock having voting power held by such stockholder, regardless of class, but no proxy shall be voted on or after three years from its date, unless the proxy provides for a longer period. Vote may be viva voice or by ballot; provided, however, that elections for directors must be by ballot upon demand by a shareholder at the meeting and before the voting begins. At all elections of directors of the corporation each stockholder having voting power shall be entitled to exercise the right of cumulative voting as provided in the Certificate of Incorporation.</w:t>
      </w:r>
    </w:p>
    <w:p>
      <w:pPr>
        <w:spacing w:after="0" w:line="170" w:lineRule="exact"/>
        <w:rPr>
          <w:sz w:val="20"/>
          <w:szCs w:val="20"/>
          <w:color w:val="auto"/>
        </w:rPr>
      </w:pPr>
    </w:p>
    <w:p>
      <w:pPr>
        <w:ind w:right="100" w:firstLine="351"/>
        <w:spacing w:after="0" w:line="335" w:lineRule="auto"/>
        <w:rPr>
          <w:sz w:val="20"/>
          <w:szCs w:val="20"/>
          <w:color w:val="auto"/>
        </w:rPr>
      </w:pPr>
      <w:r>
        <w:rPr>
          <w:rFonts w:ascii="Arial" w:cs="Arial" w:eastAsia="Arial" w:hAnsi="Arial"/>
          <w:sz w:val="15"/>
          <w:szCs w:val="15"/>
          <w:color w:val="auto"/>
        </w:rPr>
        <w:t>SECTION 11. Unless otherwise provided in the Certificate of Incorporation, any action required to be taken at any annual or special meeting of stockholders of the corporation, or any action which may be taken at any annual or special meeting of the stockholders, may be taken without a meeting, without prior notice and without a vote, of a consent in writing, setting forth the action so taken, shall be signed by the holders of outstanding stock having not less than</w:t>
      </w:r>
    </w:p>
    <w:p>
      <w:pPr>
        <w:sectPr>
          <w:pgSz w:w="11900" w:h="16838" w:orient="portrait"/>
          <w:cols w:equalWidth="0" w:num="1">
            <w:col w:w="11400"/>
          </w:cols>
          <w:pgMar w:left="240" w:top="361" w:right="259" w:bottom="0" w:gutter="0" w:footer="0" w:header="0"/>
        </w:sectPr>
      </w:pPr>
    </w:p>
    <w:bookmarkStart w:id="39" w:name="page40"/>
    <w:bookmarkEnd w:id="39"/>
    <w:p>
      <w:pPr>
        <w:spacing w:after="0" w:line="42"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the minimum number of votes that would be necessary to authorize or take such action at a meeting at which notice of the taking of the corporate action without a meeting by less than unanimous written consent shall be given to those stockholders who have not consented in writing.</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231"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SECTION 1. The authorized number of directors of the corporation shall be nine. The number of directors provided in this Section 1 may be changed by a Bylaw duly adopted by the affirmative vote of a majority of the outstanding shares entitled to vote or by a resolution of the Board of Directors.</w:t>
      </w:r>
    </w:p>
    <w:p>
      <w:pPr>
        <w:spacing w:after="0" w:line="139"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SECTION 2. The directors shall be elected at each annual meeting of shareholders, but if any such annual meeting is not held, or the directors are not elected thereat, the directors may be elected at any special meeting of the shareholders held for that purpose. All directors shall hold office until the expiration of the term for which elected and until their respective successors are elected, except in the case of death, resignation or removal of any director. A director need not be a shareholder.</w:t>
      </w:r>
    </w:p>
    <w:p>
      <w:pPr>
        <w:spacing w:after="0" w:line="197" w:lineRule="exact"/>
        <w:rPr>
          <w:sz w:val="20"/>
          <w:szCs w:val="20"/>
          <w:color w:val="auto"/>
        </w:rPr>
      </w:pPr>
    </w:p>
    <w:p>
      <w:pPr>
        <w:jc w:val="both"/>
        <w:ind w:right="460" w:firstLine="351"/>
        <w:spacing w:after="0" w:line="259" w:lineRule="auto"/>
        <w:rPr>
          <w:sz w:val="20"/>
          <w:szCs w:val="20"/>
          <w:color w:val="auto"/>
        </w:rPr>
      </w:pPr>
      <w:r>
        <w:rPr>
          <w:rFonts w:ascii="Arial" w:cs="Arial" w:eastAsia="Arial" w:hAnsi="Arial"/>
          <w:sz w:val="18"/>
          <w:szCs w:val="18"/>
          <w:color w:val="auto"/>
        </w:rPr>
        <w:t>SECTION 3. Any director may resign effective upon giving written notice to the Chairman of the Board, the President, the Secretary or the Board of Directors of the corporation, unless the notice specifies a late time for the effectiveness of such resignation. If the resignation is effective at a future time, a successor may be elected to take office when the resignation becomes effective.</w:t>
      </w:r>
    </w:p>
    <w:p>
      <w:pPr>
        <w:spacing w:after="0" w:line="194"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SECTION 4. The entire Board of Directors or any individual director may be removed from office, prior to the expiration of their or his term of office only in the manner and within the limitations provided by the General Corporation Law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No reduction of the authorized number of directors shall have the effect of removing any director prior to the expiration of such director's term of office.</w:t>
      </w:r>
    </w:p>
    <w:p>
      <w:pPr>
        <w:spacing w:after="0" w:line="248" w:lineRule="exact"/>
        <w:rPr>
          <w:sz w:val="20"/>
          <w:szCs w:val="20"/>
          <w:color w:val="auto"/>
        </w:rPr>
      </w:pPr>
    </w:p>
    <w:p>
      <w:pPr>
        <w:jc w:val="both"/>
        <w:ind w:right="60" w:firstLine="351"/>
        <w:spacing w:after="0" w:line="259" w:lineRule="auto"/>
        <w:rPr>
          <w:sz w:val="20"/>
          <w:szCs w:val="20"/>
          <w:color w:val="auto"/>
        </w:rPr>
      </w:pPr>
      <w:r>
        <w:rPr>
          <w:rFonts w:ascii="Arial" w:cs="Arial" w:eastAsia="Arial" w:hAnsi="Arial"/>
          <w:sz w:val="18"/>
          <w:szCs w:val="18"/>
          <w:color w:val="auto"/>
        </w:rPr>
        <w:t>SECTION 5. A vacancy in the Board of Directors shall be deemed to exist in case of the death, resignation or removal of any director, or if the authorized number of directors be increased, or if the shareholders fail at any annual or special meeting of shareholders at which any director or directors are elected to elect the full authorized number of directors to be voted for at that meeting.</w:t>
      </w:r>
    </w:p>
    <w:p>
      <w:pPr>
        <w:spacing w:after="0" w:line="194" w:lineRule="exact"/>
        <w:rPr>
          <w:sz w:val="20"/>
          <w:szCs w:val="20"/>
          <w:color w:val="auto"/>
        </w:rPr>
      </w:pPr>
    </w:p>
    <w:p>
      <w:pPr>
        <w:jc w:val="both"/>
        <w:ind w:right="360" w:firstLine="348"/>
        <w:spacing w:after="0" w:line="259" w:lineRule="auto"/>
        <w:rPr>
          <w:sz w:val="20"/>
          <w:szCs w:val="20"/>
          <w:color w:val="auto"/>
        </w:rPr>
      </w:pPr>
      <w:r>
        <w:rPr>
          <w:rFonts w:ascii="Arial" w:cs="Arial" w:eastAsia="Arial" w:hAnsi="Arial"/>
          <w:sz w:val="18"/>
          <w:szCs w:val="18"/>
          <w:color w:val="auto"/>
        </w:rPr>
        <w:t>Vacancies in the Board of Directors may be filled by a majority of the directors then in office, whether or not less than a quorum, or by a sole remaining director. Each director so elected shall hold office until the expiration of the term for which he was elected and until his successor is elected at an annual or a special meeting of the shareholders, or until his death, resignation or removal.</w:t>
      </w:r>
    </w:p>
    <w:p>
      <w:pPr>
        <w:spacing w:after="0" w:line="194" w:lineRule="exact"/>
        <w:rPr>
          <w:sz w:val="20"/>
          <w:szCs w:val="20"/>
          <w:color w:val="auto"/>
        </w:rPr>
      </w:pPr>
    </w:p>
    <w:p>
      <w:pPr>
        <w:ind w:right="520" w:firstLine="348"/>
        <w:spacing w:after="0" w:line="268" w:lineRule="auto"/>
        <w:rPr>
          <w:sz w:val="20"/>
          <w:szCs w:val="20"/>
          <w:color w:val="auto"/>
        </w:rPr>
      </w:pPr>
      <w:r>
        <w:rPr>
          <w:rFonts w:ascii="Arial" w:cs="Arial" w:eastAsia="Arial" w:hAnsi="Arial"/>
          <w:sz w:val="18"/>
          <w:szCs w:val="18"/>
          <w:color w:val="auto"/>
        </w:rPr>
        <w:t>The shareholders may elect a director or directors at any time to fill any vacancy or vacancies not filled by the directors. Any such election by written consent shall require the consent of a majority of the outstanding shares entitled to vote.</w:t>
      </w:r>
    </w:p>
    <w:p>
      <w:pPr>
        <w:spacing w:after="0" w:line="186"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SECTION 6. The business of the corporation shall be managed by or under the direction of its Board of Directors which may exercise all such powers of the corporation and do all such lawful acts and things as are not by statute or by the Certificate of Incorporation or these Bylaws directed or required to be exercised or done by the stockholders.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THE BOARD OF DIRECTORS</w:t>
      </w:r>
    </w:p>
    <w:p>
      <w:pPr>
        <w:spacing w:after="0" w:line="231" w:lineRule="exact"/>
        <w:rPr>
          <w:sz w:val="20"/>
          <w:szCs w:val="20"/>
          <w:color w:val="auto"/>
        </w:rPr>
      </w:pPr>
    </w:p>
    <w:p>
      <w:pPr>
        <w:ind w:left="360"/>
        <w:spacing w:after="0"/>
        <w:tabs>
          <w:tab w:leader="none" w:pos="1420" w:val="left"/>
        </w:tabs>
        <w:rPr>
          <w:sz w:val="20"/>
          <w:szCs w:val="20"/>
          <w:color w:val="auto"/>
        </w:rPr>
      </w:pPr>
      <w:r>
        <w:rPr>
          <w:rFonts w:ascii="Arial" w:cs="Arial" w:eastAsia="Arial" w:hAnsi="Arial"/>
          <w:sz w:val="18"/>
          <w:szCs w:val="18"/>
          <w:color w:val="auto"/>
        </w:rPr>
        <w:t>SECTION 7.</w:t>
      </w:r>
      <w:r>
        <w:rPr>
          <w:sz w:val="20"/>
          <w:szCs w:val="20"/>
          <w:color w:val="auto"/>
        </w:rPr>
        <w:tab/>
      </w:r>
      <w:r>
        <w:rPr>
          <w:rFonts w:ascii="Arial" w:cs="Arial" w:eastAsia="Arial" w:hAnsi="Arial"/>
          <w:sz w:val="16"/>
          <w:szCs w:val="16"/>
          <w:color w:val="auto"/>
        </w:rPr>
        <w:t>The Board of Directors of the corporation may hold meetings, both regular and special, either within or without the State of Delaware.</w:t>
      </w:r>
    </w:p>
    <w:p>
      <w:pPr>
        <w:spacing w:after="0" w:line="225" w:lineRule="exact"/>
        <w:rPr>
          <w:sz w:val="20"/>
          <w:szCs w:val="20"/>
          <w:color w:val="auto"/>
        </w:rPr>
      </w:pPr>
    </w:p>
    <w:p>
      <w:pPr>
        <w:ind w:right="160" w:firstLine="351"/>
        <w:spacing w:after="0" w:line="254" w:lineRule="auto"/>
        <w:rPr>
          <w:sz w:val="20"/>
          <w:szCs w:val="20"/>
          <w:color w:val="auto"/>
        </w:rPr>
      </w:pPr>
      <w:r>
        <w:rPr>
          <w:rFonts w:ascii="Arial" w:cs="Arial" w:eastAsia="Arial" w:hAnsi="Arial"/>
          <w:sz w:val="18"/>
          <w:szCs w:val="18"/>
          <w:color w:val="auto"/>
        </w:rPr>
        <w:t>SECTION 8. The first meeting of each newly elected Board of Directors shall be held at such time and place as shall be fixed by the vote of the stockholders at the annual meeting and no notice of such meeting shall be necessary to the newly elected directors in order legally to constitute the meeting, provided a quorum shall be present. In the event of the failure of the stockholders to fix the time or place of such first meeting of the newly elected Board of Directors, or in the event such meeting is not held at the time and place so fixed by the stockholders, the meeting may be held at such time and place as shall be specified in a notice given as hereinafter provided for special meetings of the Board of Directors, or as shall be specified in a written waiver signed by all of the directors.</w:t>
      </w:r>
    </w:p>
    <w:p>
      <w:pPr>
        <w:spacing w:after="0" w:line="198" w:lineRule="exact"/>
        <w:rPr>
          <w:sz w:val="20"/>
          <w:szCs w:val="20"/>
          <w:color w:val="auto"/>
        </w:rPr>
      </w:pPr>
    </w:p>
    <w:p>
      <w:pPr>
        <w:ind w:right="740" w:firstLine="351"/>
        <w:spacing w:after="0" w:line="268" w:lineRule="auto"/>
        <w:rPr>
          <w:sz w:val="20"/>
          <w:szCs w:val="20"/>
          <w:color w:val="auto"/>
        </w:rPr>
      </w:pPr>
      <w:r>
        <w:rPr>
          <w:rFonts w:ascii="Arial" w:cs="Arial" w:eastAsia="Arial" w:hAnsi="Arial"/>
          <w:sz w:val="18"/>
          <w:szCs w:val="18"/>
          <w:color w:val="auto"/>
        </w:rPr>
        <w:t>SECTION 9. Regular meetings of the Board of Directors may be held without notice at such time and at such place as shall from time to time be determined by the Board.</w:t>
      </w:r>
    </w:p>
    <w:p>
      <w:pPr>
        <w:spacing w:after="0" w:line="186"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SECTION 10. Special meetings of the Board may be called by the president on two days' notice to each director, either personally or by mail or by telegram; special meetings shall be called by the president or secretary in like manner and on like notice on the written request of the Chairman of the Board or two directors.</w:t>
      </w:r>
    </w:p>
    <w:p>
      <w:pPr>
        <w:spacing w:after="0" w:line="194"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color w:val="auto"/>
        </w:rPr>
        <w:t>SECTION 11. At all meetings of the Board a majority of the authorized number of directors shall constitute a quorum for the transaction of business and the act of a majority of the directors present at any meeting at which there is a quorum shall be the act of the Board of Directors, except as may be otherwise specifically provided by statute or by the Certificate of Incorporation. If a quorum shall not be present at any meeting of the Board of Directors, the directors present thereat may adjourn the meeting from time to time, without notice other than announcement at the meeting, until a quorum shall be present.</w:t>
      </w:r>
    </w:p>
    <w:p>
      <w:pPr>
        <w:spacing w:after="0" w:line="167"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SECTION 12. Unless otherwise restricted by the Certificate of Incorporation or these Bylaws, any action required or permitted to be taken at any meeting of the Board of Directors or of any committee thereof may be taken without a meeting, if all members of the Board or committee, as the case may be, consent thereto in writing, and the writing or writings are filed with the minutes of proceedings of the Board or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105410</wp:posOffset>
            </wp:positionV>
            <wp:extent cx="7250430" cy="215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color w:val="auto"/>
        </w:rPr>
        <w:t>SECTION 13. Unless otherwise restricted by the Certificate of Incorporation or these Bylaws, members of the Board of Directors, or any committee designated by the Board of Directors, may participate in a meeting of the Board of Directors, or any committee, by means of conference telephone or similar communications equipment by means of which all persons participating in the meeting can hear each other, and such participation in a meeting shall constitute presence in person at the meeting.</w:t>
      </w:r>
    </w:p>
    <w:p>
      <w:pPr>
        <w:sectPr>
          <w:pgSz w:w="11900" w:h="16881" w:orient="portrait"/>
          <w:cols w:equalWidth="0" w:num="1">
            <w:col w:w="11380"/>
          </w:cols>
          <w:pgMar w:left="240" w:top="131" w:right="279" w:bottom="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COMMITTEES OF DIRECTORS</w:t>
      </w:r>
    </w:p>
    <w:p>
      <w:pPr>
        <w:spacing w:after="0" w:line="231"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color w:val="auto"/>
        </w:rPr>
        <w:t>SECTION 14. The Board of Directors may, by resolution passed by a majority of the authorized number of directors, appoint an executive committee consisting of two or more of the directors of the corporation. The Board may designate one or more directors as alternate members of any committee, who may replace any absent or disqualified member at any meeting of the committee. The executive committee, to the extent provided in the resolution of the Board of Directors and subject to any limitation by statute, shall have and may exercise all the powers and authority of the Board of Directors in the management of the business and affairs of the corporation, and may authorize the seal of the corporation to be affixed to all papers which may require it; but it shall not have the power or authority in reference to amending the Certificate of Incorporation, adopting an agreement of merger or consolidation, recommending to the stockholders the sale, lease or exchange of all or substantially all the corporation's property and assets, recommending to the stockholders a dissolution of the corporation or a revocation of a dissolution, or amending the Bylaws of the corporation; and, unless the resolution or the Certificate of Incorporation expressly so provide, it shall not have the power or authority to declare a dividend or to authorize the issuance of stock.</w:t>
      </w:r>
    </w:p>
    <w:p>
      <w:pPr>
        <w:spacing w:after="0" w:line="174"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SECTION 15. The Board of Directors may, by resolution adopted by a majority of the authorized number of directors, designate such other committees, each consisting of 2 or more directors, as it may from time to time deem advisable to perform such general or special duties as may from time to time be delegated to any such committee by the Board of Directors, subject to the limitations imposed by statute or by the Certificate of Incorporation or by these Bylaws. The Board may designate one or more directors as alternate members of any committee, who may replace any absent member at any meeting of the committee.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231"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SECTION 17. Unless otherwise restricted by the Certificate of Incorporation or these Bylaws, the Board of Directors shall have the authority to fix the compensation of directors. The directors may be paid their expenses, if any, of attendance of each meeting of the Board of Directors and may be paid a fixed sum for attendance at each meeting of the Board of Directors or a stated salary as director. No such payment shall preclude any director from serving the corporation in any other capacity and receiving compensation therefor. Members of special or standing committees may be allowed like compensation for attending committee meetings.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231"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SECTION 1. Whenever, under the provisions of the statutes or of the Certificate of Incorporation or of these Bylaws, notice is required to be given to any director or stockholder, it shall not be construed to mean personal notice, but such notice may be given in writing, by mail, addressed to such director or stockholder, at his address as it appears on the records of the corporation, with postage thereon prepaid, and such notice shall be deemed to be given at the time when the same shall be deposited in the United States mail. Notice to directors may also be given by telegram.</w:t>
      </w:r>
    </w:p>
    <w:p>
      <w:pPr>
        <w:spacing w:after="0" w:line="167"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color w:val="auto"/>
        </w:rPr>
        <w:t>SECTION 2. Whenever any notice is required to be given under the provisions of the Delaware statutes or of the Certificate of Incorporation or of these Bylaws, a waiver thereof in writing, signed by the person or persons entitled to said notice, whether before or after the time stated therein, shall be deemed equivalent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50430" cy="215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OFFICERS</w:t>
      </w:r>
    </w:p>
    <w:p>
      <w:pPr>
        <w:spacing w:after="0" w:line="231"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SECTION 1. The officers of the corporation shall be chosen by the Board of Directors, and shall be a president, a vice-president, a secretary, and a treasurer. The Board of Directors may also choose additional vice-presidents, and one or more assistant secretaries and assistant treasurers. Any number of offices may be held by the same person, unless the Certificate of Incorporation or these Bylaws otherwise provide.</w:t>
      </w:r>
    </w:p>
    <w:p>
      <w:pPr>
        <w:spacing w:after="0" w:line="161"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SECTION 2. The Board of Directors at its first meeting after each annual meeting of stockholders shall choose a president, one or more vice-presidents, a secretary and a treasurer.</w:t>
      </w:r>
    </w:p>
    <w:p>
      <w:pPr>
        <w:spacing w:after="0" w:line="186"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SECTION 3. The Board of Directors may appoint such other officers and agents as it shall deem necessary who shall hold their offices for such terms and shall exercise such powers and perform such duties as shall be determined from time to time by the Board.</w:t>
      </w:r>
    </w:p>
    <w:p>
      <w:pPr>
        <w:spacing w:after="0" w:line="186" w:lineRule="exact"/>
        <w:rPr>
          <w:sz w:val="20"/>
          <w:szCs w:val="20"/>
          <w:color w:val="auto"/>
        </w:rPr>
      </w:pPr>
    </w:p>
    <w:p>
      <w:pPr>
        <w:ind w:left="360"/>
        <w:spacing w:after="0"/>
        <w:tabs>
          <w:tab w:leader="none" w:pos="142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6"/>
          <w:szCs w:val="16"/>
          <w:color w:val="auto"/>
        </w:rPr>
        <w:t>The salaries of all officers and agents of the corporation shall be fixed by the Board of Directors.</w:t>
      </w:r>
    </w:p>
    <w:p>
      <w:pPr>
        <w:spacing w:after="0" w:line="225" w:lineRule="exact"/>
        <w:rPr>
          <w:sz w:val="20"/>
          <w:szCs w:val="20"/>
          <w:color w:val="auto"/>
        </w:rPr>
      </w:pPr>
    </w:p>
    <w:p>
      <w:pPr>
        <w:jc w:val="both"/>
        <w:ind w:right="180" w:firstLine="351"/>
        <w:spacing w:after="0" w:line="259" w:lineRule="auto"/>
        <w:rPr>
          <w:sz w:val="20"/>
          <w:szCs w:val="20"/>
          <w:color w:val="auto"/>
        </w:rPr>
      </w:pPr>
      <w:r>
        <w:rPr>
          <w:rFonts w:ascii="Arial" w:cs="Arial" w:eastAsia="Arial" w:hAnsi="Arial"/>
          <w:sz w:val="18"/>
          <w:szCs w:val="18"/>
          <w:color w:val="auto"/>
        </w:rPr>
        <w:t>SECTION 5. The officers of the corporation shall hold office until their successors are chosen and qualify. Any officer elected or appointed by the Board of Directors may be removed at any time by the affirmative vote of a majority of the Board of Directors. Any vacancy occurring in any office of the corporation shall be filled by the Board of Directors.</w:t>
      </w:r>
    </w:p>
    <w:p>
      <w:pPr>
        <w:spacing w:after="0" w:line="194" w:lineRule="exact"/>
        <w:rPr>
          <w:sz w:val="20"/>
          <w:szCs w:val="20"/>
          <w:color w:val="auto"/>
        </w:rPr>
      </w:pPr>
    </w:p>
    <w:p>
      <w:pPr>
        <w:ind w:right="100" w:firstLine="341"/>
        <w:spacing w:after="0" w:line="332" w:lineRule="auto"/>
        <w:rPr>
          <w:sz w:val="20"/>
          <w:szCs w:val="20"/>
          <w:color w:val="auto"/>
        </w:rPr>
      </w:pPr>
      <w:r>
        <w:rPr>
          <w:rFonts w:ascii="Arial" w:cs="Arial" w:eastAsia="Arial" w:hAnsi="Arial"/>
          <w:sz w:val="16"/>
          <w:szCs w:val="16"/>
          <w:color w:val="auto"/>
        </w:rPr>
        <w:t>Any officer may resign at any time by giving written notice to the corporation. Any such resignation shall take effect at the date of the receipt of such notice or at any later time specified therein; and, unless otherwise specified therein, the acceptance of such resignation shall not be necessary to make it effective.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CHAIRMAN OF THE BOARD</w:t>
      </w:r>
    </w:p>
    <w:p>
      <w:pPr>
        <w:spacing w:after="0" w:line="231"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color w:val="auto"/>
        </w:rPr>
        <w:t>SECTION 6. The Chairman of the Board, if there shall be such an officer, shall, if present, preside at all meetings of the Board of Directors, and exercise and perform such other powers and duties as may be from time to time assigned to him by the Board of Directors or prescribed by these Bylaws.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PRESIDENT</w:t>
      </w:r>
    </w:p>
    <w:p>
      <w:pPr>
        <w:spacing w:after="0" w:line="231"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SECTION 7. Subject to such supervisory powers, if any, as may be given by the Board of Directors to the Chairman of the Board, if there be such an officer, the President shall be the general manager of the corporation and shall, subject to the control of the Board of Directors, have general supervision, direction, and control of the business and officers of the corporation. He shall preside at all meetings of the shareholders and in the absence of the Chairman of the</w:t>
      </w:r>
    </w:p>
    <w:p>
      <w:pPr>
        <w:sectPr>
          <w:pgSz w:w="11900" w:h="16838" w:orient="portrait"/>
          <w:cols w:equalWidth="0" w:num="1">
            <w:col w:w="11420"/>
          </w:cols>
          <w:pgMar w:left="240" w:top="125" w:right="239" w:bottom="0" w:gutter="0" w:footer="0" w:header="0"/>
        </w:sectPr>
      </w:pPr>
    </w:p>
    <w:bookmarkStart w:id="41" w:name="page42"/>
    <w:bookmarkEnd w:id="41"/>
    <w:p>
      <w:pPr>
        <w:spacing w:after="0" w:line="25" w:lineRule="exact"/>
        <w:rPr>
          <w:sz w:val="20"/>
          <w:szCs w:val="20"/>
          <w:color w:val="auto"/>
        </w:rPr>
      </w:pPr>
    </w:p>
    <w:p>
      <w:pPr>
        <w:ind w:right="380"/>
        <w:spacing w:after="0" w:line="306" w:lineRule="auto"/>
        <w:rPr>
          <w:sz w:val="20"/>
          <w:szCs w:val="20"/>
          <w:color w:val="auto"/>
        </w:rPr>
      </w:pPr>
      <w:r>
        <w:rPr>
          <w:rFonts w:ascii="Arial" w:cs="Arial" w:eastAsia="Arial" w:hAnsi="Arial"/>
          <w:sz w:val="16"/>
          <w:szCs w:val="16"/>
          <w:color w:val="auto"/>
        </w:rPr>
        <w:t>Board or if there be none, at all meetings of the Board of Directors. He shall be ex officio a member of all the standing committees, including the executive committee, if any, and shall have the general powers and duties of management usually vested in the office of president of a corporation, and shall have such other powers and duties as may be prescribed by the Board of Directors or by these Bylaws.</w:t>
      </w:r>
    </w:p>
    <w:p>
      <w:pPr>
        <w:spacing w:after="0" w:line="161"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SECTION 8. He shall execute bonds, mortgages and other contracts requiring a seal, under the seal of the corporation, except where required or permitted by law to be otherwise signed and executed and except where the signing and execution thereof shall be expressly delegated by the Board of Directors to some other officer or agent of the corporation.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VICE-PRESIDENTS</w:t>
      </w:r>
    </w:p>
    <w:p>
      <w:pPr>
        <w:spacing w:after="0" w:line="231"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SECTION 9. In the absence of the president or in the event of his inability or refusal to act, the vice president (or in the event there be more than one vice president, the vice-presidents in the order designated by the directors, or in the absence of any designation, then in the order of their 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91440</wp:posOffset>
            </wp:positionV>
            <wp:extent cx="7250430" cy="215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62" w:lineRule="exact"/>
        <w:rPr>
          <w:sz w:val="20"/>
          <w:szCs w:val="20"/>
          <w:color w:val="auto"/>
        </w:rPr>
      </w:pPr>
    </w:p>
    <w:p>
      <w:pPr>
        <w:ind w:right="520"/>
        <w:spacing w:after="0" w:line="332" w:lineRule="auto"/>
        <w:rPr>
          <w:sz w:val="20"/>
          <w:szCs w:val="20"/>
          <w:color w:val="auto"/>
        </w:rPr>
      </w:pPr>
      <w:r>
        <w:rPr>
          <w:rFonts w:ascii="Arial" w:cs="Arial" w:eastAsia="Arial" w:hAnsi="Arial"/>
          <w:sz w:val="16"/>
          <w:szCs w:val="16"/>
          <w:color w:val="auto"/>
        </w:rPr>
        <w:t>shall perform the duties of the president, and when so acting, shall have all the powers of and be subject to all the restrictions upon the president. The vice-presidents shall perform such other duties and have such other powers as the Board of Directors may from time to time prescribe.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SECRETARY AND ASSISTANT SECRETARY</w:t>
      </w:r>
    </w:p>
    <w:p>
      <w:pPr>
        <w:spacing w:after="0" w:line="231"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SECTION 10. The Secretary shall attend all meetings of the Board of Directors and all meetings of the stockholders and record all the proceedings of the meetings of the corporation and of the Board of Directors in a book to be kept for that purpose and shall perform like duties for the standing committees when required. He shall give, or cause to be given, notice of all meetings of the stockholders and special meetings of the Board of Directors, and shall perform such other duties as may be prescribed by the Board of Directors or president, under whose supervision he shall be placed. He shall have custody of the corporate seal of the corporation and he, or an assistant secretary, shall have authority to affix the same to any instrument requiring it and when so affixed, it may be attested by his signature or by the signature of such assistant secretary. The Board of Directors may give general authority to any other officer to affix the seal of the corporation and to attest the affixing by his signature.</w:t>
      </w:r>
    </w:p>
    <w:p>
      <w:pPr>
        <w:spacing w:after="0" w:line="172"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SECTION 11. The assistant secretary, or if there be more than one, the assistant secretaries in the order determined by the Board of Directors (or if there be no such determination, then in the order of their election) shall, in the absence of the secretary or in the event of his inability or refusal to act, perform the duties and exercise the powers of the secretary and shall perform such other duties and have such other powers as the Board of Directors may from time to time prescribe.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TREASURER AND ASSISTANT TREASURERS</w:t>
      </w:r>
    </w:p>
    <w:p>
      <w:pPr>
        <w:spacing w:after="0" w:line="231" w:lineRule="exact"/>
        <w:rPr>
          <w:sz w:val="20"/>
          <w:szCs w:val="20"/>
          <w:color w:val="auto"/>
        </w:rPr>
      </w:pPr>
    </w:p>
    <w:p>
      <w:pPr>
        <w:ind w:right="300" w:firstLine="351"/>
        <w:spacing w:after="0" w:line="259" w:lineRule="auto"/>
        <w:rPr>
          <w:sz w:val="20"/>
          <w:szCs w:val="20"/>
          <w:color w:val="auto"/>
        </w:rPr>
      </w:pPr>
      <w:r>
        <w:rPr>
          <w:rFonts w:ascii="Arial" w:cs="Arial" w:eastAsia="Arial" w:hAnsi="Arial"/>
          <w:sz w:val="18"/>
          <w:szCs w:val="18"/>
          <w:color w:val="auto"/>
        </w:rPr>
        <w:t>SECTION 12. The treasurer shall have the custody of the corporate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w:t>
      </w:r>
    </w:p>
    <w:p>
      <w:pPr>
        <w:spacing w:after="0" w:line="194"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SECTION 13. He shall disburse the funds of the corporation as may be ordered by the Board of Directors, taking proper vouchers for such disbursements, and shall render to the president and the Board of Directors, at its regular meetings, or when the Board of Directors so requires, an account of all his transactions as treasurer and of the financial condition of the corporation.</w:t>
      </w:r>
    </w:p>
    <w:p>
      <w:pPr>
        <w:spacing w:after="0" w:line="194"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SECTION 14. If required by the Board of Directors, he shall give the corporation a bond (which shall be renewed every six years) in such sum and with such surety or sureties as shall be satisfactory to the Board of Directors for the faithful performance of the duties of his office and for the restoration to the corporation, in case of his death, resignation, retirement or removal from office, of all books, papers, vouchers, money and other property of whatever kind in his possession or under his control belonging to the corporation.</w:t>
      </w:r>
    </w:p>
    <w:p>
      <w:pPr>
        <w:spacing w:after="0" w:line="197"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SECTION 15. If the assistant treasurer, or if there shall be more than one, the assistant treasurers in the order determined by the Board of Directors (or if there be no such determination, then in the order of their election) shall, in the absence of the treasurer or in the event of his inability or refusal to act, perform the duties and exercise the powers of the treasurer and shall perform such other duties and have such other powers as the Board of Directors may from time to time prescribe.</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CERTIFICATE OF STOCK</w:t>
      </w:r>
    </w:p>
    <w:p>
      <w:pPr>
        <w:spacing w:after="0" w:line="231"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color w:val="auto"/>
        </w:rPr>
        <w:t>SECTION 1. Every holder of stock in the corporation shall be entitled to have a certificate, signed by, or in the name of the corporation by, the chairman or vice chairman of the Board of Directors, or the president or a vice president and the treasurer or an assistant treasurer, or the secretary or an assistant secretary of the corporation, certifying the number of shares owned by him in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50430" cy="2159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Certificates may be issued for partly paid shares and in such case upon the face or back of the certificates issued to represent any such partly paid shares, the total amount of the consideration to be paid therefor, and the amount paid thereon shall be specified.</w:t>
      </w:r>
    </w:p>
    <w:p>
      <w:pPr>
        <w:spacing w:after="0" w:line="186" w:lineRule="exact"/>
        <w:rPr>
          <w:sz w:val="20"/>
          <w:szCs w:val="20"/>
          <w:color w:val="auto"/>
        </w:rPr>
      </w:pPr>
    </w:p>
    <w:p>
      <w:pPr>
        <w:ind w:right="180" w:firstLine="351"/>
        <w:spacing w:after="0" w:line="312" w:lineRule="auto"/>
        <w:rPr>
          <w:sz w:val="20"/>
          <w:szCs w:val="20"/>
          <w:color w:val="auto"/>
        </w:rPr>
      </w:pPr>
      <w:r>
        <w:rPr>
          <w:rFonts w:ascii="Arial" w:cs="Arial" w:eastAsia="Arial" w:hAnsi="Arial"/>
          <w:sz w:val="15"/>
          <w:szCs w:val="15"/>
          <w:color w:val="auto"/>
        </w:rPr>
        <w:t>If the corporation shall be authorized to issue more than one class of stock or more than one series of any class, the powers, designations, preferences and relative, participating, optional or other special rights of each class of stock or series thereof and the qualification, limitations or restrictions of such preferences and/or rights shall be set forth in full or summarized on the face or back of the certificate which the corporation shall issue to represent such class or series of stock, provided that, except as otherwise provided in section 202 of the General Corporation Law of Delaware, in lieu of the foregoing requirements, there may be set forth on the face of back of the certificate which the corporation shall issue to represent such class or series of stock,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spacing w:after="0" w:line="159" w:lineRule="exact"/>
        <w:rPr>
          <w:sz w:val="20"/>
          <w:szCs w:val="20"/>
          <w:color w:val="auto"/>
        </w:rPr>
      </w:pPr>
    </w:p>
    <w:p>
      <w:pPr>
        <w:ind w:right="180" w:firstLine="351"/>
        <w:spacing w:after="0" w:line="306" w:lineRule="auto"/>
        <w:rPr>
          <w:sz w:val="20"/>
          <w:szCs w:val="20"/>
          <w:color w:val="auto"/>
        </w:rPr>
      </w:pPr>
      <w:r>
        <w:rPr>
          <w:rFonts w:ascii="Arial" w:cs="Arial" w:eastAsia="Arial" w:hAnsi="Arial"/>
          <w:sz w:val="16"/>
          <w:szCs w:val="16"/>
          <w:color w:val="auto"/>
        </w:rPr>
        <w:t>SECTION 2. Any or all of the signatures on the certificate may be facsimile. In case any officer, transfer agent or registrar who has signed or whose facsimile signature have been placed upon a certificate shall have ceased to be such officer, transfer agent or registrar before such certificate is issued, it may be issued by the corporation with the same effect as if he were such officer, transfer agent or registrar at the date of issue.</w:t>
      </w:r>
    </w:p>
    <w:p>
      <w:pPr>
        <w:sectPr>
          <w:pgSz w:w="11900" w:h="16864" w:orient="portrait"/>
          <w:cols w:equalWidth="0" w:num="1">
            <w:col w:w="11400"/>
          </w:cols>
          <w:pgMar w:left="240" w:top="131" w:right="259" w:bottom="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LOST CERTIFICATES</w:t>
      </w:r>
    </w:p>
    <w:p>
      <w:pPr>
        <w:spacing w:after="0" w:line="231"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SECTION 3. The Board of Directors may direct a new certificate or certificates to be issued in place of any certificate or certificates theretofore issues by the corporation alleged to have been lost, stolen or destroyed, upon the making of an affidavit to that fact by the person claiming the certificate of stock to be lost, stolen or destroyed. When authorizing such issue of a new certificate or certificates, the Board of Directors may, in its discretion and as a condition precedent to the issuance thereof, require the owner of such lost, stolen or destroyed certificate or certificates, or his legal representative, to advertise the same in such manner as it shall require and/or to give the corporation a bond in such sum as it may direct as indemnity against any claim that may be made against the corporation with respect to the certificate alleged to have been lost, stolen or destroyed.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STOCK</w:t>
      </w:r>
    </w:p>
    <w:p>
      <w:pPr>
        <w:spacing w:after="0" w:line="231"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SECTION 4. Upon surrender to the corporation or the transfer agent of the corporation of a certificate for shares duly endorsed or accompanied by proper evidence of succession, assignation or authority to transfer, it shall be the duty of the corporation to issue a new certificate to the person entitled thereto, cancel the old certificate and record the transaction upon its books.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FIXING RECORD DATE</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SECTION 5. In order that the corporation may determine the stockholders entitled to notice of or to vote at any meeting of stockholders or any adjournment thereof, or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be more than sixty nor less than ten days before the date of such meeting, nor more than sixty days prior to any such other action. A determination of shareholders of record entitled to notice of or to vote at a meeting of stockholders shall apply to any adjournment of the meeting; provided, however, that the Board of Directors may fix a new record date for the adjourned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113665</wp:posOffset>
            </wp:positionV>
            <wp:extent cx="7250430" cy="2159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REGISTERED STOCKHOLDERS</w:t>
      </w:r>
    </w:p>
    <w:p>
      <w:pPr>
        <w:spacing w:after="0" w:line="231"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SECTION 6. 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197" w:lineRule="exact"/>
        <w:rPr>
          <w:sz w:val="20"/>
          <w:szCs w:val="20"/>
          <w:color w:val="auto"/>
        </w:rPr>
      </w:pPr>
    </w:p>
    <w:p>
      <w:pPr>
        <w:ind w:right="160" w:firstLine="351"/>
        <w:spacing w:after="0" w:line="291" w:lineRule="auto"/>
        <w:rPr>
          <w:sz w:val="20"/>
          <w:szCs w:val="20"/>
          <w:color w:val="auto"/>
        </w:rPr>
      </w:pPr>
      <w:r>
        <w:rPr>
          <w:rFonts w:ascii="Arial" w:cs="Arial" w:eastAsia="Arial" w:hAnsi="Arial"/>
          <w:sz w:val="16"/>
          <w:szCs w:val="16"/>
          <w:color w:val="auto"/>
        </w:rPr>
        <w:t>SECTION 7. The accounting books and records, and minutes of proceedings of the shareholders and the Board of Directors and committees of the Board shall be open to inspection upon written demand made upon the corporation by any shareholder or the holder of a voting trust certificate, at any reasonable time during usual business hours, for a purpose reasonably related to his interest as a shareholder, or as the holder of such voting trust certificate. The record of shareholders shall also be open to inspection by any shareholder or holder of a voting trust certificate at any time during usual business hours upon written demand on the corporation, for a purpose reasonably related to such holder's interest as a shareholder or holder of a voting trust certificate. Such inspection may be made in person or by an agent or attorney, and shall include the right to copy and to make extracts.</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PROVISIONS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SECTION 1. Dividends upon the capital stock of the corporation, subject to the provision of the Certificate of Incorporation, if any, may be declared by the Board of Directors at any regular or special meeting, pursuant to law. Dividends may be paid in cash, in property, or in shares of the capital stock, subject to the provisions of the Certificate of Incorporation.</w:t>
      </w:r>
    </w:p>
    <w:p>
      <w:pPr>
        <w:spacing w:after="0" w:line="194"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SECTION 2. Before payment of any dividend, there may be set aside out of funds of the corporation available for dividends such sum or sums as the directors from time to time, in their absolute discretion, think proper as a reserve or reserves to meet contingencies, or for equalizing dividends, or for repairing or maintaining any property of the corporation, or for such other purpose as the directors shall think conducive to the interest of the corporation, and the directors may modify or abolish any such reserve in the manner in which it was created.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CHECKS</w:t>
      </w:r>
    </w:p>
    <w:p>
      <w:pPr>
        <w:spacing w:after="0" w:line="231"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SECTION 3. All checks or demands for money and notes of the corporation shall be signed by such officer or officers or such other person or persons as the Board of Directors may from time to time designate.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w:t>
      </w:r>
    </w:p>
    <w:p>
      <w:pPr>
        <w:spacing w:after="0" w:line="231" w:lineRule="exact"/>
        <w:rPr>
          <w:sz w:val="20"/>
          <w:szCs w:val="20"/>
          <w:color w:val="auto"/>
        </w:rPr>
      </w:pPr>
    </w:p>
    <w:p>
      <w:pPr>
        <w:ind w:left="360"/>
        <w:spacing w:after="0"/>
        <w:tabs>
          <w:tab w:leader="none" w:pos="142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6"/>
          <w:szCs w:val="16"/>
          <w:color w:val="auto"/>
        </w:rPr>
        <w:t>The fiscal year of the corporation shall be fixed by resolution of the Board of Directors.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SEAL</w:t>
      </w:r>
    </w:p>
    <w:p>
      <w:pPr>
        <w:spacing w:after="0" w:line="231" w:lineRule="exact"/>
        <w:rPr>
          <w:sz w:val="20"/>
          <w:szCs w:val="20"/>
          <w:color w:val="auto"/>
        </w:rPr>
      </w:pPr>
    </w:p>
    <w:p>
      <w:pPr>
        <w:ind w:right="460" w:firstLine="351"/>
        <w:spacing w:after="0" w:line="332" w:lineRule="auto"/>
        <w:rPr>
          <w:sz w:val="20"/>
          <w:szCs w:val="20"/>
          <w:color w:val="auto"/>
        </w:rPr>
      </w:pPr>
      <w:r>
        <w:rPr>
          <w:rFonts w:ascii="Arial" w:cs="Arial" w:eastAsia="Arial" w:hAnsi="Arial"/>
          <w:sz w:val="16"/>
          <w:szCs w:val="16"/>
          <w:color w:val="auto"/>
        </w:rPr>
        <w:t>SECTION 5. The corporate seal shall have inscribed thereon the name of the corporation, the year of its organization and the words "Corporate Seal, Delaware." The seal may be used by causing it or a facsimile thereof to be impressed or affixed or reproduced or otherwise.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31"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SECTION 6. The corporation shall indemnify its officers, directors, employees and agents to the extent permitted by the General Corporation Law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311"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SECTION 1. These Bylaws may be altered, amended or repealed or new Bylaws may be adopted by the stockholders or by the Board of Directors at any regular meeting of the stockholders or of the Board of Directors or at any special meeting of the stockholders or the Board of Directors if notice of such alteration, amendment, repeal or adoption of new Bylaws be contained in the notice of such special meeting. If the power to adopt, amend or repeal Bylaws is conferred upon the Board of Directors by the Certificate of Incorporation it shall not divest or limit the power of the stockholders to adopt, amend or repeal Bylaws.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 Nancy A. Stanger, the secretary of Micron Technology, Inc., a Delaware corporation, hereby certify: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foregoing bylaws, comprising 14 pages, were adopted as the bylaws of Micron Technology on May 21, 1984.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May 25, 1984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NANCY A. STANGER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Nancy A. Stanger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CERTIFICATE OF FIRST AMENDMENT</w:t>
      </w:r>
    </w:p>
    <w:p>
      <w:pPr>
        <w:spacing w:after="0" w:line="21"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TO THE BYLAWS OF</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MICRON TECHNOLOGY, INC.</w:t>
      </w:r>
    </w:p>
    <w:p>
      <w:pPr>
        <w:spacing w:after="0" w:line="219"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We, the undersigned, being the President and Secretary, respectively, of MICRON TECHNOLOGY, INC., a corporation organized and existing under the laws of the State of Delaware, do hereby certify that a meeting of the Board of Directors of this Corporation was held on December 17, 1984 and an amendment to the Bylaws of MICRON TECHNOLOGY, INC. was unanimously adopted.</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amendment adopted was pursuant to a Resolution reading as follows:</w:t>
      </w:r>
    </w:p>
    <w:p>
      <w:pPr>
        <w:spacing w:after="0" w:line="225" w:lineRule="exact"/>
        <w:rPr>
          <w:sz w:val="20"/>
          <w:szCs w:val="20"/>
          <w:color w:val="auto"/>
        </w:rPr>
      </w:pPr>
    </w:p>
    <w:p>
      <w:pPr>
        <w:ind w:left="360"/>
        <w:spacing w:after="0"/>
        <w:tabs>
          <w:tab w:leader="none" w:pos="1460" w:val="left"/>
        </w:tabs>
        <w:rPr>
          <w:sz w:val="20"/>
          <w:szCs w:val="20"/>
          <w:color w:val="auto"/>
        </w:rPr>
      </w:pPr>
      <w:r>
        <w:rPr>
          <w:rFonts w:ascii="Arial" w:cs="Arial" w:eastAsia="Arial" w:hAnsi="Arial"/>
          <w:sz w:val="18"/>
          <w:szCs w:val="18"/>
          <w:color w:val="auto"/>
        </w:rPr>
        <w:t>RESOLVED:</w:t>
      </w:r>
      <w:r>
        <w:rPr>
          <w:sz w:val="20"/>
          <w:szCs w:val="20"/>
          <w:color w:val="auto"/>
        </w:rPr>
        <w:tab/>
      </w:r>
      <w:r>
        <w:rPr>
          <w:rFonts w:ascii="Arial" w:cs="Arial" w:eastAsia="Arial" w:hAnsi="Arial"/>
          <w:sz w:val="15"/>
          <w:szCs w:val="15"/>
          <w:color w:val="auto"/>
        </w:rPr>
        <w:t>The Board hereby approves that the second paragraph of Article II Section 10 of the Bylaws of the Company be amended to read as follows:</w:t>
      </w:r>
    </w:p>
    <w:p>
      <w:pPr>
        <w:spacing w:after="0" w:line="225"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"At all elections of directors of the corporation each stockholder having voting power shall be entitled to exercise the right of cumulative voting as provided in the Certificate of Incorporation. However, no stockholder shall be entitled to cumulate votes for a candidate or candidates unless such candidate's name or candidate's names have been placed in nomination prior to the voting and a stockholder has given notice at the meeting prior to the voting of the stockholder's intention to cumulate votes. If any stockholder has given such notice, all stockholders may cumulate their votes for candidates in nomination."</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WITNESS WHEREOF, we have hereunto set our hands and the seal of the Corporation this 5th day of July, 1985.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JOSEPH L. PARKINSON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Joseph L. Parkinson, President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CATHY L. SMITH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Cathy L. Smith, Secretary</w:t>
      </w:r>
    </w:p>
    <w:p>
      <w:pPr>
        <w:spacing w:after="0" w:line="219" w:lineRule="exact"/>
        <w:rPr>
          <w:sz w:val="20"/>
          <w:szCs w:val="20"/>
          <w:color w:val="auto"/>
        </w:rPr>
      </w:pPr>
    </w:p>
    <w:p>
      <w:pPr>
        <w:spacing w:after="0"/>
        <w:tabs>
          <w:tab w:leader="none" w:pos="2400" w:val="left"/>
        </w:tabs>
        <w:rPr>
          <w:sz w:val="20"/>
          <w:szCs w:val="20"/>
          <w:color w:val="auto"/>
        </w:rPr>
      </w:pPr>
      <w:r>
        <w:rPr>
          <w:rFonts w:ascii="Arial" w:cs="Arial" w:eastAsia="Arial" w:hAnsi="Arial"/>
          <w:sz w:val="18"/>
          <w:szCs w:val="18"/>
          <w:color w:val="auto"/>
        </w:rPr>
        <w:t>STATE OF IDAHO</w:t>
      </w:r>
      <w:r>
        <w:rPr>
          <w:sz w:val="20"/>
          <w:szCs w:val="20"/>
          <w:color w:val="auto"/>
        </w:rPr>
        <w:tab/>
      </w:r>
      <w:r>
        <w:rPr>
          <w:rFonts w:ascii="Arial" w:cs="Arial" w:eastAsia="Arial" w:hAnsi="Arial"/>
          <w:sz w:val="18"/>
          <w:szCs w:val="18"/>
          <w:color w:val="auto"/>
        </w:rPr>
        <w:t>)</w:t>
      </w:r>
    </w:p>
    <w:p>
      <w:pPr>
        <w:spacing w:after="0" w:line="15" w:lineRule="exact"/>
        <w:rPr>
          <w:sz w:val="20"/>
          <w:szCs w:val="20"/>
          <w:color w:val="auto"/>
        </w:rPr>
      </w:pPr>
    </w:p>
    <w:p>
      <w:pPr>
        <w:ind w:left="2660" w:hanging="248"/>
        <w:spacing w:after="0"/>
        <w:tabs>
          <w:tab w:leader="none" w:pos="2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ss.</w:t>
      </w:r>
    </w:p>
    <w:p>
      <w:pPr>
        <w:spacing w:after="0" w:line="9" w:lineRule="exact"/>
        <w:rPr>
          <w:sz w:val="20"/>
          <w:szCs w:val="20"/>
          <w:color w:val="auto"/>
        </w:rPr>
      </w:pPr>
    </w:p>
    <w:p>
      <w:pPr>
        <w:spacing w:after="0"/>
        <w:tabs>
          <w:tab w:leader="none" w:pos="2400" w:val="left"/>
        </w:tabs>
        <w:rPr>
          <w:sz w:val="20"/>
          <w:szCs w:val="20"/>
          <w:color w:val="auto"/>
        </w:rPr>
      </w:pPr>
      <w:r>
        <w:rPr>
          <w:rFonts w:ascii="Arial" w:cs="Arial" w:eastAsia="Arial" w:hAnsi="Arial"/>
          <w:sz w:val="18"/>
          <w:szCs w:val="18"/>
          <w:color w:val="auto"/>
        </w:rPr>
        <w:t>County of Ada</w:t>
      </w:r>
      <w:r>
        <w:rPr>
          <w:sz w:val="20"/>
          <w:szCs w:val="20"/>
          <w:color w:val="auto"/>
        </w:rPr>
        <w:tab/>
      </w:r>
      <w:r>
        <w:rPr>
          <w:rFonts w:ascii="Arial" w:cs="Arial" w:eastAsia="Arial" w:hAnsi="Arial"/>
          <w:sz w:val="18"/>
          <w:szCs w:val="18"/>
          <w:color w:val="auto"/>
        </w:rPr>
        <w:t>)</w:t>
      </w:r>
    </w:p>
    <w:p>
      <w:pPr>
        <w:spacing w:after="0" w:line="219" w:lineRule="exact"/>
        <w:rPr>
          <w:sz w:val="20"/>
          <w:szCs w:val="20"/>
          <w:color w:val="auto"/>
        </w:rPr>
      </w:pPr>
    </w:p>
    <w:p>
      <w:pPr>
        <w:ind w:right="620"/>
        <w:spacing w:after="0" w:line="306" w:lineRule="auto"/>
        <w:rPr>
          <w:sz w:val="20"/>
          <w:szCs w:val="20"/>
          <w:color w:val="auto"/>
        </w:rPr>
      </w:pPr>
      <w:r>
        <w:rPr>
          <w:rFonts w:ascii="Arial" w:cs="Arial" w:eastAsia="Arial" w:hAnsi="Arial"/>
          <w:sz w:val="16"/>
          <w:szCs w:val="16"/>
          <w:color w:val="auto"/>
        </w:rPr>
        <w:t>On this 5th day of July, 1985, before me, the undersigned, personally appeared JOSEPH L. PARKINSON and CATHY L. SMITH, known to me to be the President and Secretary, respectively, of MICRON TECHNOLOGY, INC., the corporation that executed the instrument or the persons who executed the instrument on behalf of said corporation, and acknowledged to me that such corporation executed the same.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I have hereunto set my hand and affixed my official seal in said County the day and year first above written.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Jill L. Henson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Notary Public for Idaho Residing at Boise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CERTIFICATE OF SECOND AMENDMENT</w:t>
      </w:r>
    </w:p>
    <w:p>
      <w:pPr>
        <w:spacing w:after="0" w:line="21"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TO THE BYLAWS OF</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MICRON TECHNOLOGY, INC.</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 Cathy L. Smith, Corporate Secretary of Micron Technology, Inc., a Delaware corporation, hereby certify that the following resolution was adopted by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on March 3, 1986:</w:t>
      </w:r>
    </w:p>
    <w:p>
      <w:pPr>
        <w:sectPr>
          <w:pgSz w:w="11900" w:h="16838" w:orient="portrait"/>
          <w:cols w:equalWidth="0" w:num="1">
            <w:col w:w="11420"/>
          </w:cols>
          <w:pgMar w:left="240" w:top="341" w:right="239" w:bottom="0" w:gutter="0" w:footer="0" w:header="0"/>
        </w:sectPr>
      </w:pPr>
    </w:p>
    <w:bookmarkStart w:id="44" w:name="page45"/>
    <w:bookmarkEnd w:id="44"/>
    <w:p>
      <w:pPr>
        <w:ind w:left="360"/>
        <w:spacing w:after="0"/>
        <w:tabs>
          <w:tab w:leader="none" w:pos="1460" w:val="left"/>
        </w:tabs>
        <w:rPr>
          <w:sz w:val="20"/>
          <w:szCs w:val="20"/>
          <w:color w:val="auto"/>
        </w:rPr>
      </w:pPr>
      <w:r>
        <w:rPr>
          <w:rFonts w:ascii="Arial" w:cs="Arial" w:eastAsia="Arial" w:hAnsi="Arial"/>
          <w:sz w:val="18"/>
          <w:szCs w:val="18"/>
          <w:color w:val="auto"/>
        </w:rPr>
        <w:t>RESOLVED:</w:t>
      </w:r>
      <w:r>
        <w:rPr>
          <w:sz w:val="20"/>
          <w:szCs w:val="20"/>
          <w:color w:val="auto"/>
        </w:rPr>
        <w:tab/>
      </w:r>
      <w:r>
        <w:rPr>
          <w:rFonts w:ascii="Arial" w:cs="Arial" w:eastAsia="Arial" w:hAnsi="Arial"/>
          <w:sz w:val="16"/>
          <w:szCs w:val="16"/>
          <w:color w:val="auto"/>
        </w:rPr>
        <w:t>Article III Section 1 of the Bylaws of this corporation are hereby amended to read as follows:</w:t>
      </w:r>
    </w:p>
    <w:p>
      <w:pPr>
        <w:spacing w:after="0" w:line="225" w:lineRule="exact"/>
        <w:rPr>
          <w:sz w:val="20"/>
          <w:szCs w:val="20"/>
          <w:color w:val="auto"/>
        </w:rPr>
      </w:pPr>
    </w:p>
    <w:p>
      <w:pPr>
        <w:ind w:right="140" w:firstLine="351"/>
        <w:spacing w:after="0" w:line="332" w:lineRule="auto"/>
        <w:rPr>
          <w:sz w:val="20"/>
          <w:szCs w:val="20"/>
          <w:color w:val="auto"/>
        </w:rPr>
      </w:pPr>
      <w:r>
        <w:rPr>
          <w:rFonts w:ascii="Arial" w:cs="Arial" w:eastAsia="Arial" w:hAnsi="Arial"/>
          <w:sz w:val="16"/>
          <w:szCs w:val="16"/>
          <w:color w:val="auto"/>
        </w:rPr>
        <w:t>SECTION 1. The authorized number of directors of the Corporation shall be ten. The number of directors provided in this Section 1 may be changed by a Bylaw duly adopted by the affirmative vote of a majority of the outstanding shares entitled to vote or by a resolution of the Board of Directors.</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WITNESS WHEREOF, I have hereunto set my hand and affixed the corporate seal of said corporation effective as of the 3rd day of March, 1986.</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Cathy L. Smith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CERTIFICATE THIRD AMENDMENT</w:t>
      </w:r>
    </w:p>
    <w:p>
      <w:pPr>
        <w:spacing w:after="0" w:line="21"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TO THE BYLAWS OF</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MICRON TECHNOLOGY, INC.</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 Cathy L. Smith, Corporate Secretary of Micron Technology, Inc., a Delaware corporation, hereby certify that the following resolution was adopted by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on November 24, 1986:</w:t>
      </w:r>
    </w:p>
    <w:p>
      <w:pPr>
        <w:spacing w:after="0" w:line="219" w:lineRule="exact"/>
        <w:rPr>
          <w:sz w:val="20"/>
          <w:szCs w:val="20"/>
          <w:color w:val="auto"/>
        </w:rPr>
      </w:pPr>
    </w:p>
    <w:p>
      <w:pPr>
        <w:ind w:left="360"/>
        <w:spacing w:after="0"/>
        <w:tabs>
          <w:tab w:leader="none" w:pos="1460" w:val="left"/>
        </w:tabs>
        <w:rPr>
          <w:sz w:val="20"/>
          <w:szCs w:val="20"/>
          <w:color w:val="auto"/>
        </w:rPr>
      </w:pPr>
      <w:r>
        <w:rPr>
          <w:rFonts w:ascii="Arial" w:cs="Arial" w:eastAsia="Arial" w:hAnsi="Arial"/>
          <w:sz w:val="18"/>
          <w:szCs w:val="18"/>
          <w:color w:val="auto"/>
        </w:rPr>
        <w:t>RESOLVED:</w:t>
      </w:r>
      <w:r>
        <w:rPr>
          <w:sz w:val="20"/>
          <w:szCs w:val="20"/>
          <w:color w:val="auto"/>
        </w:rPr>
        <w:tab/>
      </w:r>
      <w:r>
        <w:rPr>
          <w:rFonts w:ascii="Arial" w:cs="Arial" w:eastAsia="Arial" w:hAnsi="Arial"/>
          <w:sz w:val="16"/>
          <w:szCs w:val="16"/>
          <w:color w:val="auto"/>
        </w:rPr>
        <w:t>Article III Section 1 of the Bylaws of this corporation are hereby amended to read as follows:</w:t>
      </w:r>
    </w:p>
    <w:p>
      <w:pPr>
        <w:spacing w:after="0" w:line="225"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SECTION 1. The authorized number of directors of the Corporation shall be nine. The number of directors provided in this Section 1 may be changed by a Bylaw duly adopted by the affirmative vote of a majority of the outstanding shares entitled to vote or by a resolution of the Board of Directors.</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WITNESS WHEREOF, I hereunto set my hand and affixed the corporate seal of said corporation effective as of the 24th day of November, 1986.</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Cathy L. Smith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CERTIFICATE OF FOURTH AMENDMENT</w:t>
      </w:r>
    </w:p>
    <w:p>
      <w:pPr>
        <w:spacing w:after="0" w:line="21"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TO THE BYLAWS OF</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MICRON TECHNOLOGY, INC.</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 Cathy L. Smith, Corporate Secretary of Micron Technology, Inc., a Delaware corporation, hereby certify that the following resolution was adopted by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on September 28, 1987:</w:t>
      </w:r>
    </w:p>
    <w:p>
      <w:pPr>
        <w:spacing w:after="0" w:line="219" w:lineRule="exact"/>
        <w:rPr>
          <w:sz w:val="20"/>
          <w:szCs w:val="20"/>
          <w:color w:val="auto"/>
        </w:rPr>
      </w:pPr>
    </w:p>
    <w:p>
      <w:pPr>
        <w:ind w:left="360"/>
        <w:spacing w:after="0"/>
        <w:tabs>
          <w:tab w:leader="none" w:pos="1460" w:val="left"/>
        </w:tabs>
        <w:rPr>
          <w:sz w:val="20"/>
          <w:szCs w:val="20"/>
          <w:color w:val="auto"/>
        </w:rPr>
      </w:pPr>
      <w:r>
        <w:rPr>
          <w:rFonts w:ascii="Arial" w:cs="Arial" w:eastAsia="Arial" w:hAnsi="Arial"/>
          <w:sz w:val="18"/>
          <w:szCs w:val="18"/>
          <w:color w:val="auto"/>
        </w:rPr>
        <w:t>RESOLVED:</w:t>
      </w:r>
      <w:r>
        <w:rPr>
          <w:sz w:val="20"/>
          <w:szCs w:val="20"/>
          <w:color w:val="auto"/>
        </w:rPr>
        <w:tab/>
      </w:r>
      <w:r>
        <w:rPr>
          <w:rFonts w:ascii="Arial" w:cs="Arial" w:eastAsia="Arial" w:hAnsi="Arial"/>
          <w:sz w:val="16"/>
          <w:szCs w:val="16"/>
          <w:color w:val="auto"/>
        </w:rPr>
        <w:t>Article III Section 1 of the Bylaws of this corporation are hereby amended to read as follows:</w:t>
      </w:r>
    </w:p>
    <w:p>
      <w:pPr>
        <w:spacing w:after="0" w:line="225"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SECTION 1. The authorized number of directors of the Corporation shall be eight. The number of directors provided in this Section 1 may be changed by a Bylaw duly adopted by the affirmative vote of a majority of the outstanding shares entitled to vote or by a resolution of the Board of Directors.</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WITNESS WHEREOF, I hereunto set my hand and affixed the corporate seal of said corporation effective as of the 28th day of September, 1987.</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 CATHY L. SMITH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Cathy L. Smith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CERTIFICATE OF FIFTH AMENDMENT</w:t>
      </w:r>
    </w:p>
    <w:p>
      <w:pPr>
        <w:spacing w:after="0" w:line="21"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TO THE BYLAWS OF</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MICRON TECHNOLOGY, INC.</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 Cathy L. Smith, Corporate Secretary of Micron Technology, Inc., a Delaware corporation, hereby certify that the following resolution was adopted by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on March 28, 1988:</w:t>
      </w:r>
    </w:p>
    <w:p>
      <w:pPr>
        <w:spacing w:after="0" w:line="219" w:lineRule="exact"/>
        <w:rPr>
          <w:sz w:val="20"/>
          <w:szCs w:val="20"/>
          <w:color w:val="auto"/>
        </w:rPr>
      </w:pPr>
    </w:p>
    <w:p>
      <w:pPr>
        <w:ind w:left="360"/>
        <w:spacing w:after="0"/>
        <w:tabs>
          <w:tab w:leader="none" w:pos="1460" w:val="left"/>
        </w:tabs>
        <w:rPr>
          <w:sz w:val="20"/>
          <w:szCs w:val="20"/>
          <w:color w:val="auto"/>
        </w:rPr>
      </w:pPr>
      <w:r>
        <w:rPr>
          <w:rFonts w:ascii="Arial" w:cs="Arial" w:eastAsia="Arial" w:hAnsi="Arial"/>
          <w:sz w:val="18"/>
          <w:szCs w:val="18"/>
          <w:color w:val="auto"/>
        </w:rPr>
        <w:t>RESOLVED:</w:t>
      </w:r>
      <w:r>
        <w:rPr>
          <w:sz w:val="20"/>
          <w:szCs w:val="20"/>
          <w:color w:val="auto"/>
        </w:rPr>
        <w:tab/>
      </w:r>
      <w:r>
        <w:rPr>
          <w:rFonts w:ascii="Arial" w:cs="Arial" w:eastAsia="Arial" w:hAnsi="Arial"/>
          <w:sz w:val="16"/>
          <w:szCs w:val="16"/>
          <w:color w:val="auto"/>
        </w:rPr>
        <w:t>Article III Section 1 of the Bylaws of this corporation are hereby amended to read as follows:</w:t>
      </w:r>
    </w:p>
    <w:p>
      <w:pPr>
        <w:spacing w:after="0" w:line="225"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SECTION 1. The authorized number of directors of the Corporation shall be nine. The number of directors provided in this Section 1 may be changed by a Bylaw duly adopted by the affirmative vote of a majority of the outstanding shares entitled to vote or by a resolution of the Board of Directors.</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WITNESS WHEREOF, I hereunto set my hand and affixed the corporate seal of said corporation effective as of the 28th day of March, 1988.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Cathy L. Smith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45" w:name="page46"/>
    <w:bookmarkEnd w:id="45"/>
    <w:p>
      <w:pPr>
        <w:ind w:left="4060"/>
        <w:spacing w:after="0"/>
        <w:rPr>
          <w:sz w:val="20"/>
          <w:szCs w:val="20"/>
          <w:color w:val="auto"/>
        </w:rPr>
      </w:pPr>
      <w:r>
        <w:rPr>
          <w:rFonts w:ascii="Arial" w:cs="Arial" w:eastAsia="Arial" w:hAnsi="Arial"/>
          <w:sz w:val="18"/>
          <w:szCs w:val="18"/>
          <w:b w:val="1"/>
          <w:bCs w:val="1"/>
          <w:color w:val="auto"/>
        </w:rPr>
        <w:t>CERTIFICATE OF SIXTH AMENDMENT</w:t>
      </w:r>
    </w:p>
    <w:p>
      <w:pPr>
        <w:spacing w:after="0" w:line="21"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TO THE BYLAWS OF</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MICRON TECHNOLOGY, INC.</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 Cathy L. Smith, Corporate Secretary of Micron Technology, Inc., a Delaware corporation, hereby certify that the following resolution was adopted by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on October 3, 1988:</w:t>
      </w:r>
    </w:p>
    <w:p>
      <w:pPr>
        <w:spacing w:after="0" w:line="219" w:lineRule="exact"/>
        <w:rPr>
          <w:sz w:val="20"/>
          <w:szCs w:val="20"/>
          <w:color w:val="auto"/>
        </w:rPr>
      </w:pPr>
    </w:p>
    <w:p>
      <w:pPr>
        <w:ind w:left="360"/>
        <w:spacing w:after="0"/>
        <w:tabs>
          <w:tab w:leader="none" w:pos="1460" w:val="left"/>
        </w:tabs>
        <w:rPr>
          <w:sz w:val="20"/>
          <w:szCs w:val="20"/>
          <w:color w:val="auto"/>
        </w:rPr>
      </w:pPr>
      <w:r>
        <w:rPr>
          <w:rFonts w:ascii="Arial" w:cs="Arial" w:eastAsia="Arial" w:hAnsi="Arial"/>
          <w:sz w:val="18"/>
          <w:szCs w:val="18"/>
          <w:color w:val="auto"/>
        </w:rPr>
        <w:t>RESOLVED:</w:t>
      </w:r>
      <w:r>
        <w:rPr>
          <w:sz w:val="20"/>
          <w:szCs w:val="20"/>
          <w:color w:val="auto"/>
        </w:rPr>
        <w:tab/>
      </w:r>
      <w:r>
        <w:rPr>
          <w:rFonts w:ascii="Arial" w:cs="Arial" w:eastAsia="Arial" w:hAnsi="Arial"/>
          <w:sz w:val="16"/>
          <w:szCs w:val="16"/>
          <w:color w:val="auto"/>
        </w:rPr>
        <w:t>Article III Section 1 of the Bylaws of this corporation are hereby amended to read as follows:</w:t>
      </w:r>
    </w:p>
    <w:p>
      <w:pPr>
        <w:spacing w:after="0" w:line="225" w:lineRule="exact"/>
        <w:rPr>
          <w:sz w:val="20"/>
          <w:szCs w:val="20"/>
          <w:color w:val="auto"/>
        </w:rPr>
      </w:pPr>
    </w:p>
    <w:p>
      <w:pPr>
        <w:ind w:right="140" w:firstLine="351"/>
        <w:spacing w:after="0" w:line="332" w:lineRule="auto"/>
        <w:rPr>
          <w:sz w:val="20"/>
          <w:szCs w:val="20"/>
          <w:color w:val="auto"/>
        </w:rPr>
      </w:pPr>
      <w:r>
        <w:rPr>
          <w:rFonts w:ascii="Arial" w:cs="Arial" w:eastAsia="Arial" w:hAnsi="Arial"/>
          <w:sz w:val="16"/>
          <w:szCs w:val="16"/>
          <w:color w:val="auto"/>
        </w:rPr>
        <w:t>SECTION 1. The authorized number of directors of the Corporation shall be ten. The number of directors provided in this Section 1 may be changed by a Bylaw duly adopted by the affirmative vote of a majority of the outstanding shares entitled to vote or by a resolution of the Board of Directors.</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WITNESS WHEREOF, I hereunto set my hand and affixed the corporate seal of said corporation effective as of the 17th day of October, 1988.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Cathy L. Smith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CERTIFICATE OF SEVENTH AMENDMENT</w:t>
      </w:r>
    </w:p>
    <w:p>
      <w:pPr>
        <w:spacing w:after="0" w:line="21"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TO THE BYLAWS OF</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MICRON TECHNOLOGY, INC.</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 Cathy L. Smith, Corporate Secretary of Micron Technology, Inc., a Delaware corporation, hereby certify that the following resolution was adopted by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on September 25, 1989:</w:t>
      </w:r>
    </w:p>
    <w:p>
      <w:pPr>
        <w:spacing w:after="0" w:line="219" w:lineRule="exact"/>
        <w:rPr>
          <w:sz w:val="20"/>
          <w:szCs w:val="20"/>
          <w:color w:val="auto"/>
        </w:rPr>
      </w:pPr>
    </w:p>
    <w:p>
      <w:pPr>
        <w:ind w:left="360"/>
        <w:spacing w:after="0"/>
        <w:tabs>
          <w:tab w:leader="none" w:pos="1460" w:val="left"/>
        </w:tabs>
        <w:rPr>
          <w:sz w:val="20"/>
          <w:szCs w:val="20"/>
          <w:color w:val="auto"/>
        </w:rPr>
      </w:pPr>
      <w:r>
        <w:rPr>
          <w:rFonts w:ascii="Arial" w:cs="Arial" w:eastAsia="Arial" w:hAnsi="Arial"/>
          <w:sz w:val="18"/>
          <w:szCs w:val="18"/>
          <w:color w:val="auto"/>
        </w:rPr>
        <w:t>RESOLVED:</w:t>
      </w:r>
      <w:r>
        <w:rPr>
          <w:sz w:val="20"/>
          <w:szCs w:val="20"/>
          <w:color w:val="auto"/>
        </w:rPr>
        <w:tab/>
      </w:r>
      <w:r>
        <w:rPr>
          <w:rFonts w:ascii="Arial" w:cs="Arial" w:eastAsia="Arial" w:hAnsi="Arial"/>
          <w:sz w:val="16"/>
          <w:szCs w:val="16"/>
          <w:color w:val="auto"/>
        </w:rPr>
        <w:t>Article III Section 1 of the Bylaws of this corporation are hereby amended to read as follows:</w:t>
      </w:r>
    </w:p>
    <w:p>
      <w:pPr>
        <w:spacing w:after="0" w:line="225"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SECTION 1. The authorized number of directors of the Corporation shall be nine. The number of directors provided in this Section 1 may be changed by a Bylaw duly adopted by the affirmative vote of a majority of the outstanding shares entitled to vote or by a resolution of the Board of Directors.</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WITNESS WHEREOF, I hereunto set my hand and affixed the corporate seal of said corporation effective as of the 28th day September, 1989.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Cathy L. Smith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CERTIFICATE OF EIGHTH AMENDMENT</w:t>
      </w:r>
    </w:p>
    <w:p>
      <w:pPr>
        <w:spacing w:after="0" w:line="21"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TO THE BYLAWS OF</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MICRON TECHNOLOGY, INC.</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 Cathy L. Smith, Corporate Secretary of Micron Technology, Inc., a Delaware corporation, hereby certify that the following resolution was adopted by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on October 30, 1989:</w:t>
      </w:r>
    </w:p>
    <w:p>
      <w:pPr>
        <w:spacing w:after="0" w:line="219" w:lineRule="exact"/>
        <w:rPr>
          <w:sz w:val="20"/>
          <w:szCs w:val="20"/>
          <w:color w:val="auto"/>
        </w:rPr>
      </w:pPr>
    </w:p>
    <w:p>
      <w:pPr>
        <w:ind w:left="360"/>
        <w:spacing w:after="0"/>
        <w:tabs>
          <w:tab w:leader="none" w:pos="1460" w:val="left"/>
        </w:tabs>
        <w:rPr>
          <w:sz w:val="20"/>
          <w:szCs w:val="20"/>
          <w:color w:val="auto"/>
        </w:rPr>
      </w:pPr>
      <w:r>
        <w:rPr>
          <w:rFonts w:ascii="Arial" w:cs="Arial" w:eastAsia="Arial" w:hAnsi="Arial"/>
          <w:sz w:val="18"/>
          <w:szCs w:val="18"/>
          <w:color w:val="auto"/>
        </w:rPr>
        <w:t>RESOLVED:</w:t>
      </w:r>
      <w:r>
        <w:rPr>
          <w:sz w:val="20"/>
          <w:szCs w:val="20"/>
          <w:color w:val="auto"/>
        </w:rPr>
        <w:tab/>
      </w:r>
      <w:r>
        <w:rPr>
          <w:rFonts w:ascii="Arial" w:cs="Arial" w:eastAsia="Arial" w:hAnsi="Arial"/>
          <w:sz w:val="16"/>
          <w:szCs w:val="16"/>
          <w:color w:val="auto"/>
        </w:rPr>
        <w:t>Article III Section 1 of the Bylaws of this corporation are hereby amended to read as follows:</w:t>
      </w:r>
    </w:p>
    <w:p>
      <w:pPr>
        <w:spacing w:after="0" w:line="225"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SECTION 1. The authorized number of directors of the Corporation shall be eight. The number of directors provided in this Section 1 may be changed by a Bylaw duly adopted by the affirmative vote of a majority of the outstanding shares entitled to vote or by a resolution of the Board of Directors.</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WITNESS WHEREOF, I hereunto set my hand and affixed the corporate seal of said corporation effective as of the 30th day of October, 1989.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Cathy L. Smith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CERTIFICATE OF NINTH AMENDMENT</w:t>
      </w:r>
    </w:p>
    <w:p>
      <w:pPr>
        <w:spacing w:after="0" w:line="21"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TO THE BYLAWS OF</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MICRON TECHNOLOGY, INC.</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 Cathy L. Smith, Corporate Secretary of Micron Technology, Inc., a Delaware corporation, hereby certify that the following resolution was adopted by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on August 27, 1990:</w:t>
      </w:r>
    </w:p>
    <w:p>
      <w:pPr>
        <w:spacing w:after="0" w:line="219" w:lineRule="exact"/>
        <w:rPr>
          <w:sz w:val="20"/>
          <w:szCs w:val="20"/>
          <w:color w:val="auto"/>
        </w:rPr>
      </w:pPr>
    </w:p>
    <w:p>
      <w:pPr>
        <w:ind w:left="360"/>
        <w:spacing w:after="0"/>
        <w:tabs>
          <w:tab w:leader="none" w:pos="1460" w:val="left"/>
        </w:tabs>
        <w:rPr>
          <w:sz w:val="20"/>
          <w:szCs w:val="20"/>
          <w:color w:val="auto"/>
        </w:rPr>
      </w:pPr>
      <w:r>
        <w:rPr>
          <w:rFonts w:ascii="Arial" w:cs="Arial" w:eastAsia="Arial" w:hAnsi="Arial"/>
          <w:sz w:val="18"/>
          <w:szCs w:val="18"/>
          <w:color w:val="auto"/>
        </w:rPr>
        <w:t>RESOLVED:</w:t>
      </w:r>
      <w:r>
        <w:rPr>
          <w:sz w:val="20"/>
          <w:szCs w:val="20"/>
          <w:color w:val="auto"/>
        </w:rPr>
        <w:tab/>
      </w:r>
      <w:r>
        <w:rPr>
          <w:rFonts w:ascii="Arial" w:cs="Arial" w:eastAsia="Arial" w:hAnsi="Arial"/>
          <w:sz w:val="16"/>
          <w:szCs w:val="16"/>
          <w:color w:val="auto"/>
        </w:rPr>
        <w:t>Article III Section 1 of the Bylaws of this corporation are hereby amended to read as follows:</w:t>
      </w:r>
    </w:p>
    <w:p>
      <w:pPr>
        <w:sectPr>
          <w:pgSz w:w="11900" w:h="16838" w:orient="portrait"/>
          <w:cols w:equalWidth="0" w:num="1">
            <w:col w:w="11420"/>
          </w:cols>
          <w:pgMar w:left="240" w:top="341" w:right="239" w:bottom="161" w:gutter="0" w:footer="0" w:header="0"/>
        </w:sectPr>
      </w:pPr>
    </w:p>
    <w:bookmarkStart w:id="46" w:name="page47"/>
    <w:bookmarkEnd w:id="46"/>
    <w:p>
      <w:pPr>
        <w:ind w:right="40" w:firstLine="351"/>
        <w:spacing w:after="0" w:line="332" w:lineRule="auto"/>
        <w:rPr>
          <w:sz w:val="20"/>
          <w:szCs w:val="20"/>
          <w:color w:val="auto"/>
        </w:rPr>
      </w:pPr>
      <w:r>
        <w:rPr>
          <w:rFonts w:ascii="Arial" w:cs="Arial" w:eastAsia="Arial" w:hAnsi="Arial"/>
          <w:sz w:val="16"/>
          <w:szCs w:val="16"/>
          <w:color w:val="auto"/>
        </w:rPr>
        <w:t>SECTION 1. The authorized number of directors of the Corporation shall be nine. The number of directors provided in this Section 1 may be changed by a Bylaw duly adopted by the affirmative vote of a majority of the outstanding shares entitled to vote or by a resolution of the Board of Directors.</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WITNESS WHEREOF, I hereunto set my hand and affixed the corporate seal of said corporation effective as of the 27th day of August, 1990.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Cathy L. Smith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CERTIFICATE OF TENTH AMENDMENT</w:t>
      </w:r>
    </w:p>
    <w:p>
      <w:pPr>
        <w:spacing w:after="0" w:line="21"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TO THE BYLAWS OF</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MICRON TECHNOLOGY, INC.</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 Cathy L. Smith, Corporate Secretary of Micron Technology, Inc., a Delaware corporation, hereby certify that the following resolution was adopted by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on September 24, 1990:</w:t>
      </w:r>
    </w:p>
    <w:p>
      <w:pPr>
        <w:spacing w:after="0" w:line="219" w:lineRule="exact"/>
        <w:rPr>
          <w:sz w:val="20"/>
          <w:szCs w:val="20"/>
          <w:color w:val="auto"/>
        </w:rPr>
      </w:pPr>
    </w:p>
    <w:p>
      <w:pPr>
        <w:ind w:left="360"/>
        <w:spacing w:after="0"/>
        <w:tabs>
          <w:tab w:leader="none" w:pos="1460" w:val="left"/>
        </w:tabs>
        <w:rPr>
          <w:sz w:val="20"/>
          <w:szCs w:val="20"/>
          <w:color w:val="auto"/>
        </w:rPr>
      </w:pPr>
      <w:r>
        <w:rPr>
          <w:rFonts w:ascii="Arial" w:cs="Arial" w:eastAsia="Arial" w:hAnsi="Arial"/>
          <w:sz w:val="18"/>
          <w:szCs w:val="18"/>
          <w:color w:val="auto"/>
        </w:rPr>
        <w:t>RESOLVED:</w:t>
      </w:r>
      <w:r>
        <w:rPr>
          <w:sz w:val="20"/>
          <w:szCs w:val="20"/>
          <w:color w:val="auto"/>
        </w:rPr>
        <w:tab/>
      </w:r>
      <w:r>
        <w:rPr>
          <w:rFonts w:ascii="Arial" w:cs="Arial" w:eastAsia="Arial" w:hAnsi="Arial"/>
          <w:sz w:val="16"/>
          <w:szCs w:val="16"/>
          <w:color w:val="auto"/>
        </w:rPr>
        <w:t>Article III, Section 1 of the Bylaws of this corporation are hereby amended to read as follows:</w:t>
      </w:r>
    </w:p>
    <w:p>
      <w:pPr>
        <w:spacing w:after="0" w:line="225" w:lineRule="exact"/>
        <w:rPr>
          <w:sz w:val="20"/>
          <w:szCs w:val="20"/>
          <w:color w:val="auto"/>
        </w:rPr>
      </w:pPr>
    </w:p>
    <w:p>
      <w:pPr>
        <w:ind w:right="140" w:firstLine="351"/>
        <w:spacing w:after="0" w:line="332" w:lineRule="auto"/>
        <w:rPr>
          <w:sz w:val="20"/>
          <w:szCs w:val="20"/>
          <w:color w:val="auto"/>
        </w:rPr>
      </w:pPr>
      <w:r>
        <w:rPr>
          <w:rFonts w:ascii="Arial" w:cs="Arial" w:eastAsia="Arial" w:hAnsi="Arial"/>
          <w:sz w:val="16"/>
          <w:szCs w:val="16"/>
          <w:color w:val="auto"/>
        </w:rPr>
        <w:t>SECTION 1. The authorized number of directors of the Corporation shall be ten. The number of directors provided in this Section 1 may be changed by a Bylaw duly adopted by the affirmative vote of a majority of the outstanding shares entitled to vote or by a resolution of the Board of Directors.</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WITNESS WHEREOF, I hereunto set my hand and affixed the corporate seal of said corporation effective as of the 24th day of September, 1990.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Cathy L. Smith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CERTIFICATE OF ELEVENTH AMENDMENT</w:t>
      </w:r>
    </w:p>
    <w:p>
      <w:pPr>
        <w:spacing w:after="0" w:line="21"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TO THE BYLAWS OF</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MICRON TECHNOLOGY, INC.</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 Cathy L. Smith, Corporate Secretary of Micron Technology, Inc., a Delaware corporation, hereby certify that the following resolution was adopted by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on July 27, 1992:</w:t>
      </w:r>
    </w:p>
    <w:p>
      <w:pPr>
        <w:spacing w:after="0" w:line="219" w:lineRule="exact"/>
        <w:rPr>
          <w:sz w:val="20"/>
          <w:szCs w:val="20"/>
          <w:color w:val="auto"/>
        </w:rPr>
      </w:pPr>
    </w:p>
    <w:p>
      <w:pPr>
        <w:ind w:left="360"/>
        <w:spacing w:after="0"/>
        <w:tabs>
          <w:tab w:leader="none" w:pos="1460" w:val="left"/>
        </w:tabs>
        <w:rPr>
          <w:sz w:val="20"/>
          <w:szCs w:val="20"/>
          <w:color w:val="auto"/>
        </w:rPr>
      </w:pPr>
      <w:r>
        <w:rPr>
          <w:rFonts w:ascii="Arial" w:cs="Arial" w:eastAsia="Arial" w:hAnsi="Arial"/>
          <w:sz w:val="18"/>
          <w:szCs w:val="18"/>
          <w:color w:val="auto"/>
        </w:rPr>
        <w:t>RESOLVED:</w:t>
      </w:r>
      <w:r>
        <w:rPr>
          <w:sz w:val="20"/>
          <w:szCs w:val="20"/>
          <w:color w:val="auto"/>
        </w:rPr>
        <w:tab/>
      </w:r>
      <w:r>
        <w:rPr>
          <w:rFonts w:ascii="Arial" w:cs="Arial" w:eastAsia="Arial" w:hAnsi="Arial"/>
          <w:sz w:val="16"/>
          <w:szCs w:val="16"/>
          <w:color w:val="auto"/>
        </w:rPr>
        <w:t>Article III Section 1 of the Bylaws of this corporation are hereby amended to read as follows:</w:t>
      </w:r>
    </w:p>
    <w:p>
      <w:pPr>
        <w:spacing w:after="0" w:line="225"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SECTION 1. The authorized number of directors of the Corporation shall be eight. The number of directors provided in this Section 1 may be changed by a Bylaw duly adopted by the affirmative vote of a majority of the outstanding shares entitled to vote or by a resolution of the Board of Directors.</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WITNESS WHEREOF, I hereunto set my hand and affixed the corporate seal of said corporation effective as of the 27th day of July, 1992.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Cathy L. Smith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CERTIFICATE OF TWELFTH AMENDMENT</w:t>
      </w:r>
    </w:p>
    <w:p>
      <w:pPr>
        <w:spacing w:after="0" w:line="21"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TO THE BYLAWS OF</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MICRON TECHNOLOGY, INC.</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 Cathy L. Smith, Corporate Secretary of Micron Technology, Inc. a Delaware corporation, hereby certify that the following resolution was adopted by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on May 23, 1994:</w:t>
      </w:r>
    </w:p>
    <w:p>
      <w:pPr>
        <w:spacing w:after="0" w:line="219" w:lineRule="exact"/>
        <w:rPr>
          <w:sz w:val="20"/>
          <w:szCs w:val="20"/>
          <w:color w:val="auto"/>
        </w:rPr>
      </w:pPr>
    </w:p>
    <w:p>
      <w:pPr>
        <w:ind w:left="360"/>
        <w:spacing w:after="0"/>
        <w:tabs>
          <w:tab w:leader="none" w:pos="1460" w:val="left"/>
        </w:tabs>
        <w:rPr>
          <w:sz w:val="20"/>
          <w:szCs w:val="20"/>
          <w:color w:val="auto"/>
        </w:rPr>
      </w:pPr>
      <w:r>
        <w:rPr>
          <w:rFonts w:ascii="Arial" w:cs="Arial" w:eastAsia="Arial" w:hAnsi="Arial"/>
          <w:sz w:val="18"/>
          <w:szCs w:val="18"/>
          <w:color w:val="auto"/>
        </w:rPr>
        <w:t>RESOLVED:</w:t>
      </w:r>
      <w:r>
        <w:rPr>
          <w:sz w:val="20"/>
          <w:szCs w:val="20"/>
          <w:color w:val="auto"/>
        </w:rPr>
        <w:tab/>
      </w:r>
      <w:r>
        <w:rPr>
          <w:rFonts w:ascii="Arial" w:cs="Arial" w:eastAsia="Arial" w:hAnsi="Arial"/>
          <w:sz w:val="16"/>
          <w:szCs w:val="16"/>
          <w:color w:val="auto"/>
        </w:rPr>
        <w:t>Article III, Section I of the Bylaws of this corporation are hereby amended to read as follows:</w:t>
      </w:r>
    </w:p>
    <w:p>
      <w:pPr>
        <w:spacing w:after="0" w:line="225" w:lineRule="exact"/>
        <w:rPr>
          <w:sz w:val="20"/>
          <w:szCs w:val="20"/>
          <w:color w:val="auto"/>
        </w:rPr>
      </w:pPr>
    </w:p>
    <w:p>
      <w:pPr>
        <w:ind w:left="360"/>
        <w:spacing w:after="0"/>
        <w:tabs>
          <w:tab w:leader="none" w:pos="1400" w:val="left"/>
        </w:tabs>
        <w:rPr>
          <w:sz w:val="20"/>
          <w:szCs w:val="20"/>
          <w:color w:val="auto"/>
        </w:rPr>
      </w:pPr>
      <w:r>
        <w:rPr>
          <w:rFonts w:ascii="Arial" w:cs="Arial" w:eastAsia="Arial" w:hAnsi="Arial"/>
          <w:sz w:val="18"/>
          <w:szCs w:val="18"/>
          <w:color w:val="auto"/>
        </w:rPr>
        <w:t>SECTION I.</w:t>
      </w:r>
      <w:r>
        <w:rPr>
          <w:sz w:val="20"/>
          <w:szCs w:val="20"/>
          <w:color w:val="auto"/>
        </w:rPr>
        <w:tab/>
      </w:r>
      <w:r>
        <w:rPr>
          <w:rFonts w:ascii="Arial" w:cs="Arial" w:eastAsia="Arial" w:hAnsi="Arial"/>
          <w:sz w:val="15"/>
          <w:szCs w:val="15"/>
          <w:color w:val="auto"/>
        </w:rPr>
        <w:t>The authorized number of directors of the Corporation shall be ten.</w:t>
      </w:r>
    </w:p>
    <w:p>
      <w:pPr>
        <w:spacing w:after="0" w:line="225"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number of directors provided in this Section I may be changed by a Bylaw duly adopted by the affirmative vote of a majority of the outstanding shares entitled to vote or by a resolution of the Board of Directors.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WITNESS WHEREOF, I hereunto set my hand and affixed the corporate seal of said corporation effective as of the 23rd day of May, 1994.</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Cathy L. Smith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80" w:gutter="0" w:footer="0" w:header="0"/>
        </w:sectPr>
      </w:pPr>
    </w:p>
    <w:bookmarkStart w:id="47" w:name="page48"/>
    <w:bookmarkEnd w:id="47"/>
    <w:p>
      <w:pPr>
        <w:ind w:left="3740"/>
        <w:spacing w:after="0"/>
        <w:rPr>
          <w:sz w:val="20"/>
          <w:szCs w:val="20"/>
          <w:color w:val="auto"/>
        </w:rPr>
      </w:pPr>
      <w:r>
        <w:rPr>
          <w:rFonts w:ascii="Arial" w:cs="Arial" w:eastAsia="Arial" w:hAnsi="Arial"/>
          <w:sz w:val="18"/>
          <w:szCs w:val="18"/>
          <w:b w:val="1"/>
          <w:bCs w:val="1"/>
          <w:color w:val="auto"/>
        </w:rPr>
        <w:t>CERTIFICATE OF THIRTEENTH AMENDMENT</w:t>
      </w:r>
    </w:p>
    <w:p>
      <w:pPr>
        <w:spacing w:after="0" w:line="21"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TO THE BYLAWS OF</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MICRON TECHNOLOGY, INC.</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 Cathy L. Smith, Corporate Secretary of Micron Technology, Inc. a Delaware corporation, hereby certify that the following resolution was adopted by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on September 1, 1994:</w:t>
      </w:r>
    </w:p>
    <w:p>
      <w:pPr>
        <w:spacing w:after="0" w:line="219" w:lineRule="exact"/>
        <w:rPr>
          <w:sz w:val="20"/>
          <w:szCs w:val="20"/>
          <w:color w:val="auto"/>
        </w:rPr>
      </w:pPr>
    </w:p>
    <w:p>
      <w:pPr>
        <w:ind w:left="360"/>
        <w:spacing w:after="0"/>
        <w:tabs>
          <w:tab w:leader="none" w:pos="1460" w:val="left"/>
        </w:tabs>
        <w:rPr>
          <w:sz w:val="20"/>
          <w:szCs w:val="20"/>
          <w:color w:val="auto"/>
        </w:rPr>
      </w:pPr>
      <w:r>
        <w:rPr>
          <w:rFonts w:ascii="Arial" w:cs="Arial" w:eastAsia="Arial" w:hAnsi="Arial"/>
          <w:sz w:val="18"/>
          <w:szCs w:val="18"/>
          <w:color w:val="auto"/>
        </w:rPr>
        <w:t>RESOLVED:</w:t>
      </w:r>
      <w:r>
        <w:rPr>
          <w:sz w:val="20"/>
          <w:szCs w:val="20"/>
          <w:color w:val="auto"/>
        </w:rPr>
        <w:tab/>
      </w:r>
      <w:r>
        <w:rPr>
          <w:rFonts w:ascii="Arial" w:cs="Arial" w:eastAsia="Arial" w:hAnsi="Arial"/>
          <w:sz w:val="16"/>
          <w:szCs w:val="16"/>
          <w:color w:val="auto"/>
        </w:rPr>
        <w:t>Article III, Section I of the Bylaws of this corporation are hereby amended to read as follows:</w:t>
      </w:r>
    </w:p>
    <w:p>
      <w:pPr>
        <w:spacing w:after="0" w:line="225"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SECTION I. The authorized number of directors of the Corporation shall be eleven. The number of directors provided in this Section I may be changed by a Bylaw duly adopted by the affirmative vote of a majority of the outstanding shares entitled to vote or by a resolution of the Board of Directors.</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WITNESS WHEREOF, I hereunto set my hand and affixed the corporate seal of said corporation effective as of the 1st day of September, 1994.</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Cathy L. Smith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CERTIFICATE OF FOURTEENTH AMENDMENT</w:t>
      </w:r>
    </w:p>
    <w:p>
      <w:pPr>
        <w:spacing w:after="0" w:line="21"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TO THE BYLAWS OF</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MICRON TECHNOLOGY, INC.</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 Cathy L. Smith, Corporate Secretary of Micron Technology, Inc. a Delaware corporation, hereby certify that the following resolution was adopted by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on October 27, 1994:</w:t>
      </w:r>
    </w:p>
    <w:p>
      <w:pPr>
        <w:spacing w:after="0" w:line="219" w:lineRule="exact"/>
        <w:rPr>
          <w:sz w:val="20"/>
          <w:szCs w:val="20"/>
          <w:color w:val="auto"/>
        </w:rPr>
      </w:pPr>
    </w:p>
    <w:p>
      <w:pPr>
        <w:ind w:left="360"/>
        <w:spacing w:after="0"/>
        <w:tabs>
          <w:tab w:leader="none" w:pos="1460" w:val="left"/>
        </w:tabs>
        <w:rPr>
          <w:sz w:val="20"/>
          <w:szCs w:val="20"/>
          <w:color w:val="auto"/>
        </w:rPr>
      </w:pPr>
      <w:r>
        <w:rPr>
          <w:rFonts w:ascii="Arial" w:cs="Arial" w:eastAsia="Arial" w:hAnsi="Arial"/>
          <w:sz w:val="18"/>
          <w:szCs w:val="18"/>
          <w:color w:val="auto"/>
        </w:rPr>
        <w:t>RESOLVED:</w:t>
      </w:r>
      <w:r>
        <w:rPr>
          <w:sz w:val="20"/>
          <w:szCs w:val="20"/>
          <w:color w:val="auto"/>
        </w:rPr>
        <w:tab/>
      </w:r>
      <w:r>
        <w:rPr>
          <w:rFonts w:ascii="Arial" w:cs="Arial" w:eastAsia="Arial" w:hAnsi="Arial"/>
          <w:sz w:val="16"/>
          <w:szCs w:val="16"/>
          <w:color w:val="auto"/>
        </w:rPr>
        <w:t>Article III, Section I of the Bylaws of this corporation are hereby amended to read as follows:</w:t>
      </w:r>
    </w:p>
    <w:p>
      <w:pPr>
        <w:spacing w:after="0" w:line="225"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SECTION I. The authorized number of directors of the Corporation shall be ten. The number of directors provided in this Section I may be changed by a Bylaw duly adopted by the affirmative vote of a majority of the outstanding shares entitled to vote or by a resolution of the Board of Directors.</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WITNESS WHEREOF, I hereunto set my hand and affixed the corporate seal of said corporation effective as of the 27th day of October, 1994.</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Cathy L. Smith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CERTIFICATE OF FIFTEENTH AMENDMENT</w:t>
      </w:r>
    </w:p>
    <w:p>
      <w:pPr>
        <w:spacing w:after="0" w:line="21"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TO THE BYLAWS OF</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MICRON TECHNOLOGY, INC.</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 Jan R. Reimer, Assistant Secretary of Micron Technology, Inc., a Delaware corporation, hereby certify that the following resolution was adopted by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on February 5, 1996:</w:t>
      </w:r>
    </w:p>
    <w:p>
      <w:pPr>
        <w:spacing w:after="0" w:line="219"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RESOLVED, that pursuant to Article VIII, Section 1 of the Company's Bylaws, the Board hereby amends Article V, Section 1 of the Bylaws to read in its entirety as follows:</w:t>
      </w:r>
    </w:p>
    <w:p>
      <w:pPr>
        <w:spacing w:after="0" w:line="186" w:lineRule="exact"/>
        <w:rPr>
          <w:sz w:val="20"/>
          <w:szCs w:val="20"/>
          <w:color w:val="auto"/>
        </w:rPr>
      </w:pPr>
    </w:p>
    <w:p>
      <w:pPr>
        <w:jc w:val="both"/>
        <w:ind w:firstLine="348"/>
        <w:spacing w:after="0" w:line="306" w:lineRule="auto"/>
        <w:rPr>
          <w:sz w:val="20"/>
          <w:szCs w:val="20"/>
          <w:color w:val="auto"/>
        </w:rPr>
      </w:pPr>
      <w:r>
        <w:rPr>
          <w:rFonts w:ascii="Arial" w:cs="Arial" w:eastAsia="Arial" w:hAnsi="Arial"/>
          <w:sz w:val="16"/>
          <w:szCs w:val="16"/>
          <w:color w:val="auto"/>
        </w:rPr>
        <w:t>The officers of the corporation shall be chosen by the Board of Directors, and shall be a president or chief executive officer, a secretary, and a treasurer. The Board of Directors may also choose additional officers, including a president, vice president(s), and one or more assistant secretaries and assistant treasurers. Any number of offices may be held by the same person, unless the Certificate of Incorporation or these Bylaws otherwise provide.</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WITNESS WHEREOF, I hereunto set my hand and affixed the corporate seal of said corporation effective as of the 7th day of February, 1996.</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Jan R. Reimer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Assistant Secretary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CERTIFICATE OF SIXTEENTH AMENDMENT</w:t>
      </w:r>
    </w:p>
    <w:p>
      <w:pPr>
        <w:spacing w:after="0" w:line="21"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TO THE BYLAWS OF</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MICRON TECHNOLOGY, INC.</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 Jan R. Reimer, Assistant Secretary of Micron Technology, Inc., a Delaware corporation, hereby certify that the following resolutions were adopted by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on September 30, 1996:</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RESOLVED, that Article II, Section 10 of the Bylaws of this Company be amended to read as follows:</w:t>
      </w:r>
    </w:p>
    <w:p>
      <w:pPr>
        <w:sectPr>
          <w:pgSz w:w="11900" w:h="16838" w:orient="portrait"/>
          <w:cols w:equalWidth="0" w:num="1">
            <w:col w:w="11380"/>
          </w:cols>
          <w:pgMar w:left="240" w:top="341" w:right="279" w:bottom="80" w:gutter="0" w:footer="0" w:header="0"/>
        </w:sectPr>
      </w:pPr>
    </w:p>
    <w:bookmarkStart w:id="48" w:name="page49"/>
    <w:bookmarkEnd w:id="48"/>
    <w:p>
      <w:pPr>
        <w:ind w:right="340" w:firstLine="351"/>
        <w:spacing w:after="0" w:line="255" w:lineRule="auto"/>
        <w:rPr>
          <w:sz w:val="20"/>
          <w:szCs w:val="20"/>
          <w:color w:val="auto"/>
        </w:rPr>
      </w:pPr>
      <w:r>
        <w:rPr>
          <w:rFonts w:ascii="Arial" w:cs="Arial" w:eastAsia="Arial" w:hAnsi="Arial"/>
          <w:sz w:val="18"/>
          <w:szCs w:val="18"/>
          <w:color w:val="auto"/>
        </w:rPr>
        <w:t>SECTION 10. At all elections of directors of the corporation each stockholder having voting power shall be entitled to exercise the right of cumulative voting as provided in the Certificate of Incorporation. However, no stockholder shall be entitled to cumulate votes for a candidate or candidates unless such candidate's name or candidates' names have been placed in nomination prior to the voting and a stockholder has given written notice to Secretary of the corporation of the stockholder's intention to cumulate votes at least 15 days prior to the date of the meeting. If any stockholder has given such notice, all stockholders may cumulate their votes for candidates in nomination.</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RESOLVED FURTHER, that Article II of the Bylaws of this Company be amended to add Section 12, which will read in its entirety as follows:</w:t>
      </w:r>
    </w:p>
    <w:p>
      <w:pPr>
        <w:spacing w:after="0" w:line="248" w:lineRule="exact"/>
        <w:rPr>
          <w:sz w:val="20"/>
          <w:szCs w:val="20"/>
          <w:color w:val="auto"/>
        </w:rPr>
      </w:pPr>
    </w:p>
    <w:p>
      <w:pPr>
        <w:ind w:left="360"/>
        <w:spacing w:after="0"/>
        <w:tabs>
          <w:tab w:leader="none" w:pos="1500"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5"/>
          <w:szCs w:val="15"/>
          <w:color w:val="auto"/>
        </w:rPr>
        <w:t>Advance Notice of Stockholder Nominees and Stockholder Business</w:t>
      </w:r>
    </w:p>
    <w:p>
      <w:pPr>
        <w:spacing w:after="0" w:line="225" w:lineRule="exact"/>
        <w:rPr>
          <w:sz w:val="20"/>
          <w:szCs w:val="20"/>
          <w:color w:val="auto"/>
        </w:rPr>
      </w:pPr>
    </w:p>
    <w:p>
      <w:pPr>
        <w:ind w:left="1260" w:hanging="361"/>
        <w:spacing w:after="0"/>
        <w:tabs>
          <w:tab w:leader="none" w:pos="1260" w:val="left"/>
        </w:tabs>
        <w:numPr>
          <w:ilvl w:val="1"/>
          <w:numId w:val="14"/>
        </w:numPr>
        <w:rPr>
          <w:rFonts w:ascii="Arial" w:cs="Arial" w:eastAsia="Arial" w:hAnsi="Arial"/>
          <w:sz w:val="16"/>
          <w:szCs w:val="16"/>
          <w:color w:val="auto"/>
        </w:rPr>
      </w:pPr>
      <w:r>
        <w:rPr>
          <w:rFonts w:ascii="Arial" w:cs="Arial" w:eastAsia="Arial" w:hAnsi="Arial"/>
          <w:sz w:val="16"/>
          <w:szCs w:val="16"/>
          <w:color w:val="auto"/>
        </w:rPr>
        <w:t>To be properly brought before an annual meeting or special meeting, nominations for the election of directors or other business must be</w:t>
      </w:r>
    </w:p>
    <w:p>
      <w:pPr>
        <w:spacing w:after="0" w:line="38" w:lineRule="exact"/>
        <w:rPr>
          <w:rFonts w:ascii="Arial" w:cs="Arial" w:eastAsia="Arial" w:hAnsi="Arial"/>
          <w:sz w:val="16"/>
          <w:szCs w:val="16"/>
          <w:color w:val="auto"/>
        </w:rPr>
      </w:pPr>
    </w:p>
    <w:p>
      <w:pPr>
        <w:ind w:left="540" w:right="380" w:firstLine="8"/>
        <w:spacing w:after="0" w:line="323" w:lineRule="auto"/>
        <w:tabs>
          <w:tab w:leader="none" w:pos="75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specified in the notice of meeting (or any supplement thereto) given by or at the direction of the board of directors, (ii) otherwise properly brought before the meeting by or at the direction of the board of directors or (iii) otherwise properly brought before the meeting by a stockholder.</w:t>
      </w:r>
    </w:p>
    <w:p>
      <w:pPr>
        <w:spacing w:after="0" w:line="146" w:lineRule="exact"/>
        <w:rPr>
          <w:rFonts w:ascii="Arial" w:cs="Arial" w:eastAsia="Arial" w:hAnsi="Arial"/>
          <w:sz w:val="16"/>
          <w:szCs w:val="16"/>
          <w:color w:val="auto"/>
        </w:rPr>
      </w:pPr>
    </w:p>
    <w:p>
      <w:pPr>
        <w:ind w:left="540" w:right="20" w:firstLine="359"/>
        <w:spacing w:after="0" w:line="285" w:lineRule="auto"/>
        <w:tabs>
          <w:tab w:leader="none" w:pos="1271" w:val="left"/>
        </w:tabs>
        <w:numPr>
          <w:ilvl w:val="1"/>
          <w:numId w:val="15"/>
        </w:numPr>
        <w:rPr>
          <w:rFonts w:ascii="Arial" w:cs="Arial" w:eastAsia="Arial" w:hAnsi="Arial"/>
          <w:sz w:val="16"/>
          <w:szCs w:val="16"/>
          <w:color w:val="auto"/>
        </w:rPr>
      </w:pPr>
      <w:r>
        <w:rPr>
          <w:rFonts w:ascii="Arial" w:cs="Arial" w:eastAsia="Arial" w:hAnsi="Arial"/>
          <w:sz w:val="16"/>
          <w:szCs w:val="16"/>
          <w:color w:val="auto"/>
        </w:rPr>
        <w:t>For business to be properly brought before an annual meeting by a stockholder, the stockholder must have given timely notice thereof in writing to the Secretary of the corporation. To be timely, a stockholder's notice must be delivered to or mailed and received at the principal executive office of the corporation not less than one hundred twenty (120) calendar days in advance of the date specified in the corporation's proxy statement released to stockholders in connection with the previous year's annual meeting of stockholders; provided, however, that in the event that no annual meeting was held in the previous year or the date of the annual meeting has been changed by more than thirty (30) days from the date contemplated at the time of the previous year's proxy statement, notice by the stockholder to be timely must be so received a reasonable time before the solicitation is made. A stockholder's notice to the Secretary shall set forth as to each matter the stockholder proposes to bring before the annual meeting: (i) a brief description of the business desired to be brought before the annual meeting and the reasons for conducting such business at the annual meeting, (ii) the name and address, as they appear on the corporation's books, of the stockholder proposing such business, (iii) the class and number of shares of the corporation which are beneficially owned by the stockholder, (iv) any material interest of the stockholder in such business and (v) any other information that is required to be provided by the stockholder pursuant to Regulation 14A under the securities Exchange Act of 1934, as amended (the "Exchange Act"), in his capacity as a proponent to a stockholder proposal. Notwithstanding the foregoing, in order to include information with respect to a stockholder proposal in the proxy statement and form of proxy for a stockholders' meeting, stockholders must provide notice as required by the regulations promulgated under the Exchange Act. Notwithstanding anything in these bylaws to the contrary, no business shall be conducted at any annual meeting except in accordance with the procedures set forth in this Section 12. The chairman of the annual meeting shall, if the facts warrant, determine and declare at the meeting that business was not properly brought before the meeting and in accordance with the provisions of this Section 12, and, if he should so determine, he shall so declare at the meeting that any such business not properly brought before the meeting shall not be transacted.</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77" w:lineRule="exact"/>
        <w:rPr>
          <w:rFonts w:ascii="Arial" w:cs="Arial" w:eastAsia="Arial" w:hAnsi="Arial"/>
          <w:sz w:val="16"/>
          <w:szCs w:val="16"/>
          <w:color w:val="auto"/>
        </w:rPr>
      </w:pPr>
    </w:p>
    <w:p>
      <w:pPr>
        <w:ind w:left="540" w:right="20" w:firstLine="359"/>
        <w:spacing w:after="0" w:line="301" w:lineRule="auto"/>
        <w:tabs>
          <w:tab w:leader="none" w:pos="1262" w:val="left"/>
        </w:tabs>
        <w:numPr>
          <w:ilvl w:val="1"/>
          <w:numId w:val="15"/>
        </w:numPr>
        <w:rPr>
          <w:rFonts w:ascii="Arial" w:cs="Arial" w:eastAsia="Arial" w:hAnsi="Arial"/>
          <w:sz w:val="15"/>
          <w:szCs w:val="15"/>
          <w:color w:val="auto"/>
        </w:rPr>
      </w:pPr>
      <w:r>
        <w:rPr>
          <w:rFonts w:ascii="Arial" w:cs="Arial" w:eastAsia="Arial" w:hAnsi="Arial"/>
          <w:sz w:val="15"/>
          <w:szCs w:val="15"/>
          <w:color w:val="auto"/>
        </w:rPr>
        <w:t>Only persons who are nominated in accordance with the procedures set forth in this paragraph (c) shall be eligible for election as directors. Nominations of persons for election to the Board of Directors of the corporation may be made at a meeting of stockholders by or at the direction of the Board of Directors or by any stockholder of the corporation entitled to vote in the election of directors at the meeting who complies with the notice procedures set forth in this paragraph (c). Such nominations, other than those made by or at the direction of the Board of Directors, shall be made pursuant to timely notice in writing to the Secretary of the corporation in accordance with the provisions of paragraph (b) of this Section 12. Such stockholder's notice shall set forth (i) as to each person, if any, whom the stockholder proposes to nominate for election or re-election as a director: (A) the name, age, business address and residence address of such person, (B) the principal occupation or employment of such person, (C) the class and number of shares of the corporation which are beneficially owned by such person, (D) a description of all arrangements or understandings between the stockholder and each nominee and any other person or persons (naming such person or persons) pursuant to which the nominations are to be made by the stockholder and</w:t>
      </w:r>
    </w:p>
    <w:p>
      <w:pPr>
        <w:spacing w:after="0" w:line="4" w:lineRule="exact"/>
        <w:rPr>
          <w:rFonts w:ascii="Arial" w:cs="Arial" w:eastAsia="Arial" w:hAnsi="Arial"/>
          <w:sz w:val="15"/>
          <w:szCs w:val="15"/>
          <w:color w:val="auto"/>
        </w:rPr>
      </w:pPr>
    </w:p>
    <w:p>
      <w:pPr>
        <w:ind w:left="540"/>
        <w:spacing w:after="0" w:line="287" w:lineRule="auto"/>
        <w:rPr>
          <w:rFonts w:ascii="Arial" w:cs="Arial" w:eastAsia="Arial" w:hAnsi="Arial"/>
          <w:sz w:val="15"/>
          <w:szCs w:val="15"/>
          <w:color w:val="auto"/>
        </w:rPr>
      </w:pPr>
      <w:r>
        <w:rPr>
          <w:rFonts w:ascii="Arial" w:cs="Arial" w:eastAsia="Arial" w:hAnsi="Arial"/>
          <w:sz w:val="16"/>
          <w:szCs w:val="16"/>
          <w:color w:val="auto"/>
        </w:rPr>
        <w:t>(E) any other information relating to such person that is required to be disclosed in solicitations of proxies for elections of directors, or is otherwise required, in each case pursuant to Regulation 14A under the Exchange Act (including without limitation such person's written consent to being named in the proxy statement, if any, as a nominee and to serving as a director if elected); and (ii) as to such stockholder giving notice, the information required to be provided pursuant to paragraph (b) of this Section 12. At the request of the Board of Directors, any person nominated by a stockholder for election as a director shall furnish to the Secretary of the corporation that information required to be set forth in the stockholder's notice of nomination which pertains to the nominee. No person shall be eligible for election as a director of the corporation unless nominated in accordance with the procedures set forth in this paragraph (c). The chairman of the meeting shall, if the facts warrant, determine and declare at the meeting that a nomination was not made in accordance with the procedures prescribed by these bylaws; and if he should so determine, he shall so declare at the meeting, and the defective nomination shall be disregarded.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-2938145</wp:posOffset>
            </wp:positionV>
            <wp:extent cx="7250430" cy="2159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RESOLVED FURTHER, that Article III, Section 1 of the Bylaws of this Company be amended to read as follows:</w:t>
      </w:r>
    </w:p>
    <w:p>
      <w:pPr>
        <w:spacing w:after="0" w:line="225"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SECTION 1. The authorized number of directors of the Corporation shall be seven. The number of directors provided in this Section 1 may be changed by a Bylaw duly adopted by the affirmative vote of a majority of the outstanding shares entitled to vote or by a resolution of the Board of Directors.</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WITNESS WHEREOF, I hereunto set my hand and affixed the corporate seal of said corporation effective as of the 30th day of September, 1996.</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 JAN R. REIMER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Assistant Secretary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CERTIFICATE OF SEVENTEENTH AMENDMENT</w:t>
      </w:r>
    </w:p>
    <w:p>
      <w:pPr>
        <w:spacing w:after="0" w:line="21"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TO THE BYLAWS OF</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MICRON TECHNOLOGY, INC.</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 Jan R. Reimer, Assistant Secretary of Micron Technology, Inc., a Delaware corporation, hereby certify that the following resolutions were adopted by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on June 30, 1997:</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RESOLVED, that Article III, Section 1 of the Bylaws of this Company be amended to read as follows:</w:t>
      </w:r>
    </w:p>
    <w:p>
      <w:pPr>
        <w:sectPr>
          <w:pgSz w:w="11900" w:h="16838" w:orient="portrait"/>
          <w:cols w:equalWidth="0" w:num="1">
            <w:col w:w="11420"/>
          </w:cols>
          <w:pgMar w:left="240" w:top="131" w:right="239" w:bottom="0" w:gutter="0" w:footer="0" w:header="0"/>
        </w:sectPr>
      </w:pPr>
    </w:p>
    <w:bookmarkStart w:id="49" w:name="page50"/>
    <w:bookmarkEnd w:id="49"/>
    <w:p>
      <w:pPr>
        <w:spacing w:after="0" w:line="73"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SECTION 1. The authorized number of directors of the Corporation shall be eight. The number of directors provided in this Section 1 may be changed by a Bylaw duly adopted by the affirmative vote of a majority of the outstanding shares entitled to vote or by a resolution of the Board of Directors.</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WITNESS WHEREOF, I hereunto set my hand and affix the corporate seal of said corporation effective as of the 30th day of June, 1997.</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 JAN R. REIMER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Assistant Secretary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CERTIFICATE OF EIGHTEENTH AMENDMENT</w:t>
      </w:r>
    </w:p>
    <w:p>
      <w:pPr>
        <w:spacing w:after="0" w:line="21"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TO THE BYLAWS OF</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MICRON TECHNOLOGY, INC.</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 Jan R. Reimer, Assistant Secretary of Micron Technology, Inc., a Delaware corporation, hereby certify that the following resolutions were adopted by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on April 14, 1998:</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RESOLVED, that Article III, Section 1 of the Bylaws of this Company be amended to read as follows:</w:t>
      </w:r>
    </w:p>
    <w:p>
      <w:pPr>
        <w:spacing w:after="0" w:line="225"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SECTION 1. The authorized number of directors of the Corporation shall be nine. The number of directors provided in this Section 1 may be changed by a Bylaw duly adopted by the affirmative vote of a majority of the outstanding shares entitled to vote or by a resolution of the Board of Directors.</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WITNESS WHEREOF, I hereunto set my hand and affix the corporate seal of said corporation effective as of the 20th day of July, 1998.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JAN R. REIMER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Assistant Secretary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CERTIFICATE OF NINETEENTH AMENDMENT</w:t>
      </w:r>
    </w:p>
    <w:p>
      <w:pPr>
        <w:spacing w:after="0" w:line="21"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TO THE BYLAWS OF</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MICRON TECHNOLOGY, INC.</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 Jan R. Reimer, Assistant Secretary of Micron Technology, Inc., a Delaware corporation, hereby certify that the following resolutions were adopted by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on November 23, 1998:</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RESOLVED, that Article III, Section 1 of the Bylaws of this Company be amended to read as follows:</w:t>
      </w:r>
    </w:p>
    <w:p>
      <w:pPr>
        <w:spacing w:after="0" w:line="225"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SECTION 1. The authorized number of directors of the Corporation shall be eight. The number of directors provided in this Section 1 may be changed by a Bylaw duly adopted by the affirmative vote of a majority of the outstanding shares entitled to vote or by a resolution of the Board of Directors.</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WITNESS WHEREOF, I hereunto set my hand and affix the corporate seal of said corporation effective as of the 23rd day of November, 1998.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 JAN R. REIMER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Assistant Secretary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CERTIFICATE OF TWENTIETH AMENDMENT</w:t>
      </w:r>
    </w:p>
    <w:p>
      <w:pPr>
        <w:spacing w:after="0" w:line="21"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TO THE BYLAWS OF</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MICRON TECHNOLOGY, INC.</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 Jan R. Reimer, Assistant Secretary of Micron Technology, Inc., a Delaware corporation, hereby certify that the following resolutions were adopted by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on June 16, 1999:</w:t>
      </w:r>
    </w:p>
    <w:p>
      <w:pPr>
        <w:spacing w:after="0" w:line="219"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RESOLVED, that pursuant to Article VIII, Section 1 of the Company's Bylaws, the Board hereby amends Article III, Sections 14 and 15 of the Bylaws to read in their entirety as follows:</w:t>
      </w:r>
    </w:p>
    <w:p>
      <w:pPr>
        <w:spacing w:after="0" w:line="186"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color w:val="auto"/>
        </w:rPr>
        <w:t>"SECTION 14. The Board of Directors may, by resolution passed by a majority of the authorized number of directors, appoint an executive committee consisting of one or more of the directors of the corporation. The Board may designate one or more directors as alternate members of any committee, who may replace any absent or disqualified member at any meeting of the committee. The executive committee, to the extent provided in the resolution of the Board of Directors and subject to any limitation by statute, shall have and may exercise all the powers and authority of the Board of Directors in the management of the business and affairs of the corporation, and may authorize the seal of the corporation to be affixed to all papers which may require it; but it shall not have the power or authority in reference to amending the Certificate of Incorporation, adopting an agreement of merger or consolidation, recommending to the stockholders the sale, lease or exchange of all or substantially all of the corporation's property and assets, recommending to the stockholders a dissolution of the corporation or a revocation of a dissolution, or amending the Bylaws of the corporation; and, unless the resolution or the Certificate of Incorporation expressly so provide, it shall not have the power of authority to declare a dividend or to authorize the issuance of stock.</w:t>
      </w:r>
    </w:p>
    <w:p>
      <w:pPr>
        <w:spacing w:after="0" w:line="174" w:lineRule="exact"/>
        <w:rPr>
          <w:sz w:val="20"/>
          <w:szCs w:val="20"/>
          <w:color w:val="auto"/>
        </w:rPr>
      </w:pPr>
    </w:p>
    <w:p>
      <w:pPr>
        <w:ind w:right="240" w:firstLine="351"/>
        <w:spacing w:after="0" w:line="332" w:lineRule="auto"/>
        <w:rPr>
          <w:sz w:val="20"/>
          <w:szCs w:val="20"/>
          <w:color w:val="auto"/>
        </w:rPr>
      </w:pPr>
      <w:r>
        <w:rPr>
          <w:rFonts w:ascii="Arial" w:cs="Arial" w:eastAsia="Arial" w:hAnsi="Arial"/>
          <w:sz w:val="16"/>
          <w:szCs w:val="16"/>
          <w:color w:val="auto"/>
        </w:rPr>
        <w:t>SECTION 15. The Board of Directors may, by resolution adopted by a majority of the authorized number of directors, designate such other committees, each consisting of one or more directors, as it may from time to time deem advisable to perform such general or special duties as may from time to time be</w:t>
      </w:r>
    </w:p>
    <w:p>
      <w:pPr>
        <w:sectPr>
          <w:pgSz w:w="11900" w:h="16912" w:orient="portrait"/>
          <w:cols w:equalWidth="0" w:num="1">
            <w:col w:w="11420"/>
          </w:cols>
          <w:pgMar w:left="240" w:top="131" w:right="239" w:bottom="0" w:gutter="0" w:footer="0" w:header="0"/>
        </w:sectPr>
      </w:pPr>
    </w:p>
    <w:bookmarkStart w:id="50" w:name="page51"/>
    <w:bookmarkEnd w:id="50"/>
    <w:p>
      <w:pPr>
        <w:ind w:right="120"/>
        <w:spacing w:after="0" w:line="370" w:lineRule="auto"/>
        <w:rPr>
          <w:sz w:val="20"/>
          <w:szCs w:val="20"/>
          <w:color w:val="auto"/>
        </w:rPr>
      </w:pPr>
      <w:r>
        <w:rPr>
          <w:rFonts w:ascii="Arial" w:cs="Arial" w:eastAsia="Arial" w:hAnsi="Arial"/>
          <w:sz w:val="15"/>
          <w:szCs w:val="15"/>
          <w:color w:val="auto"/>
        </w:rPr>
        <w:t>delegated to any such committee by the Board of Directors, subject to the limitations imposed by statute or the Certificate of Incorporation or by these Bylaws. The Board may designate one or more directors as alternate members of any committee, who may replace any absent member at any meeting of the committee."</w:t>
      </w:r>
    </w:p>
    <w:p>
      <w:pPr>
        <w:spacing w:after="0" w:line="116"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RESOLVED FURTHER, that any and all actions taken prior to the adoption of the foregoing resolution by the "Employee Option Committee" of the Board are hereby ratified, confirmed, approved and adopted as actions of the Company.</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WITNESS WHEREOF, I hereunto set my hand and affix the corporate seal of said corporation effective as of the 16th day of June, 1999.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 JAN R. REIMER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Assistant Secretary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CERTIFICATE OF TWENTY-FIRST AMENDMENT</w:t>
      </w:r>
    </w:p>
    <w:p>
      <w:pPr>
        <w:spacing w:after="0" w:line="21"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TO THE BYLAWS OF</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MICRON TECHNOLOGY, INC.</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 Jan R. Reimer, Assistant Secretary of Micron Technology, Inc., a Delaware corporation, hereby certify that the following resolutions were adopted by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on November 23, 1999:</w:t>
      </w:r>
    </w:p>
    <w:p>
      <w:pPr>
        <w:spacing w:after="0" w:line="219"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RESOLVED, that pursuant to Article VIII, Section 1 of the Company's Bylaws, the Board hereby amends Article III, Section 1 of the Bylaws to read in its entirety as follows:</w:t>
      </w:r>
    </w:p>
    <w:p>
      <w:pPr>
        <w:spacing w:after="0" w:line="186"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SECTION 1. The authorized number of directors of the Corporation shall be seven. The number of directors provided in this Section 1 may be changed by a Bylaw duly adopted by the affirmative vote of a majority of the outstanding shares entitled to vote or by a resolution of the Board of Directors.</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RESOLVED FURTHER, that the Board hereby amends Article II, Section 12 of the Company's Bylaws to read in its entirely as follows:</w:t>
      </w:r>
    </w:p>
    <w:p>
      <w:pPr>
        <w:spacing w:after="0" w:line="225" w:lineRule="exact"/>
        <w:rPr>
          <w:sz w:val="20"/>
          <w:szCs w:val="20"/>
          <w:color w:val="auto"/>
        </w:rPr>
      </w:pPr>
    </w:p>
    <w:p>
      <w:pPr>
        <w:ind w:left="360"/>
        <w:spacing w:after="0"/>
        <w:tabs>
          <w:tab w:leader="none" w:pos="1500"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5"/>
          <w:szCs w:val="15"/>
          <w:color w:val="auto"/>
        </w:rPr>
        <w:t>Advance Notice of Stockholder Nominees and Stockholder Business</w:t>
      </w:r>
    </w:p>
    <w:p>
      <w:pPr>
        <w:spacing w:after="0" w:line="225" w:lineRule="exact"/>
        <w:rPr>
          <w:sz w:val="20"/>
          <w:szCs w:val="20"/>
          <w:color w:val="auto"/>
        </w:rPr>
      </w:pPr>
    </w:p>
    <w:p>
      <w:pPr>
        <w:ind w:left="1180" w:hanging="281"/>
        <w:spacing w:after="0"/>
        <w:tabs>
          <w:tab w:leader="none" w:pos="1180" w:val="left"/>
        </w:tabs>
        <w:numPr>
          <w:ilvl w:val="1"/>
          <w:numId w:val="16"/>
        </w:numPr>
        <w:rPr>
          <w:rFonts w:ascii="Arial" w:cs="Arial" w:eastAsia="Arial" w:hAnsi="Arial"/>
          <w:sz w:val="16"/>
          <w:szCs w:val="16"/>
          <w:color w:val="auto"/>
        </w:rPr>
      </w:pPr>
      <w:r>
        <w:rPr>
          <w:rFonts w:ascii="Arial" w:cs="Arial" w:eastAsia="Arial" w:hAnsi="Arial"/>
          <w:sz w:val="16"/>
          <w:szCs w:val="16"/>
          <w:color w:val="auto"/>
        </w:rPr>
        <w:t>To be properly brought before an annual meeting or special meeting, nominations for the election of directors or other business must be</w:t>
      </w:r>
    </w:p>
    <w:p>
      <w:pPr>
        <w:spacing w:after="0" w:line="38" w:lineRule="exact"/>
        <w:rPr>
          <w:rFonts w:ascii="Arial" w:cs="Arial" w:eastAsia="Arial" w:hAnsi="Arial"/>
          <w:sz w:val="16"/>
          <w:szCs w:val="16"/>
          <w:color w:val="auto"/>
        </w:rPr>
      </w:pPr>
    </w:p>
    <w:p>
      <w:pPr>
        <w:ind w:left="540" w:right="360" w:firstLine="8"/>
        <w:spacing w:after="0" w:line="323" w:lineRule="auto"/>
        <w:tabs>
          <w:tab w:leader="none" w:pos="75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specified in the notice of meeting (or any supplement thereto) given by or at the direction of the board of directors, (ii) otherwise properly brought before the meeting by or at the direction of the board of directors or (iii) otherwise properly brought before the meeting by a stockholder.</w:t>
      </w:r>
    </w:p>
    <w:p>
      <w:pPr>
        <w:spacing w:after="0" w:line="146" w:lineRule="exact"/>
        <w:rPr>
          <w:rFonts w:ascii="Arial" w:cs="Arial" w:eastAsia="Arial" w:hAnsi="Arial"/>
          <w:sz w:val="16"/>
          <w:szCs w:val="16"/>
          <w:color w:val="auto"/>
        </w:rPr>
      </w:pPr>
    </w:p>
    <w:p>
      <w:pPr>
        <w:ind w:left="540" w:right="40" w:firstLine="359"/>
        <w:spacing w:after="0" w:line="285" w:lineRule="auto"/>
        <w:tabs>
          <w:tab w:leader="none" w:pos="1184" w:val="left"/>
        </w:tabs>
        <w:numPr>
          <w:ilvl w:val="1"/>
          <w:numId w:val="17"/>
        </w:numPr>
        <w:rPr>
          <w:rFonts w:ascii="Arial" w:cs="Arial" w:eastAsia="Arial" w:hAnsi="Arial"/>
          <w:sz w:val="16"/>
          <w:szCs w:val="16"/>
          <w:color w:val="auto"/>
        </w:rPr>
      </w:pPr>
      <w:r>
        <w:rPr>
          <w:rFonts w:ascii="Arial" w:cs="Arial" w:eastAsia="Arial" w:hAnsi="Arial"/>
          <w:sz w:val="16"/>
          <w:szCs w:val="16"/>
          <w:color w:val="auto"/>
        </w:rPr>
        <w:t>For business to be properly brought before an annual meeting by a stockholder, the stockholder must have given timely notice thereof in writing to the Secretary of the corporation. To be timely, a stockholder's notice must be delivered to or mailed and received at the principal executive office of the corporation not less than one hundred twenty (120) calendar days in advance of the date of the corporation's proxy statement released to stockholders in connection with the previous year's annual meeting of stockholders; provided, however, that in the event that no annual meeting was held in the previous year or the date of the annual meeting has been changed by more than thirty (30) days from the date contemplated at the time of the previous year's proxy statement, notice by the stockholder to be timely must be so received a reasonable time before the solicitation is made. A stockholder's notice to the Secretary shall set forth as to each matter the stockholder proposes to bring before the annual meeting: (i) a brief description of the business desired to be brought before the annual meeting and the reasons for conducting such business at the annual meeting, (ii) the name and address, as they appear on the corporation's books, of the stockholder proposing such business, (iii) the class and number of shares of the corporation which are beneficially owned by the stockholder, (iv) any material interest of the stockholder in such business and (v) any other information that is required to be provided by the stockholder pursuant to Regulation 14A under the Securities Exchange Act of 1934, as amended (the "Exchange Act"), in his capacity as a proponent to a stockholder proposal. Notwithstanding the foregoing, in order to include information with respect to a stockholder proposal in the proxy statement and form of proxy for a stockholders' meeting, stockholders must provide notice as required by the regulations promulgated under the Exchange Act. Notwithstanding anything in these bylaws to the contrary, no business shall be conducted at any annual meeting except in accordance with the procedures set forth in this Section 12. The chairman of the annual meeting shall, if the facts warrant, determine and declare at the meeting that business was not properly brought before the meeting and in accordance with the provisions of this Section 12, and, if he should so determine, he shall so declare at the meeting that any such business not properly brought before the meeting shall not be transacted.</w:t>
      </w:r>
    </w:p>
    <w:p>
      <w:pPr>
        <w:spacing w:after="0" w:line="175" w:lineRule="exact"/>
        <w:rPr>
          <w:rFonts w:ascii="Arial" w:cs="Arial" w:eastAsia="Arial" w:hAnsi="Arial"/>
          <w:sz w:val="16"/>
          <w:szCs w:val="16"/>
          <w:color w:val="auto"/>
        </w:rPr>
      </w:pPr>
    </w:p>
    <w:p>
      <w:pPr>
        <w:ind w:left="540" w:right="260" w:firstLine="359"/>
        <w:spacing w:after="0" w:line="256" w:lineRule="auto"/>
        <w:tabs>
          <w:tab w:leader="none" w:pos="1174" w:val="left"/>
        </w:tabs>
        <w:numPr>
          <w:ilvl w:val="1"/>
          <w:numId w:val="17"/>
        </w:numPr>
        <w:rPr>
          <w:rFonts w:ascii="Arial" w:cs="Arial" w:eastAsia="Arial" w:hAnsi="Arial"/>
          <w:sz w:val="18"/>
          <w:szCs w:val="18"/>
          <w:color w:val="auto"/>
        </w:rPr>
      </w:pPr>
      <w:r>
        <w:rPr>
          <w:rFonts w:ascii="Arial" w:cs="Arial" w:eastAsia="Arial" w:hAnsi="Arial"/>
          <w:sz w:val="18"/>
          <w:szCs w:val="18"/>
          <w:color w:val="auto"/>
        </w:rPr>
        <w:t>Only persons who are nominated in accordance with the procedures set forth in this paragraph (c) shall be eligible for election as directors. Nominations of persons for election to the Board of Directors of the corporation may be made at a meeting of stockholders by or at the direction of the Board of Directors or by any stockholder of the corporation entitled to vote in the election of directors at the meeting who complies with the notice procedures set forth in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7250430" cy="2159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40"/>
        <w:spacing w:after="0" w:line="306" w:lineRule="auto"/>
        <w:rPr>
          <w:sz w:val="20"/>
          <w:szCs w:val="20"/>
          <w:color w:val="auto"/>
        </w:rPr>
      </w:pPr>
      <w:r>
        <w:rPr>
          <w:rFonts w:ascii="Arial" w:cs="Arial" w:eastAsia="Arial" w:hAnsi="Arial"/>
          <w:sz w:val="15"/>
          <w:szCs w:val="15"/>
          <w:color w:val="auto"/>
        </w:rPr>
        <w:t>paragraph (c). Such nominations, other than those made by or at the direction of the Board of Directors, shall be made pursuant to timely notice in writing to the Secretary of the corporation in accordance with the provisions of paragraph (b) of this Section 12. Such stockholder's notice shall set forth (i) as to each person, if any, whom the stockholder proposes to nominate for election or re-election as a director: (A) the name, age, business address and residence address of such person, (B) the principal occupation or employment of such person, (C) the class and number of shares of the corporation which are beneficially owned by such person, (D) a description of all arrangements or understandings between the stockholder and each nominee and any other person or persons (naming such person or persons) pursuant to which the nominations are to be made by the stockholder and (E) any other information relating to such person that is required to be disclosed in solicitations of proxies for elections of directors, or is otherwise required, in each case pursuant to Regulation 14A under the Exchange Act (including without limitation such person's written consent to being named in the proxy statement, if any, as a nominee and to serving as a director if elected); and (ii) as to such stockholder giving notice, the information required to be provided pursuant to paragraph (b) of this Section 12. At the request of the Board of Directors, any person nominated by a stockholder for election as a director shall furnish to the Secretary of the corporation that information required to be set forth in the stockholder's notice of nomination which pertains to the nominee. The chairman of the meeting shall, if the facts warrant, determine and declare at the meeting that a nomination was not made in accordance with the</w:t>
      </w:r>
    </w:p>
    <w:p>
      <w:pPr>
        <w:sectPr>
          <w:pgSz w:w="11900" w:h="16838" w:orient="portrait"/>
          <w:cols w:equalWidth="0" w:num="1">
            <w:col w:w="11400"/>
          </w:cols>
          <w:pgMar w:left="240" w:top="131" w:right="259" w:bottom="0" w:gutter="0" w:footer="0" w:header="0"/>
        </w:sectPr>
      </w:pPr>
    </w:p>
    <w:bookmarkStart w:id="51" w:name="page52"/>
    <w:bookmarkEnd w:id="51"/>
    <w:p>
      <w:pPr>
        <w:ind w:left="540" w:right="860"/>
        <w:spacing w:after="0" w:line="268" w:lineRule="auto"/>
        <w:rPr>
          <w:sz w:val="20"/>
          <w:szCs w:val="20"/>
          <w:color w:val="auto"/>
        </w:rPr>
      </w:pPr>
      <w:r>
        <w:rPr>
          <w:rFonts w:ascii="Arial" w:cs="Arial" w:eastAsia="Arial" w:hAnsi="Arial"/>
          <w:sz w:val="18"/>
          <w:szCs w:val="18"/>
          <w:color w:val="auto"/>
        </w:rPr>
        <w:t>procedures prescribed by these bylaws; and if he should so determine, he shall so declare at the meeting, and the defective nomination shall be disregarded.</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WITNESS WHEREOF, I hereunto set my hand and affix the corporate seal of said corporation effective as of the 23rd day of November, 1999.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 JAN R. REIMER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Assistant Secretary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CERTIFICATE OF TWENTY-SECOND AMENDMENT</w:t>
      </w:r>
    </w:p>
    <w:p>
      <w:pPr>
        <w:spacing w:after="0" w:line="21"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TO THE BYLAWS OF</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MICRON TECHNOLOGY, INC.</w:t>
      </w:r>
    </w:p>
    <w:p>
      <w:pPr>
        <w:spacing w:after="0" w:line="219"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color w:val="auto"/>
        </w:rPr>
        <w:t>I, Jan R. Reimer, Assistant Corporate Secretary of Micron Technology, Inc., a Delaware corporation (the "Company"), hereby certify that the following resolutions were adopted by the Board of Directors on September 10, 2002:</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WHEREAS, the Bylaws of the Company have been amended by the Board from time to time as it has deemed advisable, necessary or convenient; and</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WHEREAS, the Company's Bylaws indicate that the President of the Company will participate as an ex officio member of all board committees; and</w:t>
      </w:r>
    </w:p>
    <w:p>
      <w:pPr>
        <w:spacing w:after="0" w:line="248"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WHEREAS, such provisions may be inconsistent with provisions of the Sarbanes-Oxley Act of 2002 ("SOXA") requiring that certain Board committees consist solely of independent directors; and</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WHEREAS, the Board has determined that it is in the best interests of the Company to amend the foregoing Bylaws to comply with SOXA;</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NOW, THEREFORE, BE IT RESOLVED, Article V, Section 7 of the Bylaws of the Company be, and the same hereby is, amended to read as follows: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"PRESIDENT</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SECTION 7. Subject to such supervisory powers, if any, as may be given by the Board of Directors to the Chairman of the Board, if there be such an officer, the President shall be the general manager of the corporation and shall, subject to the control of the Board of Directors, have general supervision, direction, and control of the business and officers of the corporation. He shall preside at all meetings of the shareholders and in the absence of the Chairman of the Board or if there be none, at all meetings of the Board of Directors. He shall have the general powers and duties of management usually vested in the office of president of a corporation, and shall have such other powers and duties as may be prescribed by the Board of Directors or by these Bylaws."</w:t>
      </w:r>
    </w:p>
    <w:p>
      <w:pPr>
        <w:spacing w:after="0" w:line="170"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color w:val="auto"/>
        </w:rPr>
        <w:t>FURTHER RESOLVED, that the officers of the Company, including the Secretary and Assistant Secretary, be, and each of them hereby is, authorized and directed in the name and on behalf of the Company to do and perform any and all such acts and things, to sign or make such certificates, instruments, notices, statements, filings and to take or omit such other actions as they or each of them in his or her sole discretion may deem necessary or desirable, in order to carry out the intent or purposes of the above resolution.</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WITNESS WHEREOF, I hereunto set my hand and affix the corporate seal of said Company effective as of the 10th day of September, 2002.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 JAN R. REIMER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Assistant Corporate Secretary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EXHIBIT 3.7</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BYLAWS OF MICRON TECHNOLOGY, INC.</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ARTICLE I OFFICES</w:t>
        </w:r>
      </w:hyperlink>
    </w:p>
    <w:p>
      <w:pPr>
        <w:spacing w:after="0" w:line="15" w:lineRule="exact"/>
        <w:rPr>
          <w:sz w:val="20"/>
          <w:szCs w:val="20"/>
          <w:color w:val="auto"/>
        </w:rPr>
      </w:pPr>
    </w:p>
    <w:p>
      <w:pPr>
        <w:ind w:left="54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ARTICLE II MEETINGS OF STOCKHOLDERS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ARTICLE III DIRECTORS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ARTICLE IV NOTICES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ARTICLE V OFFICERS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ARTICLE VI CERTIFICATE OF STOCK</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ARTICLE VII GENERAL PROVISIONS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ARTICLE VIII AMENDMENTS</w:t>
        </w:r>
      </w:hyperlink>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CERTIFICATE OF FIRST AMENDMENT TO THE BYLAWS OF MICRON TECHNOLOGY, INC.</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CERTIFICATE OF SECOND AMENDMENT TO THE BYLAWS OF MICRON TECHNOLOGY, INC.</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CERTIFICATE THIRD AMENDMENT TO THE BYLAWS OF MICRON TECHNOLOGY, INC.</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CERTIFICATE OF FOURTH AMENDMENT TO THE BYLAWS OF MICRON TECHNOLOGY, INC.</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CERTIFICATE OF FIFTH AMENDMENT TO THE BYLAWS OF MICRON TECHNOLOGY, INC.</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CERTIFICATE OF SIXTH AMENDMENT TO THE BYLAWS OF MICRON TECHNOLOGY, INC.</w:t>
        </w:r>
      </w:hyperlink>
    </w:p>
    <w:p>
      <w:pPr>
        <w:sectPr>
          <w:pgSz w:w="11900" w:h="16838" w:orient="portrait"/>
          <w:cols w:equalWidth="0" w:num="1">
            <w:col w:w="11420"/>
          </w:cols>
          <w:pgMar w:left="240" w:top="131" w:right="239" w:bottom="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CERTIFICATE OF SEVENTH AMENDMENT TO THE BYLAWS OF MICRON TECHNOLOGY, INC.</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CERTIFICATE OF EIGHTH AMENDMENT TO THE BYLAWS OF MICRON TECHNOLOGY, INC.</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CERTIFICATE OF NINTH AMENDMENT TO THE BYLAWS OF MICRON TECHNOLOGY, INC.</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CERTIFICATE OF TENTH AMENDMENT TO THE BYLAWS OF MICRON TECHNOLOGY, INC.</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CERTIFICATE OF ELEVENTH AMENDMENT TO THE BYLAWS OF MICRON TECHNOLOGY, INC.</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CERTIFICATE OF TWELFTH AMENDMENT TO THE BYLAWS OF MICRON TECHNOLOGY, INC.</w:t>
        </w:r>
      </w:hyperlink>
    </w:p>
    <w:p>
      <w:pPr>
        <w:spacing w:after="0" w:line="9" w:lineRule="exact"/>
        <w:rPr>
          <w:sz w:val="20"/>
          <w:szCs w:val="20"/>
          <w:color w:val="auto"/>
        </w:rPr>
      </w:pPr>
    </w:p>
    <w:p>
      <w:pPr>
        <w:spacing w:after="0"/>
        <w:rPr>
          <w:rFonts w:ascii="Arial" w:cs="Arial" w:eastAsia="Arial" w:hAnsi="Arial"/>
          <w:sz w:val="16"/>
          <w:szCs w:val="16"/>
          <w:u w:val="single" w:color="auto"/>
          <w:color w:val="0000EE"/>
        </w:rPr>
      </w:pPr>
      <w:hyperlink w:anchor="page48">
        <w:r>
          <w:rPr>
            <w:rFonts w:ascii="Arial" w:cs="Arial" w:eastAsia="Arial" w:hAnsi="Arial"/>
            <w:sz w:val="16"/>
            <w:szCs w:val="16"/>
            <w:u w:val="single" w:color="auto"/>
            <w:color w:val="0000EE"/>
          </w:rPr>
          <w:t>CERTIFICATE OF THIRTEENTH AMENDMENT TO THE BYLAWS OF MICRON TECHNOLOGY, INC.</w:t>
        </w:r>
      </w:hyperlink>
    </w:p>
    <w:p>
      <w:pPr>
        <w:spacing w:after="0" w:line="32" w:lineRule="exact"/>
        <w:rPr>
          <w:sz w:val="20"/>
          <w:szCs w:val="20"/>
          <w:color w:val="auto"/>
        </w:rPr>
      </w:pPr>
    </w:p>
    <w:p>
      <w:pPr>
        <w:spacing w:after="0"/>
        <w:rPr>
          <w:rFonts w:ascii="Arial" w:cs="Arial" w:eastAsia="Arial" w:hAnsi="Arial"/>
          <w:sz w:val="16"/>
          <w:szCs w:val="16"/>
          <w:u w:val="single" w:color="auto"/>
          <w:color w:val="0000EE"/>
        </w:rPr>
      </w:pPr>
      <w:hyperlink w:anchor="page48">
        <w:r>
          <w:rPr>
            <w:rFonts w:ascii="Arial" w:cs="Arial" w:eastAsia="Arial" w:hAnsi="Arial"/>
            <w:sz w:val="16"/>
            <w:szCs w:val="16"/>
            <w:u w:val="single" w:color="auto"/>
            <w:color w:val="0000EE"/>
          </w:rPr>
          <w:t>CERTIFICATE OF FOURTEENTH AMENDMENT TO THE BYLAWS OF MICRON TECHNOLOGY, INC.</w:t>
        </w:r>
      </w:hyperlink>
    </w:p>
    <w:p>
      <w:pPr>
        <w:spacing w:after="0" w:line="32" w:lineRule="exact"/>
        <w:rPr>
          <w:sz w:val="20"/>
          <w:szCs w:val="20"/>
          <w:color w:val="auto"/>
        </w:rPr>
      </w:pPr>
    </w:p>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CERTIFICATE OF FIFTEENTH AMENDMENT TO THE BYLAWS OF MICRON TECHNOLOGY, INC.</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CERTIFICATE OF SIXTEENTH AMENDMENT TO THE BYLAWS OF MICRON TECHNOLOGY, INC.</w:t>
        </w:r>
      </w:hyperlink>
    </w:p>
    <w:p>
      <w:pPr>
        <w:spacing w:after="0" w:line="9" w:lineRule="exact"/>
        <w:rPr>
          <w:sz w:val="20"/>
          <w:szCs w:val="20"/>
          <w:color w:val="auto"/>
        </w:rPr>
      </w:pPr>
    </w:p>
    <w:p>
      <w:pPr>
        <w:spacing w:after="0"/>
        <w:rPr>
          <w:rFonts w:ascii="Arial" w:cs="Arial" w:eastAsia="Arial" w:hAnsi="Arial"/>
          <w:sz w:val="16"/>
          <w:szCs w:val="16"/>
          <w:u w:val="single" w:color="auto"/>
          <w:color w:val="0000EE"/>
        </w:rPr>
      </w:pPr>
      <w:hyperlink w:anchor="page49">
        <w:r>
          <w:rPr>
            <w:rFonts w:ascii="Arial" w:cs="Arial" w:eastAsia="Arial" w:hAnsi="Arial"/>
            <w:sz w:val="16"/>
            <w:szCs w:val="16"/>
            <w:u w:val="single" w:color="auto"/>
            <w:color w:val="0000EE"/>
          </w:rPr>
          <w:t>CERTIFICATE OF SEVENTEENTH AMENDMENT TO THE BYLAWS OF MICRON TECHNOLOGY, INC.</w:t>
        </w:r>
      </w:hyperlink>
    </w:p>
    <w:p>
      <w:pPr>
        <w:spacing w:after="0" w:line="32" w:lineRule="exact"/>
        <w:rPr>
          <w:sz w:val="20"/>
          <w:szCs w:val="20"/>
          <w:color w:val="auto"/>
        </w:rPr>
      </w:pPr>
    </w:p>
    <w:p>
      <w:pPr>
        <w:spacing w:after="0"/>
        <w:rPr>
          <w:rFonts w:ascii="Arial" w:cs="Arial" w:eastAsia="Arial" w:hAnsi="Arial"/>
          <w:sz w:val="16"/>
          <w:szCs w:val="16"/>
          <w:u w:val="single" w:color="auto"/>
          <w:color w:val="0000EE"/>
        </w:rPr>
      </w:pPr>
      <w:hyperlink w:anchor="page50">
        <w:r>
          <w:rPr>
            <w:rFonts w:ascii="Arial" w:cs="Arial" w:eastAsia="Arial" w:hAnsi="Arial"/>
            <w:sz w:val="16"/>
            <w:szCs w:val="16"/>
            <w:u w:val="single" w:color="auto"/>
            <w:color w:val="0000EE"/>
          </w:rPr>
          <w:t>CERTIFICATE OF EIGHTEENTH AMENDMENT TO THE BYLAWS OF MICRON TECHNOLOGY, INC.</w:t>
        </w:r>
      </w:hyperlink>
    </w:p>
    <w:p>
      <w:pPr>
        <w:spacing w:after="0" w:line="32" w:lineRule="exact"/>
        <w:rPr>
          <w:sz w:val="20"/>
          <w:szCs w:val="20"/>
          <w:color w:val="auto"/>
        </w:rPr>
      </w:pPr>
    </w:p>
    <w:p>
      <w:pPr>
        <w:spacing w:after="0"/>
        <w:rPr>
          <w:rFonts w:ascii="Arial" w:cs="Arial" w:eastAsia="Arial" w:hAnsi="Arial"/>
          <w:sz w:val="16"/>
          <w:szCs w:val="16"/>
          <w:u w:val="single" w:color="auto"/>
          <w:color w:val="0000EE"/>
        </w:rPr>
      </w:pPr>
      <w:hyperlink w:anchor="page50">
        <w:r>
          <w:rPr>
            <w:rFonts w:ascii="Arial" w:cs="Arial" w:eastAsia="Arial" w:hAnsi="Arial"/>
            <w:sz w:val="16"/>
            <w:szCs w:val="16"/>
            <w:u w:val="single" w:color="auto"/>
            <w:color w:val="0000EE"/>
          </w:rPr>
          <w:t>CERTIFICATE OF NINETEENTH AMENDMENT TO THE BYLAWS OF MICRON TECHNOLOGY, INC.</w:t>
        </w:r>
      </w:hyperlink>
    </w:p>
    <w:p>
      <w:pPr>
        <w:spacing w:after="0" w:line="32" w:lineRule="exact"/>
        <w:rPr>
          <w:sz w:val="20"/>
          <w:szCs w:val="20"/>
          <w:color w:val="auto"/>
        </w:rPr>
      </w:pPr>
    </w:p>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CERTIFICATE OF TWENTIETH AMENDMENT TO THE BYLAWS OF MICRON TECHNOLOGY, INC.</w:t>
        </w:r>
      </w:hyperlink>
    </w:p>
    <w:p>
      <w:pPr>
        <w:spacing w:after="0" w:line="9" w:lineRule="exact"/>
        <w:rPr>
          <w:sz w:val="20"/>
          <w:szCs w:val="20"/>
          <w:color w:val="auto"/>
        </w:rPr>
      </w:pPr>
    </w:p>
    <w:p>
      <w:pPr>
        <w:spacing w:after="0"/>
        <w:rPr>
          <w:rFonts w:ascii="Arial" w:cs="Arial" w:eastAsia="Arial" w:hAnsi="Arial"/>
          <w:sz w:val="16"/>
          <w:szCs w:val="16"/>
          <w:u w:val="single" w:color="auto"/>
          <w:color w:val="0000EE"/>
        </w:rPr>
      </w:pPr>
      <w:hyperlink w:anchor="page51">
        <w:r>
          <w:rPr>
            <w:rFonts w:ascii="Arial" w:cs="Arial" w:eastAsia="Arial" w:hAnsi="Arial"/>
            <w:sz w:val="16"/>
            <w:szCs w:val="16"/>
            <w:u w:val="single" w:color="auto"/>
            <w:color w:val="0000EE"/>
          </w:rPr>
          <w:t>CERTIFICATE OF TWENTY-FIRST AMENDMENT TO THE BYLAWS OF MICRON TECHNOLOGY, INC.</w:t>
        </w:r>
      </w:hyperlink>
    </w:p>
    <w:p>
      <w:pPr>
        <w:spacing w:after="0" w:line="32" w:lineRule="exact"/>
        <w:rPr>
          <w:sz w:val="20"/>
          <w:szCs w:val="20"/>
          <w:color w:val="auto"/>
        </w:rPr>
      </w:pPr>
    </w:p>
    <w:p>
      <w:pPr>
        <w:spacing w:after="0"/>
        <w:rPr>
          <w:rFonts w:ascii="Arial" w:cs="Arial" w:eastAsia="Arial" w:hAnsi="Arial"/>
          <w:sz w:val="16"/>
          <w:szCs w:val="16"/>
          <w:u w:val="single" w:color="auto"/>
          <w:color w:val="0000EE"/>
        </w:rPr>
      </w:pPr>
      <w:hyperlink w:anchor="page52">
        <w:r>
          <w:rPr>
            <w:rFonts w:ascii="Arial" w:cs="Arial" w:eastAsia="Arial" w:hAnsi="Arial"/>
            <w:sz w:val="16"/>
            <w:szCs w:val="16"/>
            <w:u w:val="single" w:color="auto"/>
            <w:color w:val="0000EE"/>
          </w:rPr>
          <w:t>CERTIFICATE OF TWENTY-SECOND AMENDMENT TO THE BYLAWS OF MICRON TECHNOLOGY, INC.</w:t>
        </w:r>
      </w:hyperlink>
    </w:p>
    <w:p>
      <w:pPr>
        <w:sectPr>
          <w:pgSz w:w="11900" w:h="16838" w:orient="portrait"/>
          <w:cols w:equalWidth="0" w:num="1">
            <w:col w:w="10219"/>
          </w:cols>
          <w:pgMar w:left="240" w:top="131" w:right="1440" w:bottom="1440" w:gutter="0" w:footer="0" w:header="0"/>
        </w:sectPr>
      </w:pPr>
    </w:p>
    <w:bookmarkStart w:id="53" w:name="page54"/>
    <w:bookmarkEnd w:id="53"/>
    <w:p>
      <w:pPr>
        <w:spacing w:after="0"/>
        <w:rPr>
          <w:rFonts w:ascii="Arial" w:cs="Arial" w:eastAsia="Arial" w:hAnsi="Arial"/>
          <w:sz w:val="22"/>
          <w:szCs w:val="22"/>
          <w:color w:val="0000EE"/>
        </w:rPr>
      </w:pPr>
      <w:hyperlink w:anchor="page54">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80" w:type="dxa"/>
            <w:vAlign w:val="bottom"/>
          </w:tcPr>
          <w:p>
            <w:pPr>
              <w:ind w:left="1140"/>
              <w:spacing w:after="0"/>
              <w:rPr>
                <w:sz w:val="20"/>
                <w:szCs w:val="20"/>
                <w:color w:val="auto"/>
              </w:rPr>
            </w:pPr>
            <w:r>
              <w:rPr>
                <w:rFonts w:ascii="Arial" w:cs="Arial" w:eastAsia="Arial" w:hAnsi="Arial"/>
                <w:sz w:val="18"/>
                <w:szCs w:val="18"/>
                <w:b w:val="1"/>
                <w:bCs w:val="1"/>
                <w:color w:val="auto"/>
              </w:rPr>
              <w:t>EXHIBIT 21.1</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8780" w:type="dxa"/>
            <w:vAlign w:val="bottom"/>
          </w:tcPr>
          <w:p>
            <w:pPr>
              <w:jc w:val="center"/>
              <w:ind w:left="2512"/>
              <w:spacing w:after="0"/>
              <w:rPr>
                <w:sz w:val="20"/>
                <w:szCs w:val="20"/>
                <w:color w:val="auto"/>
              </w:rPr>
            </w:pPr>
            <w:r>
              <w:rPr>
                <w:rFonts w:ascii="Arial" w:cs="Arial" w:eastAsia="Arial" w:hAnsi="Arial"/>
                <w:sz w:val="18"/>
                <w:szCs w:val="18"/>
                <w:b w:val="1"/>
                <w:bCs w:val="1"/>
                <w:color w:val="auto"/>
                <w:w w:val="99"/>
              </w:rPr>
              <w:t>MICRON TECHNOLOGY, INC.</w:t>
            </w:r>
          </w:p>
        </w:tc>
        <w:tc>
          <w:tcPr>
            <w:tcW w:w="3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780" w:type="dxa"/>
            <w:vAlign w:val="bottom"/>
          </w:tcPr>
          <w:p>
            <w:pPr>
              <w:jc w:val="center"/>
              <w:ind w:left="2472"/>
              <w:spacing w:after="0"/>
              <w:rPr>
                <w:sz w:val="20"/>
                <w:szCs w:val="20"/>
                <w:color w:val="auto"/>
              </w:rPr>
            </w:pPr>
            <w:r>
              <w:rPr>
                <w:rFonts w:ascii="Arial" w:cs="Arial" w:eastAsia="Arial" w:hAnsi="Arial"/>
                <w:sz w:val="18"/>
                <w:szCs w:val="18"/>
                <w:b w:val="1"/>
                <w:bCs w:val="1"/>
                <w:color w:val="auto"/>
                <w:w w:val="97"/>
              </w:rPr>
              <w:t>SUBSIDIARIES OF THE REGISTRANT</w:t>
            </w:r>
          </w:p>
        </w:tc>
        <w:tc>
          <w:tcPr>
            <w:tcW w:w="3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8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80" w:type="dxa"/>
            <w:vAlign w:val="bottom"/>
          </w:tcPr>
          <w:p>
            <w:pPr>
              <w:ind w:left="520"/>
              <w:spacing w:after="0"/>
              <w:rPr>
                <w:sz w:val="20"/>
                <w:szCs w:val="20"/>
                <w:color w:val="auto"/>
              </w:rPr>
            </w:pPr>
            <w:r>
              <w:rPr>
                <w:rFonts w:ascii="Arial" w:cs="Arial" w:eastAsia="Arial" w:hAnsi="Arial"/>
                <w:sz w:val="14"/>
                <w:szCs w:val="14"/>
                <w:b w:val="1"/>
                <w:bCs w:val="1"/>
                <w:color w:val="auto"/>
              </w:rPr>
              <w:t>State (or jurisdiction)</w:t>
            </w:r>
          </w:p>
        </w:tc>
        <w:tc>
          <w:tcPr>
            <w:tcW w:w="0" w:type="dxa"/>
            <w:vAlign w:val="bottom"/>
          </w:tcPr>
          <w:p>
            <w:pPr>
              <w:spacing w:after="0"/>
              <w:rPr>
                <w:sz w:val="1"/>
                <w:szCs w:val="1"/>
                <w:color w:val="auto"/>
              </w:rPr>
            </w:pPr>
          </w:p>
        </w:tc>
      </w:tr>
      <w:tr>
        <w:trPr>
          <w:trHeight w:val="174"/>
        </w:trPr>
        <w:tc>
          <w:tcPr>
            <w:tcW w:w="88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40" w:type="dxa"/>
            <w:vAlign w:val="bottom"/>
          </w:tcPr>
          <w:p>
            <w:pPr>
              <w:spacing w:after="0"/>
              <w:rPr>
                <w:sz w:val="15"/>
                <w:szCs w:val="15"/>
                <w:color w:val="auto"/>
              </w:rPr>
            </w:pPr>
          </w:p>
        </w:tc>
        <w:tc>
          <w:tcPr>
            <w:tcW w:w="2280" w:type="dxa"/>
            <w:vAlign w:val="bottom"/>
          </w:tcPr>
          <w:p>
            <w:pPr>
              <w:ind w:left="580"/>
              <w:spacing w:after="0"/>
              <w:rPr>
                <w:sz w:val="20"/>
                <w:szCs w:val="20"/>
                <w:color w:val="auto"/>
              </w:rPr>
            </w:pPr>
            <w:r>
              <w:rPr>
                <w:rFonts w:ascii="Arial" w:cs="Arial" w:eastAsia="Arial" w:hAnsi="Arial"/>
                <w:sz w:val="14"/>
                <w:szCs w:val="14"/>
                <w:b w:val="1"/>
                <w:bCs w:val="1"/>
                <w:color w:val="auto"/>
              </w:rPr>
              <w:t>in which Organized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7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2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Micron Europe Limited Also does business as Crucial Technology Europe</w:t>
            </w:r>
          </w:p>
        </w:tc>
        <w:tc>
          <w:tcPr>
            <w:tcW w:w="34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Micron Japan, Ltd.</w:t>
            </w:r>
          </w:p>
        </w:tc>
        <w:tc>
          <w:tcPr>
            <w:tcW w:w="34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Micron Semiconductor Asia Pte. Ltd. Also does business as Crucial Technology Asia</w:t>
            </w:r>
          </w:p>
        </w:tc>
        <w:tc>
          <w:tcPr>
            <w:tcW w:w="34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Singapore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Micron Semiconductor (Deutschland) GmbH</w:t>
            </w:r>
          </w:p>
        </w:tc>
        <w:tc>
          <w:tcPr>
            <w:tcW w:w="34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Micron Semiconductor Products, Inc. Also does business as Crucial Technology</w:t>
            </w:r>
          </w:p>
        </w:tc>
        <w:tc>
          <w:tcPr>
            <w:tcW w:w="34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Idaho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Micron Semiconductor (Xiamen) Co., Ltd.</w:t>
            </w:r>
          </w:p>
        </w:tc>
        <w:tc>
          <w:tcPr>
            <w:tcW w:w="34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Micron Technology Asia Pacific, Inc.</w:t>
            </w:r>
          </w:p>
        </w:tc>
        <w:tc>
          <w:tcPr>
            <w:tcW w:w="34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Idaho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Micron Technology Italia S.r.l.</w:t>
            </w:r>
          </w:p>
        </w:tc>
        <w:tc>
          <w:tcPr>
            <w:tcW w:w="34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Italy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Micron Technology Services, Inc.</w:t>
            </w:r>
          </w:p>
        </w:tc>
        <w:tc>
          <w:tcPr>
            <w:tcW w:w="34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Idaho</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Micron Technology Texas, LLC</w:t>
            </w:r>
          </w:p>
        </w:tc>
        <w:tc>
          <w:tcPr>
            <w:tcW w:w="340" w:type="dxa"/>
            <w:vAlign w:val="bottom"/>
          </w:tcPr>
          <w:p>
            <w:pPr>
              <w:spacing w:after="0"/>
              <w:rPr>
                <w:sz w:val="19"/>
                <w:szCs w:val="19"/>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Idaho</w:t>
            </w:r>
          </w:p>
        </w:tc>
        <w:tc>
          <w:tcPr>
            <w:tcW w:w="0" w:type="dxa"/>
            <w:vAlign w:val="bottom"/>
          </w:tcPr>
          <w:p>
            <w:pPr>
              <w:spacing w:after="0"/>
              <w:rPr>
                <w:sz w:val="1"/>
                <w:szCs w:val="1"/>
                <w:color w:val="auto"/>
              </w:rPr>
            </w:pPr>
          </w:p>
        </w:tc>
      </w:tr>
      <w:tr>
        <w:trPr>
          <w:trHeight w:val="112"/>
        </w:trPr>
        <w:tc>
          <w:tcPr>
            <w:tcW w:w="20" w:type="dxa"/>
            <w:vAlign w:val="bottom"/>
            <w:tcBorders>
              <w:bottom w:val="single" w:sz="8" w:color="808080"/>
            </w:tcBorders>
          </w:tcPr>
          <w:p>
            <w:pPr>
              <w:spacing w:after="0"/>
              <w:rPr>
                <w:sz w:val="9"/>
                <w:szCs w:val="9"/>
                <w:color w:val="auto"/>
              </w:rPr>
            </w:pPr>
          </w:p>
        </w:tc>
        <w:tc>
          <w:tcPr>
            <w:tcW w:w="87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2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-1540510</wp:posOffset>
            </wp:positionV>
            <wp:extent cx="12700" cy="889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-1540510</wp:posOffset>
            </wp:positionV>
            <wp:extent cx="12700" cy="889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-1540510</wp:posOffset>
            </wp:positionV>
            <wp:extent cx="12700" cy="889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-1540510</wp:posOffset>
            </wp:positionV>
            <wp:extent cx="12700" cy="889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EXHIBIT 21.1</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MICRON TECHNOLOGY, INC. SUBSIDIARIES OF THE REGISTRANT</w:t>
        </w:r>
      </w:hyperlink>
    </w:p>
    <w:p>
      <w:pPr>
        <w:sectPr>
          <w:pgSz w:w="11900" w:h="16838" w:orient="portrait"/>
          <w:cols w:equalWidth="0" w:num="1">
            <w:col w:w="11420"/>
          </w:cols>
          <w:pgMar w:left="240" w:top="361" w:right="239" w:bottom="1440" w:gutter="0" w:footer="0" w:header="0"/>
        </w:sectPr>
      </w:pPr>
    </w:p>
    <w:bookmarkStart w:id="54" w:name="page55"/>
    <w:bookmarkEnd w:id="54"/>
    <w:p>
      <w:pPr>
        <w:spacing w:after="0"/>
        <w:rPr>
          <w:rFonts w:ascii="Arial" w:cs="Arial" w:eastAsia="Arial" w:hAnsi="Arial"/>
          <w:sz w:val="22"/>
          <w:szCs w:val="22"/>
          <w:color w:val="0000EE"/>
        </w:rPr>
      </w:pPr>
      <w:hyperlink w:anchor="page55">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280"/>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CONSENT OF INDEPENDENT ACCOUNTANTS</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hereby consent to the incorporation by reference in the Registration Statement on Form S-3 as amended (File No. 333-33050) and Forms S-8 (File Nos. 33-3686, 33-16832, 33-27078, 33-38665, 33-38926, 33-65050, 33-52653, 33-57887, 333-07283, 333-17073, 333-50323, 333-65449, 333-71249, 333-82549, 333-99271) of Micron Technology, Inc. and subsidiaries of our report dated September 24, 2002 relating to the consolidated financial statements and financial statement schedule, which appear in this Annual Report on Form 10-K.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Jose, CA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October 14,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EXHIBIT 23.1</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CONSENT OF INDEPENDENT ACCOUNTANTS</w:t>
        </w:r>
      </w:hyperlink>
    </w:p>
    <w:p>
      <w:pPr>
        <w:sectPr>
          <w:pgSz w:w="11900" w:h="16838" w:orient="portrait"/>
          <w:cols w:equalWidth="0" w:num="1">
            <w:col w:w="11420"/>
          </w:cols>
          <w:pgMar w:left="240" w:top="361" w:right="239" w:bottom="1440" w:gutter="0" w:footer="0" w:header="0"/>
        </w:sectPr>
      </w:pPr>
    </w:p>
    <w:bookmarkStart w:id="55" w:name="page56"/>
    <w:bookmarkEnd w:id="55"/>
    <w:p>
      <w:pPr>
        <w:spacing w:after="0"/>
        <w:rPr>
          <w:rFonts w:ascii="Arial" w:cs="Arial" w:eastAsia="Arial" w:hAnsi="Arial"/>
          <w:sz w:val="22"/>
          <w:szCs w:val="22"/>
          <w:color w:val="0000EE"/>
        </w:rPr>
      </w:pPr>
      <w:hyperlink w:anchor="page56">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I, Steven R. Appleton, certify, pursuant to 18 U.S.C. Section 1350, as adopted pursuant to Section 906 of the Sarbanes-Oxley Act of 2002, that the Annual Report of Micron Technology, Inc. on Form 10-K for the fiscal year ended August 29, 2002 fully complies with the requirements of Section 13(a) or 15(d) of the Securities Exchange Act of 1934 and that information contained in such Annual Report on Form 10-K fairly presents, in all material respects, the financial condition and results of operations of Micron Technology, Inc.</w:t>
      </w:r>
    </w:p>
    <w:p>
      <w:pPr>
        <w:spacing w:after="0" w:line="197" w:lineRule="exact"/>
        <w:rPr>
          <w:sz w:val="20"/>
          <w:szCs w:val="20"/>
          <w:color w:val="auto"/>
        </w:rPr>
      </w:pPr>
    </w:p>
    <w:p>
      <w:pPr>
        <w:spacing w:after="0"/>
        <w:tabs>
          <w:tab w:leader="none" w:pos="5480" w:val="left"/>
          <w:tab w:leader="none" w:pos="6380" w:val="left"/>
        </w:tabs>
        <w:rPr>
          <w:sz w:val="20"/>
          <w:szCs w:val="20"/>
          <w:color w:val="auto"/>
        </w:rPr>
      </w:pPr>
      <w:r>
        <w:rPr>
          <w:rFonts w:ascii="Arial" w:cs="Arial" w:eastAsia="Arial" w:hAnsi="Arial"/>
          <w:sz w:val="18"/>
          <w:szCs w:val="18"/>
          <w:color w:val="auto"/>
        </w:rPr>
        <w:t>Date: October 15, 2002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STEVEN R. APPLETON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77470</wp:posOffset>
            </wp:positionV>
            <wp:extent cx="3194050" cy="2159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3194050" cy="21590"/>
                    </a:xfrm>
                    <a:prstGeom prst="rect">
                      <a:avLst/>
                    </a:prstGeom>
                    <a:noFill/>
                  </pic:spPr>
                </pic:pic>
              </a:graphicData>
            </a:graphic>
          </wp:anchor>
        </w:drawing>
      </w:r>
    </w:p>
    <w:p>
      <w:pPr>
        <w:spacing w:after="0" w:line="23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Steven R. Appleton</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i w:val="1"/>
          <w:iCs w:val="1"/>
          <w:color w:val="auto"/>
        </w:rPr>
        <w:t>Chairman of the Board, Chief Executive Officer and President</w:t>
      </w: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I, Wilbur G. Stover, Jr., certify, pursuant to 18 U.S.C. Section 1350, as adopted pursuant to Section 906 of the Sarbanes-Oxley Act of 2002, that the Annual Report of Micron Technology, Inc. on Form 10-K for the fiscal year ended August 29, 2002 fully complies with the requirements of Section 13(a) or 15(d) of the Securities Exchange Act of 1934 and that information contained in such Annual Report on Form 10-K fairly presents, in all material respects, the financial condition and results of operations of Micron Technology, Inc.</w:t>
      </w:r>
    </w:p>
    <w:p>
      <w:pPr>
        <w:spacing w:after="0" w:line="197" w:lineRule="exact"/>
        <w:rPr>
          <w:sz w:val="20"/>
          <w:szCs w:val="20"/>
          <w:color w:val="auto"/>
        </w:rPr>
      </w:pPr>
    </w:p>
    <w:p>
      <w:pPr>
        <w:spacing w:after="0"/>
        <w:tabs>
          <w:tab w:leader="none" w:pos="5480" w:val="left"/>
          <w:tab w:leader="none" w:pos="6380" w:val="left"/>
        </w:tabs>
        <w:rPr>
          <w:sz w:val="20"/>
          <w:szCs w:val="20"/>
          <w:color w:val="auto"/>
        </w:rPr>
      </w:pPr>
      <w:r>
        <w:rPr>
          <w:rFonts w:ascii="Arial" w:cs="Arial" w:eastAsia="Arial" w:hAnsi="Arial"/>
          <w:sz w:val="18"/>
          <w:szCs w:val="18"/>
          <w:color w:val="auto"/>
        </w:rPr>
        <w:t>Date: October 15, 2002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WILBUR G. STOVER,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77470</wp:posOffset>
            </wp:positionV>
            <wp:extent cx="3194050" cy="2159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3194050" cy="21590"/>
                    </a:xfrm>
                    <a:prstGeom prst="rect">
                      <a:avLst/>
                    </a:prstGeom>
                    <a:noFill/>
                  </pic:spPr>
                </pic:pic>
              </a:graphicData>
            </a:graphic>
          </wp:anchor>
        </w:drawing>
      </w:r>
    </w:p>
    <w:p>
      <w:pPr>
        <w:spacing w:after="0" w:line="23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Wilbur G. Stover, Jr.</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i w:val="1"/>
          <w:iCs w:val="1"/>
          <w:color w:val="auto"/>
        </w:rPr>
        <w:t>Vice President of Finance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EXHIBIT 99.1</w:t>
        </w:r>
      </w:hyperlink>
    </w:p>
    <w:p>
      <w:pPr>
        <w:spacing w:after="0" w:line="225" w:lineRule="exact"/>
        <w:rPr>
          <w:sz w:val="20"/>
          <w:szCs w:val="20"/>
          <w:color w:val="auto"/>
        </w:rPr>
      </w:pPr>
    </w:p>
    <w:p>
      <w:pPr>
        <w:ind w:right="80"/>
        <w:spacing w:after="0" w:line="332" w:lineRule="auto"/>
        <w:rPr>
          <w:rFonts w:ascii="Arial" w:cs="Arial" w:eastAsia="Arial" w:hAnsi="Arial"/>
          <w:sz w:val="16"/>
          <w:szCs w:val="16"/>
          <w:u w:val="single" w:color="auto"/>
          <w:color w:val="0000EE"/>
        </w:rPr>
      </w:pPr>
      <w:hyperlink w:anchor="page56">
        <w:r>
          <w:rPr>
            <w:rFonts w:ascii="Arial" w:cs="Arial" w:eastAsia="Arial" w:hAnsi="Arial"/>
            <w:sz w:val="16"/>
            <w:szCs w:val="16"/>
            <w:u w:val="single" w:color="auto"/>
            <w:color w:val="0000EE"/>
          </w:rPr>
          <w:t>CERTIFICATION PURSUANT TO 18 U.S.C. SECTION 1350, AS ADOPTED PURSUANT TO SECTION 906 OF THE SARBANES-OXLEY ACT OF 2002</w:t>
        </w:r>
      </w:hyperlink>
      <w:r>
        <w:rPr>
          <w:rFonts w:ascii="Arial" w:cs="Arial" w:eastAsia="Arial" w:hAnsi="Arial"/>
          <w:sz w:val="16"/>
          <w:szCs w:val="16"/>
          <w:u w:val="single" w:color="auto"/>
          <w:color w:val="0000EE"/>
        </w:rPr>
        <w:t xml:space="preserve"> </w:t>
      </w:r>
      <w:hyperlink w:anchor="page56">
        <w:r>
          <w:rPr>
            <w:rFonts w:ascii="Arial" w:cs="Arial" w:eastAsia="Arial" w:hAnsi="Arial"/>
            <w:sz w:val="16"/>
            <w:szCs w:val="16"/>
            <w:u w:val="single" w:color="auto"/>
            <w:color w:val="0000EE"/>
          </w:rPr>
          <w:t>CERTIFICATION PURSUANT TO 18 U.S.C. SECTION 1350, AS ADOPTED PURSUANT TO SECTION 906 OF THE SARBANES-OXLEY ACT OF 2002</w:t>
        </w:r>
      </w:hyperlink>
    </w:p>
    <w:sectPr>
      <w:pgSz w:w="11900" w:h="16838" w:orient="portrait"/>
      <w:cols w:equalWidth="0" w:num="1">
        <w:col w:w="11380"/>
      </w:cols>
      <w:pgMar w:left="240" w:top="361"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1."/>
      <w:numFmt w:val="upperLetter"/>
      <w:start w:val="11"/>
    </w:lvl>
  </w:abstractNum>
  <w:abstractNum w:abstractNumId="2">
    <w:nsid w:val="4DB127F8"/>
    <w:multiLevelType w:val="hybridMultilevel"/>
    <w:lvl w:ilvl="0">
      <w:lvlJc w:val="left"/>
      <w:lvlText w:val="(%1)"/>
      <w:numFmt w:val="lowerLetter"/>
      <w:start w:val="2"/>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1)"/>
      <w:numFmt w:val="lowerLetter"/>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1)"/>
      <w:numFmt w:val="decimal"/>
      <w:start w:val="10"/>
    </w:lvl>
    <w:lvl w:ilvl="1">
      <w:lvlJc w:val="left"/>
      <w:lvlText w:val="(%2)"/>
      <w:numFmt w:val="lowerLetter"/>
      <w:start w:val="2"/>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lowerLetter"/>
      <w:start w:val="1"/>
    </w:lvl>
    <w:lvl w:ilvl="1">
      <w:lvlJc w:val="left"/>
      <w:lvlText w:val="(%2)"/>
      <w:numFmt w:val="lowerLetter"/>
      <w:start w:val="1"/>
    </w:lvl>
  </w:abstractNum>
  <w:abstractNum w:abstractNumId="14">
    <w:nsid w:val="6B68079A"/>
    <w:multiLevelType w:val="hybridMultilevel"/>
    <w:lvl w:ilvl="0">
      <w:lvlJc w:val="left"/>
      <w:lvlText w:val="(%1)"/>
      <w:numFmt w:val="lowerLetter"/>
      <w:start w:val="9"/>
    </w:lvl>
    <w:lvl w:ilvl="1">
      <w:lvlJc w:val="left"/>
      <w:lvlText w:val="(%2)"/>
      <w:numFmt w:val="lowerLetter"/>
      <w:start w:val="2"/>
    </w:lvl>
  </w:abstractNum>
  <w:abstractNum w:abstractNumId="15">
    <w:nsid w:val="4E6AFB66"/>
    <w:multiLevelType w:val="hybridMultilevel"/>
    <w:lvl w:ilvl="0">
      <w:lvlJc w:val="left"/>
      <w:lvlText w:val="%1"/>
      <w:numFmt w:val="lowerLetter"/>
      <w:start w:val="1"/>
    </w:lvl>
    <w:lvl w:ilvl="1">
      <w:lvlJc w:val="left"/>
      <w:lvlText w:val="(%2)"/>
      <w:numFmt w:val="lowerLetter"/>
      <w:start w:val="1"/>
    </w:lvl>
  </w:abstractNum>
  <w:abstractNum w:abstractNumId="16">
    <w:nsid w:val="25E45D32"/>
    <w:multiLevelType w:val="hybridMultilevel"/>
    <w:lvl w:ilvl="0">
      <w:lvlJc w:val="left"/>
      <w:lvlText w:val="(%1)"/>
      <w:numFmt w:val="lowerLetter"/>
      <w:start w:val="9"/>
    </w:lvl>
    <w:lvl w:ilvl="1">
      <w:lvlJc w:val="left"/>
      <w:lvlText w:val="(%2)"/>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2019-12-12T10:35:56Z</dcterms:created>
  <dcterms:modified xsi:type="dcterms:W3CDTF">2019-12-12T10:35:56Z</dcterms:modified>
</cp:coreProperties>
</file>