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Courier New" w:cs="Courier New" w:eastAsia="Courier New" w:hAnsi="Courier New"/>
          <w:sz w:val="18"/>
          <w:szCs w:val="18"/>
          <w:color w:val="auto"/>
        </w:rPr>
        <w:t>Page 1 of 14 Pages</w:t>
      </w:r>
    </w:p>
    <w:p>
      <w:pPr>
        <w:spacing w:after="0" w:line="200" w:lineRule="exact"/>
        <w:rPr>
          <w:sz w:val="24"/>
          <w:szCs w:val="24"/>
          <w:color w:val="auto"/>
        </w:rPr>
      </w:pPr>
    </w:p>
    <w:p>
      <w:pPr>
        <w:spacing w:after="0" w:line="204"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SECURITIES AND EXCHANGE COMMISSION</w:t>
      </w: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4"/>
          <w:szCs w:val="24"/>
          <w:color w:val="auto"/>
        </w:rPr>
      </w:pPr>
    </w:p>
    <w:p>
      <w:pPr>
        <w:ind w:left="2640" w:right="3359" w:hanging="1895"/>
        <w:spacing w:after="0" w:line="470" w:lineRule="auto"/>
        <w:rPr>
          <w:sz w:val="20"/>
          <w:szCs w:val="20"/>
          <w:color w:val="auto"/>
        </w:rPr>
      </w:pPr>
      <w:r>
        <w:rPr>
          <w:rFonts w:ascii="Courier New" w:cs="Courier New" w:eastAsia="Courier New" w:hAnsi="Courier New"/>
          <w:sz w:val="18"/>
          <w:szCs w:val="18"/>
          <w:color w:val="auto"/>
        </w:rPr>
        <w:t>Information Statement pursuant to Rule 13d-1 and 13d-2 (AMENDMENT NO. 4 )*</w:t>
      </w:r>
    </w:p>
    <w:p>
      <w:pPr>
        <w:spacing w:after="0" w:line="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MICRON TECHNOLOGY INC</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595112103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2419"/>
        <w:spacing w:after="0" w:line="272" w:lineRule="auto"/>
        <w:rPr>
          <w:sz w:val="20"/>
          <w:szCs w:val="20"/>
          <w:color w:val="auto"/>
        </w:rPr>
      </w:pPr>
      <w:r>
        <w:rPr>
          <w:rFonts w:ascii="Courier New" w:cs="Courier New" w:eastAsia="Courier New" w:hAnsi="Courier New"/>
          <w:sz w:val="16"/>
          <w:szCs w:val="16"/>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86" w:lineRule="exact"/>
        <w:rPr>
          <w:sz w:val="24"/>
          <w:szCs w:val="24"/>
          <w:color w:val="auto"/>
        </w:rPr>
      </w:pPr>
    </w:p>
    <w:p>
      <w:pPr>
        <w:jc w:val="both"/>
        <w:ind w:right="2419" w:firstLine="9"/>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 not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be deemed to be 'filed' for the purpose of Section 18 of the Securities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that section of the Act but shall be subject to all other provisions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the Act (however, see the Notes).</w:t>
      </w:r>
    </w:p>
    <w:p>
      <w:pPr>
        <w:spacing w:after="0" w:line="201" w:lineRule="exact"/>
        <w:rPr>
          <w:sz w:val="24"/>
          <w:szCs w:val="24"/>
          <w:color w:val="auto"/>
        </w:rPr>
      </w:pPr>
    </w:p>
    <w:p>
      <w:pPr>
        <w:ind w:left="2020"/>
        <w:spacing w:after="0"/>
        <w:rPr>
          <w:sz w:val="20"/>
          <w:szCs w:val="20"/>
          <w:color w:val="auto"/>
        </w:rPr>
      </w:pPr>
      <w:r>
        <w:rPr>
          <w:rFonts w:ascii="Courier New" w:cs="Courier New" w:eastAsia="Courier New" w:hAnsi="Courier New"/>
          <w:sz w:val="18"/>
          <w:szCs w:val="18"/>
          <w:color w:val="auto"/>
        </w:rPr>
        <w:t>(CONTINUED ON FOLLOWING PAGE(S))</w:t>
      </w:r>
    </w:p>
    <w:p>
      <w:pPr>
        <w:sectPr>
          <w:pgSz w:w="11900" w:h="16838" w:orient="portrait"/>
          <w:cols w:equalWidth="0" w:num="1">
            <w:col w:w="9799"/>
          </w:cols>
          <w:pgMar w:left="66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2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|AXA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3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|AXA Assurances Vie Mutuelle</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4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I.A.R.D.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5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|Alpha Assurances Vie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86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6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|Uni Europe Assurance Mutuelle</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[X]</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|12|TYPE OF REPORTING PERSON *</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17"/>
                <w:szCs w:val="17"/>
                <w:color w:val="auto"/>
              </w:rPr>
            </w:pPr>
          </w:p>
        </w:tc>
        <w:tc>
          <w:tcPr>
            <w:tcW w:w="186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IC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04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1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7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|AXA</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|France</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6940" w:type="dxa"/>
            <w:vAlign w:val="bottom"/>
            <w:gridSpan w:val="5"/>
          </w:tcPr>
          <w:p>
            <w:pPr>
              <w:ind w:left="20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2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595112103 |</w:t>
            </w: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w w:val="92"/>
              </w:rPr>
              <w:t>13G</w:t>
            </w:r>
          </w:p>
        </w:tc>
        <w:tc>
          <w:tcPr>
            <w:tcW w:w="23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 Page 8 of 14 Pages |</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w:t>
            </w:r>
          </w:p>
        </w:tc>
        <w:tc>
          <w:tcPr>
            <w:tcW w:w="11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spacing w:after="0"/>
              <w:rPr>
                <w:sz w:val="17"/>
                <w:szCs w:val="17"/>
                <w:color w:val="auto"/>
              </w:rPr>
            </w:pP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 1|NAME OF REPORTING PERSON</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49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|THE EQUITABLE COMPANIES INCORPORATED</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5900" w:type="dxa"/>
            <w:vAlign w:val="bottom"/>
            <w:gridSpan w:val="4"/>
          </w:tcPr>
          <w:p>
            <w:pPr>
              <w:ind w:left="200"/>
              <w:spacing w:after="0" w:line="203" w:lineRule="exact"/>
              <w:rPr>
                <w:sz w:val="20"/>
                <w:szCs w:val="20"/>
                <w:color w:val="auto"/>
              </w:rPr>
            </w:pPr>
            <w:r>
              <w:rPr>
                <w:rFonts w:ascii="Courier New" w:cs="Courier New" w:eastAsia="Courier New" w:hAnsi="Courier New"/>
                <w:sz w:val="18"/>
                <w:szCs w:val="18"/>
                <w:color w:val="auto"/>
              </w:rPr>
              <w:t>|S.S. OR I.R.S. IDENTIFICATION NO. OF ABOVE PERSON</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|13-3623351</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 2|CHECK THE APPROPRIATE BOX IF A MEMBER OF A GROUP *</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(A)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3|SEC USE ONLY</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 4|CITIZENSHIP OR PLACE OF ORGANIZATION</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|State of Delaware</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NUMBER OF</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|5|SOLE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383,100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OWNED</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|6|SHARED VOTING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AS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25,000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gridSpan w:val="4"/>
          </w:tcPr>
          <w:p>
            <w:pPr>
              <w:spacing w:after="0"/>
              <w:rPr>
                <w:sz w:val="20"/>
                <w:szCs w:val="20"/>
                <w:color w:val="auto"/>
              </w:rPr>
            </w:pPr>
            <w:r>
              <w:rPr>
                <w:rFonts w:ascii="Courier New" w:cs="Courier New" w:eastAsia="Courier New" w:hAnsi="Courier New"/>
                <w:sz w:val="16"/>
                <w:szCs w:val="16"/>
                <w:color w:val="auto"/>
                <w:w w:val="75"/>
              </w:rPr>
              <w:t>| December 31, 1993 |-|----------------------------------------------</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BY EACH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|7|SOLE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REPORTING</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PERSON</w:t>
            </w:r>
          </w:p>
        </w:tc>
        <w:tc>
          <w:tcPr>
            <w:tcW w:w="2900" w:type="dxa"/>
            <w:vAlign w:val="bottom"/>
            <w:gridSpan w:val="2"/>
          </w:tcPr>
          <w:p>
            <w:pPr>
              <w:spacing w:after="0"/>
              <w:rPr>
                <w:sz w:val="20"/>
                <w:szCs w:val="20"/>
                <w:color w:val="auto"/>
              </w:rPr>
            </w:pPr>
            <w:r>
              <w:rPr>
                <w:rFonts w:ascii="Courier New" w:cs="Courier New" w:eastAsia="Courier New" w:hAnsi="Courier New"/>
                <w:sz w:val="13"/>
                <w:szCs w:val="13"/>
                <w:color w:val="auto"/>
                <w:w w:val="75"/>
              </w:rPr>
              <w:t>|-|----------------------------------------------</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WITH</w:t>
            </w:r>
          </w:p>
        </w:tc>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|8|SHARED DISPOSITIVE POWER</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spacing w:after="0"/>
              <w:rPr>
                <w:sz w:val="17"/>
                <w:szCs w:val="17"/>
                <w:color w:val="auto"/>
              </w:rPr>
            </w:pP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 9|AGGREGATE AMOUNT BENEFICIALLY OWNED BY EACH REPORTING PERSON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445,700</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|10|CHECK BOX IF THE AGGREGATE AMOUNT IN ROW (9) EXCLUDES CERTAIN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|11|PERCENT OF CLASS REPRESENTED BY AMOUNT IN ROW 9</w:t>
            </w: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1.1%</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|12|TYPE OF REPORTING PERSON *</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20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174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HC</w:t>
            </w: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t>
            </w:r>
          </w:p>
        </w:tc>
        <w:tc>
          <w:tcPr>
            <w:tcW w:w="3160" w:type="dxa"/>
            <w:vAlign w:val="bottom"/>
            <w:gridSpan w:val="2"/>
          </w:tcPr>
          <w:p>
            <w:pPr>
              <w:spacing w:after="0"/>
              <w:rPr>
                <w:sz w:val="20"/>
                <w:szCs w:val="20"/>
                <w:color w:val="auto"/>
              </w:rPr>
            </w:pPr>
            <w:r>
              <w:rPr>
                <w:rFonts w:ascii="Courier New" w:cs="Courier New" w:eastAsia="Courier New" w:hAnsi="Courier New"/>
                <w:sz w:val="10"/>
                <w:szCs w:val="10"/>
                <w:color w:val="auto"/>
                <w:w w:val="76"/>
              </w:rPr>
              <w:t>--------------------------------------------------------------------</w:t>
            </w:r>
          </w:p>
        </w:tc>
        <w:tc>
          <w:tcPr>
            <w:tcW w:w="1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9799"/>
          </w:cols>
          <w:pgMar w:left="660" w:top="51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MICRON TECHNOLOGY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9 of 14 Pages</w:t>
      </w:r>
    </w:p>
    <w:p>
      <w:pPr>
        <w:spacing w:after="0" w:line="605" w:lineRule="exact"/>
        <w:rPr>
          <w:sz w:val="20"/>
          <w:szCs w:val="20"/>
          <w:color w:val="auto"/>
        </w:rPr>
      </w:pPr>
    </w:p>
    <w:p>
      <w:pPr>
        <w:sectPr>
          <w:pgSz w:w="11900" w:h="16838" w:orient="portrait"/>
          <w:cols w:equalWidth="0" w:num="2">
            <w:col w:w="4560" w:space="720"/>
            <w:col w:w="4519"/>
          </w:cols>
          <w:pgMar w:left="660" w:top="514"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2805 East Columbia Road</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Alpha Assurances</w:t>
      </w:r>
    </w:p>
    <w:p>
      <w:pPr>
        <w:spacing w:after="0" w:line="3" w:lineRule="exact"/>
        <w:rPr>
          <w:sz w:val="20"/>
          <w:szCs w:val="20"/>
          <w:color w:val="auto"/>
        </w:rPr>
      </w:pPr>
    </w:p>
    <w:p>
      <w:pPr>
        <w:ind w:left="1060" w:right="2319"/>
        <w:spacing w:after="0" w:line="236" w:lineRule="auto"/>
        <w:rPr>
          <w:sz w:val="20"/>
          <w:szCs w:val="20"/>
          <w:color w:val="auto"/>
        </w:rPr>
      </w:pPr>
      <w:r>
        <w:rPr>
          <w:rFonts w:ascii="Courier New" w:cs="Courier New" w:eastAsia="Courier New" w:hAnsi="Courier New"/>
          <w:sz w:val="18"/>
          <w:szCs w:val="18"/>
          <w:color w:val="auto"/>
        </w:rPr>
        <w:t>Vie Mutuelle, AXA Assurances I.A.R.D Mutuelle, AXA Assurances Vie Mutuelle, and Uni Europe Assurance Mutuelle, as a group (collectively, the 'Mutuelles AXA')</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280"/>
        <w:spacing w:after="0" w:line="238" w:lineRule="auto"/>
        <w:rPr>
          <w:sz w:val="20"/>
          <w:szCs w:val="20"/>
          <w:color w:val="auto"/>
        </w:rPr>
      </w:pPr>
      <w:r>
        <w:rPr>
          <w:rFonts w:ascii="Courier New" w:cs="Courier New" w:eastAsia="Courier New" w:hAnsi="Courier New"/>
          <w:sz w:val="18"/>
          <w:szCs w:val="18"/>
          <w:color w:val="auto"/>
        </w:rPr>
        <w:t>(the 'Equitable Companies')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Alpha Assurances I.A.R.D. Mutuelle and</w:t>
      </w:r>
    </w:p>
    <w:p>
      <w:pPr>
        <w:ind w:left="1060"/>
        <w:spacing w:after="0" w:line="237" w:lineRule="auto"/>
        <w:rPr>
          <w:sz w:val="20"/>
          <w:szCs w:val="20"/>
          <w:color w:val="auto"/>
        </w:rPr>
      </w:pPr>
      <w:r>
        <w:rPr>
          <w:rFonts w:ascii="Courier New" w:cs="Courier New" w:eastAsia="Courier New" w:hAnsi="Courier New"/>
          <w:sz w:val="18"/>
          <w:szCs w:val="18"/>
          <w:color w:val="auto"/>
        </w:rPr>
        <w:t>Alpha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101-100 Terrasse Boieldieu</w:t>
      </w:r>
    </w:p>
    <w:p>
      <w:pPr>
        <w:ind w:left="1060"/>
        <w:spacing w:after="0"/>
        <w:rPr>
          <w:sz w:val="20"/>
          <w:szCs w:val="20"/>
          <w:color w:val="auto"/>
        </w:rPr>
      </w:pPr>
      <w:r>
        <w:rPr>
          <w:rFonts w:ascii="Courier New" w:cs="Courier New" w:eastAsia="Courier New" w:hAnsi="Courier New"/>
          <w:sz w:val="18"/>
          <w:szCs w:val="18"/>
          <w:color w:val="auto"/>
        </w:rPr>
        <w:t>92042 Paris La Defense France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ind w:left="1060"/>
        <w:spacing w:after="0" w:line="238" w:lineRule="auto"/>
        <w:rPr>
          <w:sz w:val="20"/>
          <w:szCs w:val="20"/>
          <w:color w:val="auto"/>
        </w:rPr>
      </w:pPr>
      <w:r>
        <w:rPr>
          <w:rFonts w:ascii="Courier New" w:cs="Courier New" w:eastAsia="Courier New" w:hAnsi="Courier New"/>
          <w:sz w:val="18"/>
          <w:szCs w:val="18"/>
          <w:color w:val="auto"/>
        </w:rPr>
        <w:t>AXA Assurances Vie Mutuelle</w:t>
      </w:r>
    </w:p>
    <w:p>
      <w:pPr>
        <w:ind w:left="1060"/>
        <w:spacing w:after="0"/>
        <w:rPr>
          <w:sz w:val="20"/>
          <w:szCs w:val="20"/>
          <w:color w:val="auto"/>
        </w:rPr>
      </w:pPr>
      <w:r>
        <w:rPr>
          <w:rFonts w:ascii="Courier New" w:cs="Courier New" w:eastAsia="Courier New" w:hAnsi="Courier New"/>
          <w:sz w:val="18"/>
          <w:szCs w:val="18"/>
          <w:color w:val="auto"/>
        </w:rPr>
        <w:t>La Grande Arche</w:t>
      </w:r>
    </w:p>
    <w:p>
      <w:pPr>
        <w:ind w:left="1060"/>
        <w:spacing w:after="0" w:line="237" w:lineRule="auto"/>
        <w:rPr>
          <w:sz w:val="20"/>
          <w:szCs w:val="20"/>
          <w:color w:val="auto"/>
        </w:rPr>
      </w:pPr>
      <w:r>
        <w:rPr>
          <w:rFonts w:ascii="Courier New" w:cs="Courier New" w:eastAsia="Courier New" w:hAnsi="Courier New"/>
          <w:sz w:val="18"/>
          <w:szCs w:val="18"/>
          <w:color w:val="auto"/>
        </w:rPr>
        <w:t>Pardi Nord</w:t>
      </w:r>
    </w:p>
    <w:p>
      <w:pPr>
        <w:ind w:left="1060"/>
        <w:spacing w:after="0" w:line="238" w:lineRule="auto"/>
        <w:rPr>
          <w:sz w:val="20"/>
          <w:szCs w:val="20"/>
          <w:color w:val="auto"/>
        </w:rPr>
      </w:pPr>
      <w:r>
        <w:rPr>
          <w:rFonts w:ascii="Courier New" w:cs="Courier New" w:eastAsia="Courier New" w:hAnsi="Courier New"/>
          <w:sz w:val="18"/>
          <w:szCs w:val="18"/>
          <w:color w:val="auto"/>
        </w:rPr>
        <w:t>92044 Paris La Defense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 Europe Assurance Mutuelle</w:t>
      </w:r>
    </w:p>
    <w:p>
      <w:pPr>
        <w:ind w:left="1060"/>
        <w:spacing w:after="0" w:line="238" w:lineRule="auto"/>
        <w:rPr>
          <w:sz w:val="20"/>
          <w:szCs w:val="20"/>
          <w:color w:val="auto"/>
        </w:rPr>
      </w:pPr>
      <w:r>
        <w:rPr>
          <w:rFonts w:ascii="Courier New" w:cs="Courier New" w:eastAsia="Courier New" w:hAnsi="Courier New"/>
          <w:sz w:val="18"/>
          <w:szCs w:val="18"/>
          <w:color w:val="auto"/>
        </w:rPr>
        <w:t>24 Rue Drouot</w:t>
      </w:r>
    </w:p>
    <w:p>
      <w:pPr>
        <w:ind w:left="1060"/>
        <w:spacing w:after="0"/>
        <w:rPr>
          <w:sz w:val="20"/>
          <w:szCs w:val="20"/>
          <w:color w:val="auto"/>
        </w:rPr>
      </w:pPr>
      <w:r>
        <w:rPr>
          <w:rFonts w:ascii="Courier New" w:cs="Courier New" w:eastAsia="Courier New" w:hAnsi="Courier New"/>
          <w:sz w:val="18"/>
          <w:szCs w:val="18"/>
          <w:color w:val="auto"/>
        </w:rPr>
        <w:t>75009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23,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Equitable Companies Incorporated</w:t>
      </w:r>
    </w:p>
    <w:p>
      <w:pPr>
        <w:ind w:left="1060"/>
        <w:spacing w:after="0" w:line="238" w:lineRule="auto"/>
        <w:rPr>
          <w:sz w:val="20"/>
          <w:szCs w:val="20"/>
          <w:color w:val="auto"/>
        </w:rPr>
      </w:pPr>
      <w:r>
        <w:rPr>
          <w:rFonts w:ascii="Courier New" w:cs="Courier New" w:eastAsia="Courier New" w:hAnsi="Courier New"/>
          <w:sz w:val="18"/>
          <w:szCs w:val="18"/>
          <w:color w:val="auto"/>
        </w:rPr>
        <w:t>787 Seventh Avenue</w:t>
      </w:r>
    </w:p>
    <w:p>
      <w:pPr>
        <w:ind w:left="1060"/>
        <w:spacing w:after="0"/>
        <w:rPr>
          <w:sz w:val="20"/>
          <w:szCs w:val="20"/>
          <w:color w:val="auto"/>
        </w:rPr>
      </w:pPr>
      <w:r>
        <w:rPr>
          <w:rFonts w:ascii="Courier New" w:cs="Courier New" w:eastAsia="Courier New" w:hAnsi="Courier New"/>
          <w:sz w:val="18"/>
          <w:szCs w:val="18"/>
          <w:color w:val="auto"/>
        </w:rPr>
        <w:t>New York, New York 10019</w:t>
      </w:r>
    </w:p>
    <w:p>
      <w:pPr>
        <w:sectPr>
          <w:pgSz w:w="11900" w:h="16838" w:orient="portrait"/>
          <w:cols w:equalWidth="0" w:num="1">
            <w:col w:w="9799"/>
          </w:cols>
          <w:pgMar w:left="660" w:top="514" w:right="1440" w:bottom="1440" w:gutter="0" w:footer="0" w:header="0"/>
          <w:type w:val="continuous"/>
        </w:sectPr>
      </w:pPr>
    </w:p>
    <w:bookmarkStart w:id="9" w:name="page10"/>
    <w:bookmarkEnd w:id="9"/>
    <w:p>
      <w:pPr>
        <w:ind w:left="5280"/>
        <w:spacing w:after="0"/>
        <w:rPr>
          <w:sz w:val="20"/>
          <w:szCs w:val="20"/>
          <w:color w:val="auto"/>
        </w:rPr>
      </w:pPr>
      <w:r>
        <w:rPr>
          <w:rFonts w:ascii="Courier New" w:cs="Courier New" w:eastAsia="Courier New" w:hAnsi="Courier New"/>
          <w:sz w:val="16"/>
          <w:szCs w:val="16"/>
          <w:color w:val="auto"/>
        </w:rPr>
        <w:t>Page 10 of 14 Pages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Mutuelles AXA and AXA - France</w:t>
      </w:r>
    </w:p>
    <w:p>
      <w:pPr>
        <w:ind w:left="1060"/>
        <w:spacing w:after="0" w:line="237" w:lineRule="auto"/>
        <w:rPr>
          <w:sz w:val="20"/>
          <w:szCs w:val="20"/>
          <w:color w:val="auto"/>
        </w:rPr>
      </w:pPr>
      <w:r>
        <w:rPr>
          <w:rFonts w:ascii="Courier New" w:cs="Courier New" w:eastAsia="Courier New" w:hAnsi="Courier New"/>
          <w:sz w:val="18"/>
          <w:szCs w:val="18"/>
          <w:color w:val="auto"/>
        </w:rPr>
        <w:t>Equitable Companies - Delaware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595112103</w:t>
      </w:r>
    </w:p>
    <w:p>
      <w:pPr>
        <w:sectPr>
          <w:pgSz w:w="11900" w:h="16838" w:orient="portrait"/>
          <w:cols w:equalWidth="0" w:num="1">
            <w:col w:w="9799"/>
          </w:cols>
          <w:pgMar w:left="660" w:top="520" w:right="1440" w:bottom="1440" w:gutter="0" w:footer="0" w:header="0"/>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Equitable Companies as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accordance with 240.13d-1 (b)(ii)(G).</w:t>
      </w:r>
    </w:p>
    <w:p>
      <w:pPr>
        <w:spacing w:after="0" w:line="200" w:lineRule="exact"/>
        <w:rPr>
          <w:sz w:val="20"/>
          <w:szCs w:val="20"/>
          <w:color w:val="auto"/>
        </w:rPr>
      </w:pPr>
    </w:p>
    <w:p>
      <w:pPr>
        <w:sectPr>
          <w:pgSz w:w="11900" w:h="16838" w:orient="portrait"/>
          <w:cols w:equalWidth="0" w:num="2">
            <w:col w:w="740" w:space="320"/>
            <w:col w:w="8739"/>
          </w:cols>
          <w:pgMar w:left="660" w:top="520" w:right="1440" w:bottom="1440" w:gutter="0" w:footer="0" w:header="0"/>
          <w:type w:val="continuous"/>
        </w:sectPr>
      </w:pPr>
    </w:p>
    <w:p>
      <w:pPr>
        <w:spacing w:after="0" w:line="7" w:lineRule="exact"/>
        <w:rPr>
          <w:sz w:val="20"/>
          <w:szCs w:val="20"/>
          <w:color w:val="auto"/>
        </w:rPr>
      </w:pPr>
    </w:p>
    <w:p>
      <w:pPr>
        <w:ind w:left="1060" w:right="3579"/>
        <w:spacing w:after="0" w:line="235" w:lineRule="auto"/>
        <w:rPr>
          <w:sz w:val="20"/>
          <w:szCs w:val="20"/>
          <w:color w:val="auto"/>
        </w:rPr>
      </w:pPr>
      <w:r>
        <w:rPr>
          <w:rFonts w:ascii="Courier New" w:cs="Courier New" w:eastAsia="Courier New" w:hAnsi="Courier New"/>
          <w:sz w:val="18"/>
          <w:szCs w:val="18"/>
          <w:color w:val="auto"/>
        </w:rPr>
        <w:t>The Mutuelles AXA, as a group, acting as a parent holding company.</w:t>
      </w:r>
    </w:p>
    <w:p>
      <w:pPr>
        <w:sectPr>
          <w:pgSz w:w="11900" w:h="16838" w:orient="portrait"/>
          <w:cols w:equalWidth="0" w:num="1">
            <w:col w:w="9799"/>
          </w:cols>
          <w:pgMar w:left="660" w:top="520" w:right="1440" w:bottom="1440" w:gutter="0" w:footer="0" w:header="0"/>
          <w:type w:val="continuous"/>
        </w:sectPr>
      </w:pPr>
    </w:p>
    <w:bookmarkStart w:id="10" w:name="page11"/>
    <w:bookmarkEnd w:id="10"/>
    <w:p>
      <w:pPr>
        <w:ind w:left="5060"/>
        <w:spacing w:after="0"/>
        <w:rPr>
          <w:sz w:val="20"/>
          <w:szCs w:val="20"/>
          <w:color w:val="auto"/>
        </w:rPr>
      </w:pPr>
      <w:r>
        <w:rPr>
          <w:rFonts w:ascii="Courier New" w:cs="Courier New" w:eastAsia="Courier New" w:hAnsi="Courier New"/>
          <w:sz w:val="18"/>
          <w:szCs w:val="18"/>
          <w:color w:val="auto"/>
        </w:rPr>
        <w:t>Page 11 of 14 Pages</w:t>
      </w:r>
    </w:p>
    <w:p>
      <w:pPr>
        <w:spacing w:after="0" w:line="238" w:lineRule="auto"/>
        <w:rPr>
          <w:sz w:val="20"/>
          <w:szCs w:val="20"/>
          <w:color w:val="auto"/>
        </w:rPr>
      </w:pPr>
      <w:r>
        <w:rPr>
          <w:rFonts w:ascii="Courier New" w:cs="Courier New" w:eastAsia="Courier New" w:hAnsi="Courier New"/>
          <w:sz w:val="18"/>
          <w:szCs w:val="18"/>
          <w:color w:val="auto"/>
        </w:rPr>
        <w:t>Item 4. Ownership as of December 31, 1993:</w:t>
      </w:r>
    </w:p>
    <w:p>
      <w:pPr>
        <w:ind w:left="860"/>
        <w:spacing w:after="0"/>
        <w:rPr>
          <w:sz w:val="20"/>
          <w:szCs w:val="20"/>
          <w:color w:val="auto"/>
        </w:rPr>
      </w:pPr>
      <w:r>
        <w:rPr>
          <w:rFonts w:ascii="Courier New" w:cs="Courier New" w:eastAsia="Courier New" w:hAnsi="Courier New"/>
          <w:sz w:val="18"/>
          <w:szCs w:val="18"/>
          <w:color w:val="auto"/>
        </w:rPr>
        <w:t>---------------------------------</w:t>
      </w:r>
    </w:p>
    <w:p>
      <w:pPr>
        <w:ind w:left="440" w:hanging="431"/>
        <w:spacing w:after="0" w:line="237" w:lineRule="auto"/>
        <w:tabs>
          <w:tab w:leader="none" w:pos="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445,700 shares of common stock beneficially owned including: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40" w:type="dxa"/>
            <w:vAlign w:val="bottom"/>
          </w:tcPr>
          <w:p>
            <w:pPr>
              <w:spacing w:after="0"/>
              <w:rPr>
                <w:sz w:val="17"/>
                <w:szCs w:val="17"/>
                <w:color w:val="auto"/>
              </w:rPr>
            </w:pPr>
          </w:p>
        </w:tc>
        <w:tc>
          <w:tcPr>
            <w:tcW w:w="26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No. of Shares</w:t>
            </w:r>
          </w:p>
        </w:tc>
      </w:tr>
      <w:tr>
        <w:trPr>
          <w:trHeight w:val="203"/>
        </w:trPr>
        <w:tc>
          <w:tcPr>
            <w:tcW w:w="4640" w:type="dxa"/>
            <w:vAlign w:val="bottom"/>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40" w:type="dxa"/>
            <w:vAlign w:val="bottom"/>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AXA Entity or Entities:  none</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spacing w:after="0"/>
              <w:rPr>
                <w:sz w:val="17"/>
                <w:szCs w:val="17"/>
                <w:color w:val="auto"/>
              </w:rPr>
            </w:pPr>
          </w:p>
        </w:tc>
      </w:tr>
      <w:tr>
        <w:trPr>
          <w:trHeight w:val="203"/>
        </w:trPr>
        <w:tc>
          <w:tcPr>
            <w:tcW w:w="46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00" w:type="dxa"/>
            <w:vAlign w:val="bottom"/>
          </w:tcPr>
          <w:p>
            <w:pPr>
              <w:spacing w:after="0"/>
              <w:rPr>
                <w:sz w:val="20"/>
                <w:szCs w:val="20"/>
                <w:color w:val="auto"/>
              </w:rPr>
            </w:pPr>
            <w:r>
              <w:rPr>
                <w:rFonts w:ascii="Courier New" w:cs="Courier New" w:eastAsia="Courier New" w:hAnsi="Courier New"/>
                <w:sz w:val="18"/>
                <w:szCs w:val="18"/>
                <w:color w:val="auto"/>
              </w:rPr>
              <w:t>The Equitable Companies Incorporated</w:t>
            </w:r>
          </w:p>
        </w:tc>
        <w:tc>
          <w:tcPr>
            <w:tcW w:w="13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 Life Assurance Society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United States acquired solely for</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Alliance Capital Management L.P.</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1,340,700</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which may be acquired/(disposed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upon exercise of Options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-920,000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420,700</w:t>
            </w:r>
          </w:p>
        </w:tc>
      </w:tr>
      <w:tr>
        <w:trPr>
          <w:trHeight w:val="203"/>
        </w:trPr>
        <w:tc>
          <w:tcPr>
            <w:tcW w:w="470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Donaldson, Lufkin &amp; Jenrette Securities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held for investment purposes:</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700" w:type="dxa"/>
            <w:vAlign w:val="bottom"/>
          </w:tcPr>
          <w:p>
            <w:pPr>
              <w:spacing w:after="0"/>
              <w:rPr>
                <w:sz w:val="20"/>
                <w:szCs w:val="20"/>
                <w:color w:val="auto"/>
              </w:rPr>
            </w:pPr>
            <w:r>
              <w:rPr>
                <w:rFonts w:ascii="Courier New" w:cs="Courier New" w:eastAsia="Courier New" w:hAnsi="Courier New"/>
                <w:sz w:val="18"/>
                <w:szCs w:val="18"/>
                <w:color w:val="auto"/>
              </w:rPr>
              <w:t>Wood, Struthers &amp; Winthrop Management Corp.</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on behalf of client discretionary investment</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advisory accounts:</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445,700</w:t>
            </w:r>
          </w:p>
        </w:tc>
      </w:tr>
      <w:tr>
        <w:trPr>
          <w:trHeight w:val="203"/>
        </w:trPr>
        <w:tc>
          <w:tcPr>
            <w:tcW w:w="4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(Each of the above subsidiaries of The Equitable operates under</w:t>
            </w:r>
          </w:p>
        </w:tc>
      </w:tr>
      <w:tr>
        <w:trPr>
          <w:trHeight w:val="203"/>
        </w:trPr>
        <w:tc>
          <w:tcPr>
            <w:tcW w:w="6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independent management and makes independent decisions).</w:t>
            </w:r>
          </w:p>
        </w:tc>
        <w:tc>
          <w:tcPr>
            <w:tcW w:w="1260" w:type="dxa"/>
            <w:vAlign w:val="bottom"/>
          </w:tcPr>
          <w:p>
            <w:pPr>
              <w:spacing w:after="0"/>
              <w:rPr>
                <w:sz w:val="17"/>
                <w:szCs w:val="17"/>
                <w:color w:val="auto"/>
              </w:rPr>
            </w:pPr>
          </w:p>
        </w:tc>
      </w:tr>
      <w:tr>
        <w:trPr>
          <w:trHeight w:val="608"/>
        </w:trPr>
        <w:tc>
          <w:tcPr>
            <w:tcW w:w="470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470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799"/>
          </w:cols>
          <w:pgMar w:left="660" w:top="717" w:right="1440" w:bottom="1440" w:gutter="0" w:footer="0" w:header="0"/>
        </w:sectPr>
      </w:pPr>
    </w:p>
    <w:bookmarkStart w:id="11" w:name="page12"/>
    <w:bookmarkEnd w:id="11"/>
    <w:p>
      <w:pPr>
        <w:ind w:left="200"/>
        <w:spacing w:after="0"/>
        <w:tabs>
          <w:tab w:leader="none" w:pos="5660" w:val="left"/>
        </w:tabs>
        <w:rPr>
          <w:sz w:val="20"/>
          <w:szCs w:val="20"/>
          <w:color w:val="auto"/>
        </w:rPr>
      </w:pPr>
      <w:r>
        <w:rPr>
          <w:rFonts w:ascii="Courier New" w:cs="Courier New" w:eastAsia="Courier New" w:hAnsi="Courier New"/>
          <w:sz w:val="18"/>
          <w:szCs w:val="18"/>
          <w:color w:val="auto"/>
        </w:rPr>
        <w:t>ITEM 4. Ownership as of December 31, 1993 (CONT.)</w:t>
      </w:r>
      <w:r>
        <w:rPr>
          <w:sz w:val="20"/>
          <w:szCs w:val="20"/>
          <w:color w:val="auto"/>
        </w:rPr>
        <w:tab/>
      </w:r>
      <w:r>
        <w:rPr>
          <w:rFonts w:ascii="Courier New" w:cs="Courier New" w:eastAsia="Courier New" w:hAnsi="Courier New"/>
          <w:sz w:val="16"/>
          <w:szCs w:val="16"/>
          <w:color w:val="auto"/>
        </w:rPr>
        <w:t>Page 12 of 14 Pages</w:t>
      </w:r>
    </w:p>
    <w:p>
      <w:pPr>
        <w:spacing w:after="0" w:line="201" w:lineRule="exact"/>
        <w:rPr>
          <w:sz w:val="20"/>
          <w:szCs w:val="20"/>
          <w:color w:val="auto"/>
        </w:rPr>
      </w:pPr>
    </w:p>
    <w:p>
      <w:pPr>
        <w:ind w:left="940" w:hanging="415"/>
        <w:spacing w:after="0"/>
        <w:tabs>
          <w:tab w:leader="none" w:pos="9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Deemed Voting Power and Disposition Power:</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2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(i)</w:t>
            </w:r>
          </w:p>
        </w:tc>
        <w:tc>
          <w:tcPr>
            <w:tcW w:w="14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(ii)</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(iii)</w:t>
            </w:r>
          </w:p>
        </w:tc>
        <w:tc>
          <w:tcPr>
            <w:tcW w:w="136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Power</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Power</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Power</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Dispose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 the</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20" w:type="dxa"/>
            <w:vAlign w:val="bottom"/>
          </w:tcPr>
          <w:p>
            <w:pPr>
              <w:spacing w:after="0"/>
              <w:rPr>
                <w:sz w:val="17"/>
                <w:szCs w:val="17"/>
                <w:color w:val="auto"/>
              </w:rPr>
            </w:pP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4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Vote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as a group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2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Incorporated</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Equitable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Life Assurance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Society of the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Alliance Capital</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L.P.</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383,100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420,700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Donaldson, Lufkin</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Jenrette</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Securities</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Wood, Struthers</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&amp; Winthrop</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w:t>
            </w:r>
          </w:p>
        </w:tc>
        <w:tc>
          <w:tcPr>
            <w:tcW w:w="1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383,100</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445,700</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2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(Each of the above subsidiaries of the Equitable Companies operates under independent management and makes independent voting and investment decisions).</w:t>
      </w:r>
    </w:p>
    <w:p>
      <w:pPr>
        <w:sectPr>
          <w:pgSz w:w="11900" w:h="16838" w:orient="portrait"/>
          <w:cols w:equalWidth="0" w:num="1">
            <w:col w:w="9999"/>
          </w:cols>
          <w:pgMar w:left="460" w:top="717" w:right="1440" w:bottom="1440" w:gutter="0" w:footer="0" w:header="0"/>
        </w:sectPr>
      </w:pPr>
    </w:p>
    <w:bookmarkStart w:id="12" w:name="page13"/>
    <w:bookmarkEnd w:id="12"/>
    <w:p>
      <w:pPr>
        <w:ind w:left="5280"/>
        <w:spacing w:after="0"/>
        <w:rPr>
          <w:sz w:val="20"/>
          <w:szCs w:val="20"/>
          <w:color w:val="auto"/>
        </w:rPr>
      </w:pPr>
      <w:r>
        <w:rPr>
          <w:rFonts w:ascii="Courier New" w:cs="Courier New" w:eastAsia="Courier New" w:hAnsi="Courier New"/>
          <w:sz w:val="18"/>
          <w:szCs w:val="18"/>
          <w:color w:val="auto"/>
        </w:rPr>
        <w:t>Page 13 of 14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ind w:left="120"/>
        <w:spacing w:after="0" w:line="238" w:lineRule="auto"/>
        <w:rPr>
          <w:sz w:val="20"/>
          <w:szCs w:val="20"/>
          <w:color w:val="auto"/>
        </w:rPr>
      </w:pPr>
      <w:r>
        <w:rPr>
          <w:rFonts w:ascii="Courier New" w:cs="Courier New" w:eastAsia="Courier New" w:hAnsi="Courier New"/>
          <w:sz w:val="18"/>
          <w:szCs w:val="18"/>
          <w:color w:val="auto"/>
        </w:rPr>
        <w:t>Ownership of Five Percent or Less of a Class:</w:t>
      </w:r>
    </w:p>
    <w:p>
      <w:pPr>
        <w:ind w:left="1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20" w:right="2199"/>
        <w:spacing w:after="0" w:line="26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ind w:left="5900"/>
        <w:spacing w:after="0" w:line="233" w:lineRule="auto"/>
        <w:rPr>
          <w:sz w:val="20"/>
          <w:szCs w:val="20"/>
          <w:color w:val="auto"/>
        </w:rPr>
      </w:pPr>
      <w:r>
        <w:rPr>
          <w:rFonts w:ascii="Courier New" w:cs="Courier New" w:eastAsia="Courier New" w:hAnsi="Courier New"/>
          <w:sz w:val="18"/>
          <w:szCs w:val="18"/>
          <w:color w:val="auto"/>
        </w:rPr>
        <w:t>(X)</w:t>
      </w:r>
    </w:p>
    <w:p>
      <w:pPr>
        <w:spacing w:after="0"/>
        <w:rPr>
          <w:sz w:val="20"/>
          <w:szCs w:val="20"/>
          <w:color w:val="auto"/>
        </w:rPr>
      </w:pPr>
      <w:r>
        <w:rPr>
          <w:rFonts w:ascii="Courier New" w:cs="Courier New" w:eastAsia="Courier New" w:hAnsi="Courier New"/>
          <w:sz w:val="18"/>
          <w:szCs w:val="18"/>
          <w:color w:val="auto"/>
        </w:rPr>
        <w:t>Item 6.</w:t>
      </w:r>
    </w:p>
    <w:p>
      <w:pPr>
        <w:ind w:left="120"/>
        <w:spacing w:after="0"/>
        <w:tabs>
          <w:tab w:leader="none" w:pos="7040" w:val="left"/>
        </w:tabs>
        <w:rPr>
          <w:sz w:val="20"/>
          <w:szCs w:val="20"/>
          <w:color w:val="auto"/>
        </w:rPr>
      </w:pPr>
      <w:r>
        <w:rPr>
          <w:rFonts w:ascii="Courier New" w:cs="Courier New" w:eastAsia="Courier New" w:hAnsi="Courier New"/>
          <w:sz w:val="18"/>
          <w:szCs w:val="18"/>
          <w:color w:val="auto"/>
        </w:rPr>
        <w:t>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ind w:left="12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7.</w:t>
      </w:r>
    </w:p>
    <w:p>
      <w:pPr>
        <w:ind w:left="120"/>
        <w:spacing w:after="0"/>
        <w:rPr>
          <w:sz w:val="20"/>
          <w:szCs w:val="20"/>
          <w:color w:val="auto"/>
        </w:rPr>
      </w:pPr>
      <w:r>
        <w:rPr>
          <w:rFonts w:ascii="Courier New" w:cs="Courier New" w:eastAsia="Courier New" w:hAnsi="Courier New"/>
          <w:sz w:val="18"/>
          <w:szCs w:val="18"/>
          <w:color w:val="auto"/>
        </w:rPr>
        <w:t>Identification and Classification of the Subsidiary which Acquired</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the Security Being Reporting on by the Parent Holding Company:</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This Schedule 13G is being filed by the Mutuelles AXA, as a group,</w:t>
      </w:r>
    </w:p>
    <w:p>
      <w:pPr>
        <w:ind w:left="120"/>
        <w:spacing w:after="0" w:line="237" w:lineRule="auto"/>
        <w:rPr>
          <w:sz w:val="20"/>
          <w:szCs w:val="20"/>
          <w:color w:val="auto"/>
        </w:rPr>
      </w:pPr>
      <w:r>
        <w:rPr>
          <w:rFonts w:ascii="Courier New" w:cs="Courier New" w:eastAsia="Courier New" w:hAnsi="Courier New"/>
          <w:sz w:val="18"/>
          <w:szCs w:val="18"/>
          <w:color w:val="auto"/>
        </w:rPr>
        <w:t>AXA, and Equitable Companies:</w:t>
      </w:r>
    </w:p>
    <w:p>
      <w:pPr>
        <w:spacing w:after="0" w:line="207" w:lineRule="exact"/>
        <w:rPr>
          <w:sz w:val="20"/>
          <w:szCs w:val="20"/>
          <w:color w:val="auto"/>
        </w:rPr>
      </w:pPr>
    </w:p>
    <w:p>
      <w:pPr>
        <w:ind w:left="540" w:right="2619" w:hanging="531"/>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540" w:right="2839" w:hanging="531"/>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AXA's capacity as a parent holding company with respect to the holdings of the following AXA entity or entities:</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jc w:val="both"/>
        <w:ind w:left="540" w:right="3039" w:hanging="531"/>
        <w:spacing w:after="0" w:line="290"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EQUITABLE COMPANIES capacity as a parent holding company with respect to the holdings of its following subsidiaries:</w:t>
      </w:r>
    </w:p>
    <w:p>
      <w:pPr>
        <w:spacing w:after="0" w:line="164" w:lineRule="exact"/>
        <w:rPr>
          <w:sz w:val="20"/>
          <w:szCs w:val="20"/>
          <w:color w:val="auto"/>
        </w:rPr>
      </w:pPr>
    </w:p>
    <w:p>
      <w:pPr>
        <w:ind w:left="540" w:hanging="53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4" w:lineRule="exact"/>
        <w:rPr>
          <w:rFonts w:ascii="Courier New" w:cs="Courier New" w:eastAsia="Courier New" w:hAnsi="Courier New"/>
          <w:sz w:val="18"/>
          <w:szCs w:val="18"/>
          <w:color w:val="auto"/>
        </w:rPr>
      </w:pPr>
    </w:p>
    <w:p>
      <w:pPr>
        <w:ind w:left="540" w:right="2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(13-5570651), an insurance company, a broker-dealer registered under Section 15 of the Securities and Exchange Act of 1934 and an investment adviser registered under Section 203 of the Investment Advisers Act of 1940.</w:t>
      </w:r>
    </w:p>
    <w:p>
      <w:pPr>
        <w:spacing w:after="0" w:line="202" w:lineRule="exact"/>
        <w:rPr>
          <w:sz w:val="20"/>
          <w:szCs w:val="20"/>
          <w:color w:val="auto"/>
        </w:rPr>
      </w:pPr>
    </w:p>
    <w:p>
      <w:pPr>
        <w:ind w:left="540" w:hanging="53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 (13-3434400),</w:t>
      </w:r>
    </w:p>
    <w:p>
      <w:pPr>
        <w:spacing w:after="0" w:line="4" w:lineRule="exact"/>
        <w:rPr>
          <w:rFonts w:ascii="Courier New" w:cs="Courier New" w:eastAsia="Courier New" w:hAnsi="Courier New"/>
          <w:sz w:val="18"/>
          <w:szCs w:val="18"/>
          <w:color w:val="auto"/>
        </w:rPr>
      </w:pPr>
    </w:p>
    <w:p>
      <w:pPr>
        <w:ind w:left="540"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registered under Section 203 of the Investment Advisers Act of 1940.</w:t>
      </w:r>
    </w:p>
    <w:p>
      <w:pPr>
        <w:spacing w:after="0" w:line="208" w:lineRule="exact"/>
        <w:rPr>
          <w:sz w:val="20"/>
          <w:szCs w:val="20"/>
          <w:color w:val="auto"/>
        </w:rPr>
      </w:pPr>
    </w:p>
    <w:p>
      <w:pPr>
        <w:ind w:left="540" w:right="2419" w:hanging="531"/>
        <w:spacing w:after="0" w:line="275" w:lineRule="auto"/>
        <w:tabs>
          <w:tab w:leader="none" w:pos="22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DONALDSON, LUFKIN &amp; JENRETTE SECURITIES CORPORATION (13-2741729), a broker-dealer registered under Section 15 of the Securities Exchange Act of 1934 and an investment adviser registered under Section 203 of the Investment Advisers Act of 1940.</w:t>
      </w:r>
    </w:p>
    <w:p>
      <w:pPr>
        <w:spacing w:after="0" w:line="182" w:lineRule="exact"/>
        <w:rPr>
          <w:sz w:val="20"/>
          <w:szCs w:val="20"/>
          <w:color w:val="auto"/>
        </w:rPr>
      </w:pPr>
    </w:p>
    <w:p>
      <w:pPr>
        <w:ind w:left="540" w:right="3259" w:hanging="531"/>
        <w:spacing w:after="0" w:line="236" w:lineRule="auto"/>
        <w:tabs>
          <w:tab w:leader="none" w:pos="22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WOOD, STRUTHERS &amp; WINTHROP MANAGEMENT CORP. (13-2774791), an investment adviser registered under Section 203 of the Investment Advisers Act of 1940.</w:t>
      </w:r>
    </w:p>
    <w:p>
      <w:pPr>
        <w:sectPr>
          <w:pgSz w:w="11900" w:h="16838" w:orient="portrait"/>
          <w:cols w:equalWidth="0" w:num="1">
            <w:col w:w="9799"/>
          </w:cols>
          <w:pgMar w:left="660" w:top="514" w:right="1440" w:bottom="1440" w:gutter="0" w:footer="0" w:header="0"/>
        </w:sectPr>
      </w:pPr>
    </w:p>
    <w:bookmarkStart w:id="13" w:name="page14"/>
    <w:bookmarkEnd w:id="13"/>
    <w:p>
      <w:pPr>
        <w:ind w:left="5280"/>
        <w:spacing w:after="0"/>
        <w:rPr>
          <w:sz w:val="20"/>
          <w:szCs w:val="20"/>
          <w:color w:val="auto"/>
        </w:rPr>
      </w:pPr>
      <w:r>
        <w:rPr>
          <w:rFonts w:ascii="Courier New" w:cs="Courier New" w:eastAsia="Courier New" w:hAnsi="Courier New"/>
          <w:sz w:val="18"/>
          <w:szCs w:val="18"/>
          <w:color w:val="auto"/>
        </w:rPr>
        <w:t>Page 14 of 14 Pages</w:t>
      </w:r>
    </w:p>
    <w:p>
      <w:pPr>
        <w:spacing w:after="0" w:line="201"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8"/>
          <w:szCs w:val="18"/>
          <w:color w:val="auto"/>
        </w:rPr>
        <w:t>Item 8. Identification and Classification of Members of the Group.</w:t>
      </w:r>
      <w:r>
        <w:rPr>
          <w:sz w:val="20"/>
          <w:szCs w:val="20"/>
          <w:color w:val="auto"/>
        </w:rPr>
        <w:tab/>
      </w:r>
      <w:r>
        <w:rPr>
          <w:rFonts w:ascii="Courier New" w:cs="Courier New" w:eastAsia="Courier New" w:hAnsi="Courier New"/>
          <w:sz w:val="16"/>
          <w:szCs w:val="16"/>
          <w:color w:val="auto"/>
        </w:rPr>
        <w:t>N/A</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 w:leader="none" w:pos="4420" w:val="left"/>
        </w:tabs>
        <w:rPr>
          <w:sz w:val="20"/>
          <w:szCs w:val="20"/>
          <w:color w:val="auto"/>
        </w:rPr>
      </w:pPr>
      <w:r>
        <w:rPr>
          <w:rFonts w:ascii="Courier New" w:cs="Courier New" w:eastAsia="Courier New" w:hAnsi="Courier New"/>
          <w:sz w:val="18"/>
          <w:szCs w:val="18"/>
          <w:color w:val="auto"/>
        </w:rPr>
        <w:t>Item 9.</w:t>
        <w:tab/>
        <w:t>Notice of Dissolution of Group:</w:t>
      </w:r>
      <w:r>
        <w:rPr>
          <w:sz w:val="20"/>
          <w:szCs w:val="20"/>
          <w:color w:val="auto"/>
        </w:rPr>
        <w:tab/>
      </w:r>
      <w:r>
        <w:rPr>
          <w:rFonts w:ascii="Courier New" w:cs="Courier New" w:eastAsia="Courier New" w:hAnsi="Courier New"/>
          <w:sz w:val="16"/>
          <w:szCs w:val="16"/>
          <w:color w:val="auto"/>
        </w:rPr>
        <w:t>N/A</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Date: February 9, 1994</w:t>
      </w:r>
      <w:r>
        <w:rPr>
          <w:sz w:val="20"/>
          <w:szCs w:val="20"/>
          <w:color w:val="auto"/>
        </w:rPr>
        <w:tab/>
      </w:r>
      <w:r>
        <w:rPr>
          <w:rFonts w:ascii="Courier New" w:cs="Courier New" w:eastAsia="Courier New" w:hAnsi="Courier New"/>
          <w:sz w:val="16"/>
          <w:szCs w:val="16"/>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Joanne T. Marren</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Joanne T. Marren</w:t>
      </w:r>
    </w:p>
    <w:p>
      <w:pPr>
        <w:jc w:val="center"/>
        <w:ind w:right="-12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The Equitable Companies Incorporated, Alpha Assurances I.A.R.D. Mutuelle, Alpha Assurances Vie Mutuelle, AXA Assurances I.A.R.D Mutuelle, AXA Assurances Vie Mutuelle, and Uni Europe Assurance Mutuelle, and AXA, this statement Schedule 13G is filed on behalf of each of them.</w:t>
      </w:r>
    </w:p>
    <w:p>
      <w:pPr>
        <w:sectPr>
          <w:pgSz w:w="11900" w:h="16838" w:orient="portrait"/>
          <w:cols w:equalWidth="0" w:num="1">
            <w:col w:w="9799"/>
          </w:cols>
          <w:pgMar w:left="660" w:top="514" w:right="1440" w:bottom="1440" w:gutter="0" w:footer="0" w:header="0"/>
        </w:sectPr>
      </w:pPr>
    </w:p>
    <w:bookmarkStart w:id="14" w:name="page15"/>
    <w:bookmarkEnd w:id="14"/>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ind w:right="2419"/>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8"/>
          <w:szCs w:val="18"/>
          <w:color w:val="auto"/>
        </w:rPr>
        <w:t>JOINT FILING AGREEMENT</w:t>
      </w:r>
    </w:p>
    <w:p>
      <w:pPr>
        <w:ind w:left="25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firstLine="843"/>
        <w:spacing w:after="0" w:line="237"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Dated: February 9,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The Equitable Companies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
        <w:spacing w:after="0"/>
        <w:tabs>
          <w:tab w:leader="none" w:pos="9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Joanne T. Marren</w:t>
      </w:r>
    </w:p>
    <w:p>
      <w:pPr>
        <w:ind w:left="700"/>
        <w:spacing w:after="0" w:line="238" w:lineRule="auto"/>
        <w:rPr>
          <w:sz w:val="20"/>
          <w:szCs w:val="20"/>
          <w:color w:val="auto"/>
        </w:rPr>
      </w:pPr>
      <w:r>
        <w:rPr>
          <w:rFonts w:ascii="Courier New" w:cs="Courier New" w:eastAsia="Courier New" w:hAnsi="Courier New"/>
          <w:sz w:val="18"/>
          <w:szCs w:val="18"/>
          <w:color w:val="auto"/>
        </w:rPr>
        <w:t>-------------------------</w:t>
      </w:r>
    </w:p>
    <w:p>
      <w:pPr>
        <w:ind w:left="700"/>
        <w:spacing w:after="0"/>
        <w:rPr>
          <w:sz w:val="20"/>
          <w:szCs w:val="20"/>
          <w:color w:val="auto"/>
        </w:rPr>
      </w:pPr>
      <w:r>
        <w:rPr>
          <w:rFonts w:ascii="Courier New" w:cs="Courier New" w:eastAsia="Courier New" w:hAnsi="Courier New"/>
          <w:sz w:val="18"/>
          <w:szCs w:val="18"/>
          <w:color w:val="auto"/>
        </w:rPr>
        <w:t>Joanne T. Marren</w:t>
      </w:r>
    </w:p>
    <w:p>
      <w:pPr>
        <w:ind w:left="70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80" w:right="2619"/>
        <w:spacing w:after="0" w:line="237" w:lineRule="auto"/>
        <w:rPr>
          <w:sz w:val="20"/>
          <w:szCs w:val="20"/>
          <w:color w:val="auto"/>
        </w:rPr>
      </w:pPr>
      <w:r>
        <w:rPr>
          <w:rFonts w:ascii="Courier New" w:cs="Courier New" w:eastAsia="Courier New" w:hAnsi="Courier New"/>
          <w:sz w:val="18"/>
          <w:szCs w:val="18"/>
          <w:color w:val="auto"/>
        </w:rPr>
        <w:t>AXA Assurances I.A.R.D. Mutuelle; AXA Assurances Vie Mutuelle; Alpha Assurances Vie Mutuelle; Alpha Assurances I.A.R.D. Mutuelle, Uni Assurance Europe Mutuelle, as a group, and AXA</w:t>
      </w:r>
    </w:p>
    <w:p>
      <w:pPr>
        <w:spacing w:after="0" w:line="200" w:lineRule="exact"/>
        <w:rPr>
          <w:sz w:val="20"/>
          <w:szCs w:val="20"/>
          <w:color w:val="auto"/>
        </w:rPr>
      </w:pPr>
    </w:p>
    <w:p>
      <w:pPr>
        <w:spacing w:after="0" w:line="20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Signed on behalf of each of the above entities</w:t>
      </w:r>
    </w:p>
    <w:p>
      <w:pPr>
        <w:sectPr>
          <w:pgSz w:w="11900" w:h="16838" w:orient="portrait"/>
          <w:cols w:equalWidth="0" w:num="1">
            <w:col w:w="9019"/>
          </w:cols>
          <w:pgMar w:left="14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Joanne T. Marren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Joanne T. Marren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(Executed pursuant to Powers of Attorney)</w:t>
      </w:r>
    </w:p>
    <w:sectPr>
      <w:pgSz w:w="11900" w:h="16838" w:orient="portrait"/>
      <w:cols w:equalWidth="0" w:num="2">
        <w:col w:w="700" w:space="0"/>
        <w:col w:w="8319"/>
      </w:cols>
      <w:pgMar w:left="14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3"/>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upperLetter"/>
      <w:start w:val="24"/>
    </w:lvl>
  </w:abstractNum>
  <w:abstractNum w:abstractNumId="6">
    <w:nsid w:val="515F007C"/>
    <w:multiLevelType w:val="hybridMultilevel"/>
    <w:lvl w:ilvl="0">
      <w:lvlJc w:val="left"/>
      <w:lvlText w:val="(%1)"/>
      <w:numFmt w:val="upperLetter"/>
      <w:start w:val="24"/>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2019-12-12T07:27:00Z</dcterms:created>
  <dcterms:modified xsi:type="dcterms:W3CDTF">2019-12-12T07:27:00Z</dcterms:modified>
</cp:coreProperties>
</file>