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24, 2026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6350</wp:posOffset>
            </wp:positionV>
            <wp:extent cx="1645920" cy="3429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24130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32"/>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0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0"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6985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2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17780</wp:posOffset>
            </wp:positionV>
            <wp:extent cx="3240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3"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253"/>
        </w:trPr>
        <w:tc>
          <w:tcPr>
            <w:tcW w:w="4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Title of each class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Trading symbol</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66"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801370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6926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6926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200" w:lineRule="exact"/>
        <w:rPr>
          <w:sz w:val="20"/>
          <w:szCs w:val="20"/>
          <w:color w:val="auto"/>
        </w:rPr>
      </w:pPr>
    </w:p>
    <w:p>
      <w:pPr>
        <w:spacing w:after="0" w:line="22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June 24, 2026, Micron Technology, Inc. (the "Company", "we" or "our") announced the financial results for our third quarter of fiscal 2026 ended May 28, 2026. The full text of the press release issued in connection with the announcement is attached as Exhibit 99.1 to this Current Report on Form 8-K.</w:t>
      </w:r>
    </w:p>
    <w:p>
      <w:pPr>
        <w:spacing w:after="0" w:line="2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 Item 2.02 and Exhibit 99.1 of this Current Report on Form 8-K shall not be deemed "filed" for the purposes of Section 18 of the Securities Exchange Act of 1934, as amended (the "Exchange Act"), or otherwise subject to the liabilities of that section. The information in Item 2.02 and Exhibit 99.1 of this Current Report on Form 8-K shall not be incorporated by reference into any filing or other document pursuant to the Securities Act of 1933, as amended, or the Exchange Act, except as shall be expressly set forth by specific reference in such filing or document.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9900" w:type="dxa"/>
            <w:vAlign w:val="bottom"/>
            <w:gridSpan w:val="5"/>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78"/>
        </w:trPr>
        <w:tc>
          <w:tcPr>
            <w:tcW w:w="134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(d) Exhibits.</w:t>
            </w:r>
          </w:p>
        </w:tc>
      </w:tr>
      <w:tr>
        <w:trPr>
          <w:trHeight w:val="671"/>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340" w:type="dxa"/>
            <w:vAlign w:val="bottom"/>
            <w:tcBorders>
              <w:top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180" w:type="dxa"/>
            <w:vAlign w:val="bottom"/>
            <w:tcBorders>
              <w:top w:val="single" w:sz="8" w:color="auto"/>
              <w:bottom w:val="single" w:sz="8" w:color="BD03F7"/>
            </w:tcBorders>
          </w:tcPr>
          <w:p>
            <w:pPr>
              <w:spacing w:after="0" w:line="182" w:lineRule="exact"/>
              <w:rPr>
                <w:sz w:val="20"/>
                <w:szCs w:val="20"/>
                <w:color w:val="auto"/>
              </w:rPr>
            </w:pPr>
            <w:r>
              <w:rPr>
                <w:rFonts w:ascii="Arial" w:cs="Arial" w:eastAsia="Arial" w:hAnsi="Arial"/>
                <w:sz w:val="18"/>
                <w:szCs w:val="18"/>
                <w:color w:val="BD03F7"/>
                <w:w w:val="99"/>
              </w:rPr>
              <w:t>Press Release issued on June 24, 2026</w:t>
            </w:r>
          </w:p>
        </w:tc>
        <w:tc>
          <w:tcPr>
            <w:tcW w:w="64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54"/>
        </w:trPr>
        <w:tc>
          <w:tcPr>
            <w:tcW w:w="1340" w:type="dxa"/>
            <w:vAlign w:val="bottom"/>
          </w:tcPr>
          <w:p>
            <w:pPr>
              <w:jc w:val="right"/>
              <w:ind w:right="43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61"/>
        </w:trPr>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680" w:type="dxa"/>
            <w:vAlign w:val="bottom"/>
          </w:tcPr>
          <w:p>
            <w:pPr>
              <w:spacing w:after="0"/>
              <w:rPr>
                <w:sz w:val="21"/>
                <w:szCs w:val="21"/>
                <w:color w:val="auto"/>
              </w:rPr>
            </w:pPr>
          </w:p>
        </w:tc>
        <w:tc>
          <w:tcPr>
            <w:tcW w:w="7540" w:type="dxa"/>
            <w:vAlign w:val="bottom"/>
            <w:gridSpan w:val="2"/>
          </w:tcPr>
          <w:p>
            <w:pPr>
              <w:ind w:left="1780"/>
              <w:spacing w:after="0"/>
              <w:rPr>
                <w:sz w:val="20"/>
                <w:szCs w:val="20"/>
                <w:color w:val="auto"/>
              </w:rPr>
            </w:pPr>
            <w:r>
              <w:rPr>
                <w:rFonts w:ascii="Arial" w:cs="Arial" w:eastAsia="Arial" w:hAnsi="Arial"/>
                <w:sz w:val="18"/>
                <w:szCs w:val="18"/>
                <w:b w:val="1"/>
                <w:bCs w:val="1"/>
                <w:color w:val="auto"/>
              </w:rPr>
              <w:t>MICRON TECHNOLOGY, INC.</w:t>
            </w:r>
          </w:p>
        </w:tc>
      </w:tr>
      <w:tr>
        <w:trPr>
          <w:trHeight w:val="731"/>
        </w:trPr>
        <w:tc>
          <w:tcPr>
            <w:tcW w:w="3680" w:type="dxa"/>
            <w:vAlign w:val="bottom"/>
          </w:tcPr>
          <w:p>
            <w:pPr>
              <w:spacing w:after="0"/>
              <w:rPr>
                <w:sz w:val="20"/>
                <w:szCs w:val="20"/>
                <w:color w:val="auto"/>
              </w:rPr>
            </w:pPr>
            <w:r>
              <w:rPr>
                <w:rFonts w:ascii="Arial" w:cs="Arial" w:eastAsia="Arial" w:hAnsi="Arial"/>
                <w:sz w:val="18"/>
                <w:szCs w:val="18"/>
                <w:color w:val="auto"/>
              </w:rPr>
              <w:t>Date:   June 24, 2026</w:t>
            </w:r>
          </w:p>
        </w:tc>
        <w:tc>
          <w:tcPr>
            <w:tcW w:w="2680" w:type="dxa"/>
            <w:vAlign w:val="bottom"/>
          </w:tcPr>
          <w:p>
            <w:pPr>
              <w:ind w:left="17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Mark Murphy</w:t>
            </w:r>
          </w:p>
        </w:tc>
      </w:tr>
      <w:tr>
        <w:trPr>
          <w:trHeight w:val="218"/>
        </w:trPr>
        <w:tc>
          <w:tcPr>
            <w:tcW w:w="3680" w:type="dxa"/>
            <w:vAlign w:val="bottom"/>
          </w:tcPr>
          <w:p>
            <w:pPr>
              <w:spacing w:after="0"/>
              <w:rPr>
                <w:sz w:val="18"/>
                <w:szCs w:val="18"/>
                <w:color w:val="auto"/>
              </w:rPr>
            </w:pPr>
          </w:p>
        </w:tc>
        <w:tc>
          <w:tcPr>
            <w:tcW w:w="2680" w:type="dxa"/>
            <w:vAlign w:val="bottom"/>
          </w:tcPr>
          <w:p>
            <w:pPr>
              <w:ind w:left="1780"/>
              <w:spacing w:after="0"/>
              <w:rPr>
                <w:sz w:val="20"/>
                <w:szCs w:val="20"/>
                <w:color w:val="auto"/>
              </w:rPr>
            </w:pPr>
            <w:r>
              <w:rPr>
                <w:rFonts w:ascii="Arial" w:cs="Arial" w:eastAsia="Arial" w:hAnsi="Arial"/>
                <w:sz w:val="18"/>
                <w:szCs w:val="18"/>
                <w:color w:val="auto"/>
              </w:rPr>
              <w:t>Name:</w:t>
            </w:r>
          </w:p>
        </w:tc>
        <w:tc>
          <w:tcPr>
            <w:tcW w:w="4860" w:type="dxa"/>
            <w:vAlign w:val="bottom"/>
          </w:tcPr>
          <w:p>
            <w:pPr>
              <w:ind w:left="20"/>
              <w:spacing w:after="0"/>
              <w:rPr>
                <w:sz w:val="20"/>
                <w:szCs w:val="20"/>
                <w:color w:val="auto"/>
              </w:rPr>
            </w:pPr>
            <w:r>
              <w:rPr>
                <w:rFonts w:ascii="Arial" w:cs="Arial" w:eastAsia="Arial" w:hAnsi="Arial"/>
                <w:sz w:val="18"/>
                <w:szCs w:val="18"/>
                <w:color w:val="auto"/>
              </w:rPr>
              <w:t>Mark Murphy</w:t>
            </w:r>
          </w:p>
        </w:tc>
      </w:tr>
      <w:tr>
        <w:trPr>
          <w:trHeight w:val="239"/>
        </w:trPr>
        <w:tc>
          <w:tcPr>
            <w:tcW w:w="3680" w:type="dxa"/>
            <w:vAlign w:val="bottom"/>
          </w:tcPr>
          <w:p>
            <w:pPr>
              <w:spacing w:after="0"/>
              <w:rPr>
                <w:sz w:val="20"/>
                <w:szCs w:val="20"/>
                <w:color w:val="auto"/>
              </w:rPr>
            </w:pPr>
          </w:p>
        </w:tc>
        <w:tc>
          <w:tcPr>
            <w:tcW w:w="2680" w:type="dxa"/>
            <w:vAlign w:val="bottom"/>
          </w:tcPr>
          <w:p>
            <w:pPr>
              <w:ind w:left="178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113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3" w:lineRule="exact"/>
        <w:rPr>
          <w:sz w:val="20"/>
          <w:szCs w:val="20"/>
          <w:color w:val="auto"/>
        </w:rPr>
      </w:pPr>
    </w:p>
    <w:tbl>
      <w:tblPr>
        <w:tblLayout w:type="fixed"/>
        <w:tblInd w:w="260" w:type="dxa"/>
        <w:tblCellMar>
          <w:top w:w="0" w:type="dxa"/>
          <w:left w:w="0" w:type="dxa"/>
          <w:bottom w:w="0" w:type="dxa"/>
          <w:right w:w="0" w:type="dxa"/>
        </w:tblCellMar>
      </w:tblPr>
      <w:tr>
        <w:trPr>
          <w:trHeight w:val="225"/>
        </w:trPr>
        <w:tc>
          <w:tcPr>
            <w:tcW w:w="1500" w:type="dxa"/>
            <w:vAlign w:val="bottom"/>
          </w:tcPr>
          <w:p>
            <w:pPr>
              <w:spacing w:after="0"/>
              <w:rPr>
                <w:sz w:val="20"/>
                <w:szCs w:val="20"/>
                <w:color w:val="auto"/>
              </w:rPr>
            </w:pPr>
            <w:r>
              <w:rPr>
                <w:rFonts w:ascii="Arial" w:cs="Arial" w:eastAsia="Arial" w:hAnsi="Arial"/>
                <w:sz w:val="18"/>
                <w:szCs w:val="18"/>
                <w:color w:val="auto"/>
              </w:rPr>
              <w:t>Contacts:</w:t>
            </w:r>
          </w:p>
        </w:tc>
        <w:tc>
          <w:tcPr>
            <w:tcW w:w="3100" w:type="dxa"/>
            <w:vAlign w:val="bottom"/>
            <w:gridSpan w:val="2"/>
          </w:tcPr>
          <w:p>
            <w:pPr>
              <w:spacing w:after="0"/>
              <w:rPr>
                <w:sz w:val="20"/>
                <w:szCs w:val="20"/>
                <w:color w:val="auto"/>
              </w:rPr>
            </w:pPr>
            <w:r>
              <w:rPr>
                <w:rFonts w:ascii="Arial" w:cs="Arial" w:eastAsia="Arial" w:hAnsi="Arial"/>
                <w:sz w:val="18"/>
                <w:szCs w:val="18"/>
                <w:color w:val="auto"/>
              </w:rPr>
              <w:t>Satya Kumar</w:t>
            </w:r>
          </w:p>
        </w:tc>
        <w:tc>
          <w:tcPr>
            <w:tcW w:w="1780" w:type="dxa"/>
            <w:vAlign w:val="bottom"/>
          </w:tcPr>
          <w:p>
            <w:pPr>
              <w:spacing w:after="0"/>
              <w:rPr>
                <w:sz w:val="20"/>
                <w:szCs w:val="20"/>
                <w:color w:val="auto"/>
              </w:rPr>
            </w:pPr>
            <w:r>
              <w:rPr>
                <w:rFonts w:ascii="Arial" w:cs="Arial" w:eastAsia="Arial" w:hAnsi="Arial"/>
                <w:sz w:val="18"/>
                <w:szCs w:val="18"/>
                <w:color w:val="auto"/>
              </w:rPr>
              <w:t>Mark Plungy</w:t>
            </w:r>
          </w:p>
        </w:tc>
      </w:tr>
      <w:tr>
        <w:trPr>
          <w:trHeight w:val="230"/>
        </w:trPr>
        <w:tc>
          <w:tcPr>
            <w:tcW w:w="15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1780" w:type="dxa"/>
            <w:vAlign w:val="bottom"/>
          </w:tcPr>
          <w:p>
            <w:pPr>
              <w:spacing w:after="0"/>
              <w:rPr>
                <w:sz w:val="20"/>
                <w:szCs w:val="20"/>
                <w:color w:val="auto"/>
              </w:rPr>
            </w:pPr>
            <w:r>
              <w:rPr>
                <w:rFonts w:ascii="Arial" w:cs="Arial" w:eastAsia="Arial" w:hAnsi="Arial"/>
                <w:sz w:val="18"/>
                <w:szCs w:val="18"/>
                <w:color w:val="auto"/>
              </w:rPr>
              <w:t>Media Relations</w:t>
            </w:r>
          </w:p>
        </w:tc>
      </w:tr>
      <w:tr>
        <w:trPr>
          <w:trHeight w:val="194"/>
        </w:trPr>
        <w:tc>
          <w:tcPr>
            <w:tcW w:w="1500" w:type="dxa"/>
            <w:vAlign w:val="bottom"/>
          </w:tcPr>
          <w:p>
            <w:pPr>
              <w:spacing w:after="0"/>
              <w:rPr>
                <w:sz w:val="16"/>
                <w:szCs w:val="16"/>
                <w:color w:val="auto"/>
              </w:rPr>
            </w:pPr>
          </w:p>
        </w:tc>
        <w:tc>
          <w:tcPr>
            <w:tcW w:w="3100" w:type="dxa"/>
            <w:vAlign w:val="bottom"/>
            <w:gridSpan w:val="2"/>
          </w:tcPr>
          <w:p>
            <w:pPr>
              <w:spacing w:after="0" w:line="195" w:lineRule="exact"/>
              <w:rPr>
                <w:sz w:val="20"/>
                <w:szCs w:val="20"/>
                <w:color w:val="auto"/>
              </w:rPr>
            </w:pPr>
            <w:r>
              <w:rPr>
                <w:rFonts w:ascii="Arial" w:cs="Arial" w:eastAsia="Arial" w:hAnsi="Arial"/>
                <w:sz w:val="18"/>
                <w:szCs w:val="18"/>
                <w:color w:val="BD03F7"/>
              </w:rPr>
              <w:t>satyakumar@micron.com</w:t>
            </w:r>
          </w:p>
        </w:tc>
        <w:tc>
          <w:tcPr>
            <w:tcW w:w="1780" w:type="dxa"/>
            <w:vAlign w:val="bottom"/>
          </w:tcPr>
          <w:p>
            <w:pPr>
              <w:spacing w:after="0" w:line="195" w:lineRule="exact"/>
              <w:rPr>
                <w:sz w:val="20"/>
                <w:szCs w:val="20"/>
                <w:color w:val="auto"/>
              </w:rPr>
            </w:pPr>
            <w:r>
              <w:rPr>
                <w:rFonts w:ascii="Arial" w:cs="Arial" w:eastAsia="Arial" w:hAnsi="Arial"/>
                <w:sz w:val="18"/>
                <w:szCs w:val="18"/>
                <w:color w:val="BD03F7"/>
                <w:w w:val="98"/>
              </w:rPr>
              <w:t>mplungy@micron.com</w:t>
            </w:r>
          </w:p>
        </w:tc>
      </w:tr>
      <w:tr>
        <w:trPr>
          <w:trHeight w:val="254"/>
        </w:trPr>
        <w:tc>
          <w:tcPr>
            <w:tcW w:w="1500" w:type="dxa"/>
            <w:vAlign w:val="bottom"/>
          </w:tcPr>
          <w:p>
            <w:pPr>
              <w:spacing w:after="0"/>
              <w:rPr>
                <w:sz w:val="22"/>
                <w:szCs w:val="22"/>
                <w:color w:val="auto"/>
              </w:rPr>
            </w:pPr>
          </w:p>
        </w:tc>
        <w:tc>
          <w:tcPr>
            <w:tcW w:w="2040" w:type="dxa"/>
            <w:vAlign w:val="bottom"/>
            <w:tcBorders>
              <w:top w:val="single" w:sz="8" w:color="BD03F7"/>
            </w:tcBorders>
          </w:tcPr>
          <w:p>
            <w:pPr>
              <w:spacing w:after="0"/>
              <w:rPr>
                <w:sz w:val="20"/>
                <w:szCs w:val="20"/>
                <w:color w:val="auto"/>
              </w:rPr>
            </w:pPr>
            <w:r>
              <w:rPr>
                <w:rFonts w:ascii="Arial" w:cs="Arial" w:eastAsia="Arial" w:hAnsi="Arial"/>
                <w:sz w:val="18"/>
                <w:szCs w:val="18"/>
                <w:color w:val="auto"/>
              </w:rPr>
              <w:t>(408) 450-6199</w:t>
            </w:r>
          </w:p>
        </w:tc>
        <w:tc>
          <w:tcPr>
            <w:tcW w:w="1060" w:type="dxa"/>
            <w:vAlign w:val="bottom"/>
          </w:tcPr>
          <w:p>
            <w:pPr>
              <w:spacing w:after="0"/>
              <w:rPr>
                <w:sz w:val="22"/>
                <w:szCs w:val="22"/>
                <w:color w:val="auto"/>
              </w:rPr>
            </w:pPr>
          </w:p>
        </w:tc>
        <w:tc>
          <w:tcPr>
            <w:tcW w:w="1780" w:type="dxa"/>
            <w:vAlign w:val="bottom"/>
            <w:tcBorders>
              <w:top w:val="single" w:sz="8" w:color="BD03F7"/>
            </w:tcBorders>
          </w:tcPr>
          <w:p>
            <w:pPr>
              <w:spacing w:after="0"/>
              <w:rPr>
                <w:sz w:val="20"/>
                <w:szCs w:val="20"/>
                <w:color w:val="auto"/>
              </w:rPr>
            </w:pPr>
            <w:r>
              <w:rPr>
                <w:rFonts w:ascii="Arial" w:cs="Arial" w:eastAsia="Arial" w:hAnsi="Arial"/>
                <w:sz w:val="18"/>
                <w:szCs w:val="18"/>
                <w:color w:val="auto"/>
              </w:rPr>
              <w:t>(408) 203-2910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INC. REPORTS RECORD RESULTS FOR THE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QUARTER OF FISCAL 2026</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Micron executes transformational Strategic Customer Agreements</w:t>
      </w:r>
    </w:p>
    <w:p>
      <w:pPr>
        <w:spacing w:after="0" w:line="237"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June 24, 2026 – Micron Technology, Inc. (Nasdaq: MU) today announced results for its third quarter of fiscal 2026, which</w:t>
      </w:r>
      <w:r>
        <w:rPr>
          <w:rFonts w:ascii="Arial" w:cs="Arial" w:eastAsia="Arial" w:hAnsi="Arial"/>
          <w:sz w:val="18"/>
          <w:szCs w:val="18"/>
          <w:b w:val="1"/>
          <w:bCs w:val="1"/>
          <w:color w:val="auto"/>
        </w:rPr>
        <w:t xml:space="preserve"> </w:t>
      </w:r>
      <w:r>
        <w:rPr>
          <w:rFonts w:ascii="Arial" w:cs="Arial" w:eastAsia="Arial" w:hAnsi="Arial"/>
          <w:sz w:val="18"/>
          <w:szCs w:val="18"/>
          <w:color w:val="auto"/>
        </w:rPr>
        <w:t>ended May 28, 2026.</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Q3 2026 highlights</w:t>
      </w:r>
    </w:p>
    <w:p>
      <w:pPr>
        <w:spacing w:after="0" w:line="27"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$41.46 billion versus $23.86 billion for the prior quarter and $9.30 billion for the same period last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of $28.24 billion, or $24.67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of $28.86 billion, or $25.11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$25.39 billion versus $11.90 billion for the prior quarter and $4.61 billion for the same period last year</w:t>
      </w:r>
    </w:p>
    <w:p>
      <w:pPr>
        <w:spacing w:after="0" w:line="23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“Micron’s record fiscal Q3 financial results and even stronger outlook for Q4 reflect the strategic value of memory in the AI era,” said Sanjay Mehrotra, Chairman, President and CEO of Micron Technology. “Micron is investing at record levels in technology, products and supply to address our customers’ rapidly growing demand. We believe our multi-year Strategic Customer Agreements will significantly enhance the durability and predictability of Micron’s strong financial performance.”</w:t>
      </w:r>
    </w:p>
    <w:p>
      <w:pPr>
        <w:spacing w:after="0" w:line="2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Quarterly Financial Results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00" w:type="dxa"/>
            <w:vAlign w:val="bottom"/>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Non-GAAP</w:t>
            </w:r>
            <w:r>
              <w:rPr>
                <w:rFonts w:ascii="Arial" w:cs="Arial" w:eastAsia="Arial" w:hAnsi="Arial"/>
                <w:sz w:val="23"/>
                <w:szCs w:val="23"/>
                <w:b w:val="1"/>
                <w:bCs w:val="1"/>
                <w:color w:val="auto"/>
                <w:w w:val="96"/>
                <w:vertAlign w:val="superscript"/>
              </w:rPr>
              <w:t>(2)</w:t>
            </w: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r>
      <w:tr>
        <w:trPr>
          <w:trHeight w:val="250"/>
        </w:trPr>
        <w:tc>
          <w:tcPr>
            <w:tcW w:w="420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FQ3-26</w:t>
            </w:r>
          </w:p>
        </w:tc>
        <w:tc>
          <w:tcPr>
            <w:tcW w:w="18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FQ2-26</w:t>
            </w:r>
          </w:p>
        </w:tc>
        <w:tc>
          <w:tcPr>
            <w:tcW w:w="20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FQ3-25</w:t>
            </w: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FQ3-26</w:t>
            </w: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FQ2-26</w:t>
            </w:r>
          </w:p>
        </w:tc>
        <w:tc>
          <w:tcPr>
            <w:tcW w:w="18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FQ3-25</w:t>
            </w:r>
          </w:p>
        </w:tc>
      </w:tr>
      <w:tr>
        <w:trPr>
          <w:trHeight w:val="34"/>
        </w:trPr>
        <w:tc>
          <w:tcPr>
            <w:tcW w:w="420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r>
      <w:tr>
        <w:trPr>
          <w:trHeight w:val="230"/>
        </w:trPr>
        <w:tc>
          <w:tcPr>
            <w:tcW w:w="4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   41,456</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23,860</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9,301</w:t>
            </w:r>
          </w:p>
        </w:tc>
        <w:tc>
          <w:tcPr>
            <w:tcW w:w="100" w:type="dxa"/>
            <w:vAlign w:val="bottom"/>
            <w:shd w:val="clear" w:color="auto" w:fill="D1D2D4"/>
          </w:tcPr>
          <w:p>
            <w:pPr>
              <w:spacing w:after="0"/>
              <w:rPr>
                <w:sz w:val="19"/>
                <w:szCs w:val="19"/>
                <w:color w:val="auto"/>
              </w:rPr>
            </w:pP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   41,456</w:t>
            </w: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   23,860</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9,301</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35,056</w:t>
            </w:r>
          </w:p>
        </w:tc>
        <w:tc>
          <w:tcPr>
            <w:tcW w:w="18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17,755</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3,508</w:t>
            </w:r>
          </w:p>
        </w:tc>
        <w:tc>
          <w:tcPr>
            <w:tcW w:w="10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35,199</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17,876</w:t>
            </w:r>
          </w:p>
        </w:tc>
        <w:tc>
          <w:tcPr>
            <w:tcW w:w="18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3,623</w:t>
            </w:r>
          </w:p>
        </w:tc>
      </w:tr>
      <w:tr>
        <w:trPr>
          <w:trHeight w:val="230"/>
        </w:trPr>
        <w:tc>
          <w:tcPr>
            <w:tcW w:w="4200" w:type="dxa"/>
            <w:vAlign w:val="bottom"/>
            <w:shd w:val="clear" w:color="auto" w:fill="D1D2D4"/>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i w:val="1"/>
                <w:iCs w:val="1"/>
                <w:color w:val="auto"/>
              </w:rPr>
              <w:t>84.6 %</w:t>
            </w:r>
          </w:p>
        </w:tc>
        <w:tc>
          <w:tcPr>
            <w:tcW w:w="18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i w:val="1"/>
                <w:iCs w:val="1"/>
                <w:color w:val="auto"/>
              </w:rPr>
              <w:t>74.4 %</w:t>
            </w:r>
          </w:p>
        </w:tc>
        <w:tc>
          <w:tcPr>
            <w:tcW w:w="200" w:type="dxa"/>
            <w:vAlign w:val="bottom"/>
            <w:shd w:val="clear" w:color="auto" w:fill="D1D2D4"/>
          </w:tcPr>
          <w:p>
            <w:pPr>
              <w:spacing w:after="0"/>
              <w:rPr>
                <w:sz w:val="19"/>
                <w:szCs w:val="19"/>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i w:val="1"/>
                <w:iCs w:val="1"/>
                <w:color w:val="auto"/>
              </w:rPr>
              <w:t>37.7 %</w:t>
            </w:r>
          </w:p>
        </w:tc>
        <w:tc>
          <w:tcPr>
            <w:tcW w:w="10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i w:val="1"/>
                <w:iCs w:val="1"/>
                <w:color w:val="auto"/>
              </w:rPr>
              <w:t>84.9 %</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i w:val="1"/>
                <w:iCs w:val="1"/>
                <w:color w:val="auto"/>
              </w:rPr>
              <w:t>74.9 %</w:t>
            </w:r>
          </w:p>
        </w:tc>
        <w:tc>
          <w:tcPr>
            <w:tcW w:w="180" w:type="dxa"/>
            <w:vAlign w:val="bottom"/>
            <w:shd w:val="clear" w:color="auto" w:fill="D1D2D4"/>
          </w:tcPr>
          <w:p>
            <w:pPr>
              <w:spacing w:after="0"/>
              <w:rPr>
                <w:sz w:val="19"/>
                <w:szCs w:val="19"/>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i w:val="1"/>
                <w:iCs w:val="1"/>
                <w:color w:val="auto"/>
              </w:rPr>
              <w:t>39.0 %</w:t>
            </w: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1,738</w:t>
            </w:r>
          </w:p>
        </w:tc>
        <w:tc>
          <w:tcPr>
            <w:tcW w:w="18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1,620</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1,518</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1,421</w:t>
            </w:r>
          </w:p>
        </w:tc>
        <w:tc>
          <w:tcPr>
            <w:tcW w:w="18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1,133</w:t>
            </w:r>
          </w:p>
        </w:tc>
      </w:tr>
      <w:tr>
        <w:trPr>
          <w:trHeight w:val="230"/>
        </w:trPr>
        <w:tc>
          <w:tcPr>
            <w:tcW w:w="4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income</w:t>
            </w: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33,318</w:t>
            </w:r>
          </w:p>
        </w:tc>
        <w:tc>
          <w:tcPr>
            <w:tcW w:w="180" w:type="dxa"/>
            <w:vAlign w:val="bottom"/>
            <w:shd w:val="clear" w:color="auto" w:fill="D1D2D4"/>
          </w:tcPr>
          <w:p>
            <w:pPr>
              <w:spacing w:after="0"/>
              <w:rPr>
                <w:sz w:val="19"/>
                <w:szCs w:val="19"/>
                <w:color w:val="auto"/>
              </w:rPr>
            </w:pPr>
          </w:p>
        </w:tc>
        <w:tc>
          <w:tcPr>
            <w:tcW w:w="9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16,135</w:t>
            </w:r>
          </w:p>
        </w:tc>
        <w:tc>
          <w:tcPr>
            <w:tcW w:w="200" w:type="dxa"/>
            <w:vAlign w:val="bottom"/>
            <w:shd w:val="clear" w:color="auto" w:fill="D1D2D4"/>
          </w:tcPr>
          <w:p>
            <w:pPr>
              <w:spacing w:after="0"/>
              <w:rPr>
                <w:sz w:val="19"/>
                <w:szCs w:val="19"/>
                <w:color w:val="auto"/>
              </w:rPr>
            </w:pPr>
          </w:p>
        </w:tc>
        <w:tc>
          <w:tcPr>
            <w:tcW w:w="9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2,169</w:t>
            </w:r>
          </w:p>
        </w:tc>
        <w:tc>
          <w:tcPr>
            <w:tcW w:w="100" w:type="dxa"/>
            <w:vAlign w:val="bottom"/>
            <w:shd w:val="clear" w:color="auto" w:fill="D1D2D4"/>
          </w:tcPr>
          <w:p>
            <w:pPr>
              <w:spacing w:after="0"/>
              <w:rPr>
                <w:sz w:val="19"/>
                <w:szCs w:val="19"/>
                <w:color w:val="auto"/>
              </w:rPr>
            </w:pP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33,681</w:t>
            </w: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16,455</w:t>
            </w:r>
          </w:p>
        </w:tc>
        <w:tc>
          <w:tcPr>
            <w:tcW w:w="180" w:type="dxa"/>
            <w:vAlign w:val="bottom"/>
            <w:shd w:val="clear" w:color="auto" w:fill="D1D2D4"/>
          </w:tcPr>
          <w:p>
            <w:pPr>
              <w:spacing w:after="0"/>
              <w:rPr>
                <w:sz w:val="19"/>
                <w:szCs w:val="19"/>
                <w:color w:val="auto"/>
              </w:rPr>
            </w:pPr>
          </w:p>
        </w:tc>
        <w:tc>
          <w:tcPr>
            <w:tcW w:w="9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2,490</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80.4 %</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67.6 %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23.3 %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81.2 %</w:t>
            </w: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69.0 %</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26.8 %</w:t>
            </w:r>
          </w:p>
        </w:tc>
      </w:tr>
      <w:tr>
        <w:trPr>
          <w:trHeight w:val="230"/>
        </w:trPr>
        <w:tc>
          <w:tcPr>
            <w:tcW w:w="4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w:t>
            </w: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28,243</w:t>
            </w:r>
          </w:p>
        </w:tc>
        <w:tc>
          <w:tcPr>
            <w:tcW w:w="180" w:type="dxa"/>
            <w:vAlign w:val="bottom"/>
            <w:shd w:val="clear" w:color="auto" w:fill="D1D2D4"/>
          </w:tcPr>
          <w:p>
            <w:pPr>
              <w:spacing w:after="0"/>
              <w:rPr>
                <w:sz w:val="19"/>
                <w:szCs w:val="19"/>
                <w:color w:val="auto"/>
              </w:rPr>
            </w:pPr>
          </w:p>
        </w:tc>
        <w:tc>
          <w:tcPr>
            <w:tcW w:w="9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13,785</w:t>
            </w:r>
          </w:p>
        </w:tc>
        <w:tc>
          <w:tcPr>
            <w:tcW w:w="200" w:type="dxa"/>
            <w:vAlign w:val="bottom"/>
            <w:shd w:val="clear" w:color="auto" w:fill="D1D2D4"/>
          </w:tcPr>
          <w:p>
            <w:pPr>
              <w:spacing w:after="0"/>
              <w:rPr>
                <w:sz w:val="19"/>
                <w:szCs w:val="19"/>
                <w:color w:val="auto"/>
              </w:rPr>
            </w:pPr>
          </w:p>
        </w:tc>
        <w:tc>
          <w:tcPr>
            <w:tcW w:w="9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D1D2D4"/>
          </w:tcPr>
          <w:p>
            <w:pPr>
              <w:spacing w:after="0"/>
              <w:rPr>
                <w:sz w:val="19"/>
                <w:szCs w:val="19"/>
                <w:color w:val="auto"/>
              </w:rPr>
            </w:pP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28,857</w:t>
            </w: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14,021</w:t>
            </w:r>
          </w:p>
        </w:tc>
        <w:tc>
          <w:tcPr>
            <w:tcW w:w="180" w:type="dxa"/>
            <w:vAlign w:val="bottom"/>
            <w:shd w:val="clear" w:color="auto" w:fill="D1D2D4"/>
          </w:tcPr>
          <w:p>
            <w:pPr>
              <w:spacing w:after="0"/>
              <w:rPr>
                <w:sz w:val="19"/>
                <w:szCs w:val="19"/>
                <w:color w:val="auto"/>
              </w:rPr>
            </w:pPr>
          </w:p>
        </w:tc>
        <w:tc>
          <w:tcPr>
            <w:tcW w:w="9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2,181</w:t>
            </w:r>
          </w:p>
        </w:tc>
      </w:tr>
      <w:tr>
        <w:trPr>
          <w:trHeight w:val="239"/>
        </w:trPr>
        <w:tc>
          <w:tcPr>
            <w:tcW w:w="4200" w:type="dxa"/>
            <w:vAlign w:val="bottom"/>
          </w:tcPr>
          <w:p>
            <w:pPr>
              <w:ind w:left="20"/>
              <w:spacing w:after="0"/>
              <w:rPr>
                <w:sz w:val="20"/>
                <w:szCs w:val="20"/>
                <w:color w:val="auto"/>
              </w:rPr>
            </w:pPr>
            <w:r>
              <w:rPr>
                <w:rFonts w:ascii="Arial" w:cs="Arial" w:eastAsia="Arial" w:hAnsi="Arial"/>
                <w:sz w:val="18"/>
                <w:szCs w:val="18"/>
                <w:color w:val="auto"/>
              </w:rPr>
              <w:t>Diluted earnings per share (EPS)</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24.67</w:t>
            </w:r>
          </w:p>
        </w:tc>
        <w:tc>
          <w:tcPr>
            <w:tcW w:w="18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12.07</w:t>
            </w:r>
          </w:p>
        </w:tc>
        <w:tc>
          <w:tcPr>
            <w:tcW w:w="20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25.11</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12.20</w:t>
            </w:r>
          </w:p>
        </w:tc>
        <w:tc>
          <w:tcPr>
            <w:tcW w:w="18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1.91</w:t>
            </w:r>
          </w:p>
        </w:tc>
      </w:tr>
    </w:tbl>
    <w:p>
      <w:pPr>
        <w:spacing w:after="0" w:line="307" w:lineRule="exact"/>
        <w:rPr>
          <w:sz w:val="20"/>
          <w:szCs w:val="20"/>
          <w:color w:val="auto"/>
        </w:rPr>
      </w:pPr>
    </w:p>
    <w:p>
      <w:pPr>
        <w:ind w:right="400"/>
        <w:spacing w:after="0" w:line="241" w:lineRule="auto"/>
        <w:rPr>
          <w:sz w:val="20"/>
          <w:szCs w:val="20"/>
          <w:color w:val="auto"/>
        </w:rPr>
      </w:pPr>
      <w:r>
        <w:rPr>
          <w:rFonts w:ascii="Arial" w:cs="Arial" w:eastAsia="Arial" w:hAnsi="Arial"/>
          <w:sz w:val="18"/>
          <w:szCs w:val="18"/>
          <w:color w:val="auto"/>
        </w:rPr>
        <w:t>For the third quarter of 2026, investments in capital expenditures, net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were $7.1 billion and adjusted free cash flow</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was $18.3 billion. Micron ended the quarter with cash, marketable investments, and restricted cash of $30.2 billion. On June 24, 2026, Micron’s Board of Directors declared a quarterly dividend of $0.15 per share, payable in cash on July 21, 2026, to shareholders of record as of the close of business on July 6, 2026.</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4"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22"/>
          <w:szCs w:val="22"/>
          <w:b w:val="1"/>
          <w:bCs w:val="1"/>
          <w:color w:val="auto"/>
        </w:rPr>
        <w:t>Quarterly Business Unit Financial Results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FQ3-26</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FQ2-26</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FQ3-25</w:t>
            </w:r>
          </w:p>
        </w:tc>
      </w:tr>
      <w:tr>
        <w:trPr>
          <w:trHeight w:val="34"/>
        </w:trPr>
        <w:tc>
          <w:tcPr>
            <w:tcW w:w="56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562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Cloud Memory Business Unit</w:t>
            </w:r>
          </w:p>
        </w:tc>
        <w:tc>
          <w:tcPr>
            <w:tcW w:w="2220" w:type="dxa"/>
            <w:vAlign w:val="bottom"/>
            <w:shd w:val="clear" w:color="auto" w:fill="D1D2D4"/>
          </w:tcPr>
          <w:p>
            <w:pPr>
              <w:spacing w:after="0"/>
              <w:rPr>
                <w:sz w:val="19"/>
                <w:szCs w:val="19"/>
                <w:color w:val="auto"/>
              </w:rPr>
            </w:pPr>
          </w:p>
        </w:tc>
        <w:tc>
          <w:tcPr>
            <w:tcW w:w="10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spacing w:after="0"/>
              <w:rPr>
                <w:sz w:val="19"/>
                <w:szCs w:val="19"/>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Revenue</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13,769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7,749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3,386</w:t>
            </w:r>
          </w:p>
        </w:tc>
      </w:tr>
      <w:tr>
        <w:trPr>
          <w:trHeight w:val="229"/>
        </w:trPr>
        <w:tc>
          <w:tcPr>
            <w:tcW w:w="5620" w:type="dxa"/>
            <w:vAlign w:val="bottom"/>
            <w:shd w:val="clear" w:color="auto" w:fill="D1D2D4"/>
          </w:tcPr>
          <w:p>
            <w:pPr>
              <w:ind w:left="180"/>
              <w:spacing w:after="0"/>
              <w:rPr>
                <w:sz w:val="20"/>
                <w:szCs w:val="20"/>
                <w:color w:val="auto"/>
              </w:rPr>
            </w:pPr>
            <w:r>
              <w:rPr>
                <w:rFonts w:ascii="Arial" w:cs="Arial" w:eastAsia="Arial" w:hAnsi="Arial"/>
                <w:sz w:val="18"/>
                <w:szCs w:val="18"/>
                <w:color w:val="auto"/>
              </w:rPr>
              <w:t>Gross margin</w:t>
            </w:r>
          </w:p>
        </w:tc>
        <w:tc>
          <w:tcPr>
            <w:tcW w:w="222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83 %</w:t>
            </w: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74 %</w:t>
            </w: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58 %</w:t>
            </w: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Operating margin</w:t>
            </w:r>
          </w:p>
        </w:tc>
        <w:tc>
          <w:tcPr>
            <w:tcW w:w="2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46 %</w:t>
            </w:r>
          </w:p>
        </w:tc>
      </w:tr>
      <w:tr>
        <w:trPr>
          <w:trHeight w:val="270"/>
        </w:trPr>
        <w:tc>
          <w:tcPr>
            <w:tcW w:w="5620" w:type="dxa"/>
            <w:vAlign w:val="bottom"/>
            <w:shd w:val="clear" w:color="auto" w:fill="D1D2D4"/>
          </w:tcPr>
          <w:p>
            <w:pPr>
              <w:spacing w:after="0"/>
              <w:rPr>
                <w:sz w:val="23"/>
                <w:szCs w:val="23"/>
                <w:color w:val="auto"/>
              </w:rPr>
            </w:pPr>
          </w:p>
        </w:tc>
        <w:tc>
          <w:tcPr>
            <w:tcW w:w="2220" w:type="dxa"/>
            <w:vAlign w:val="bottom"/>
            <w:shd w:val="clear" w:color="auto" w:fill="D1D2D4"/>
          </w:tcPr>
          <w:p>
            <w:pPr>
              <w:spacing w:after="0"/>
              <w:rPr>
                <w:sz w:val="23"/>
                <w:szCs w:val="23"/>
                <w:color w:val="auto"/>
              </w:rPr>
            </w:pPr>
          </w:p>
        </w:tc>
        <w:tc>
          <w:tcPr>
            <w:tcW w:w="1000" w:type="dxa"/>
            <w:vAlign w:val="bottom"/>
            <w:shd w:val="clear" w:color="auto" w:fill="D1D2D4"/>
          </w:tcPr>
          <w:p>
            <w:pPr>
              <w:spacing w:after="0"/>
              <w:rPr>
                <w:sz w:val="23"/>
                <w:szCs w:val="23"/>
                <w:color w:val="auto"/>
              </w:rPr>
            </w:pPr>
          </w:p>
        </w:tc>
        <w:tc>
          <w:tcPr>
            <w:tcW w:w="200" w:type="dxa"/>
            <w:vAlign w:val="bottom"/>
            <w:shd w:val="clear" w:color="auto" w:fill="D1D2D4"/>
          </w:tcPr>
          <w:p>
            <w:pPr>
              <w:spacing w:after="0"/>
              <w:rPr>
                <w:sz w:val="23"/>
                <w:szCs w:val="23"/>
                <w:color w:val="auto"/>
              </w:rPr>
            </w:pPr>
          </w:p>
        </w:tc>
        <w:tc>
          <w:tcPr>
            <w:tcW w:w="1000" w:type="dxa"/>
            <w:vAlign w:val="bottom"/>
            <w:shd w:val="clear" w:color="auto" w:fill="D1D2D4"/>
          </w:tcPr>
          <w:p>
            <w:pPr>
              <w:spacing w:after="0"/>
              <w:rPr>
                <w:sz w:val="23"/>
                <w:szCs w:val="23"/>
                <w:color w:val="auto"/>
              </w:rPr>
            </w:pPr>
          </w:p>
        </w:tc>
        <w:tc>
          <w:tcPr>
            <w:tcW w:w="200" w:type="dxa"/>
            <w:vAlign w:val="bottom"/>
            <w:shd w:val="clear" w:color="auto" w:fill="D1D2D4"/>
          </w:tcPr>
          <w:p>
            <w:pPr>
              <w:spacing w:after="0"/>
              <w:rPr>
                <w:sz w:val="23"/>
                <w:szCs w:val="23"/>
                <w:color w:val="auto"/>
              </w:rPr>
            </w:pPr>
          </w:p>
        </w:tc>
        <w:tc>
          <w:tcPr>
            <w:tcW w:w="1000" w:type="dxa"/>
            <w:vAlign w:val="bottom"/>
            <w:shd w:val="clear" w:color="auto" w:fill="D1D2D4"/>
          </w:tcPr>
          <w:p>
            <w:pPr>
              <w:spacing w:after="0"/>
              <w:rPr>
                <w:sz w:val="23"/>
                <w:szCs w:val="23"/>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Core Data Center Business Unit</w:t>
            </w:r>
          </w:p>
        </w:tc>
        <w:tc>
          <w:tcPr>
            <w:tcW w:w="2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620" w:type="dxa"/>
            <w:vAlign w:val="bottom"/>
            <w:shd w:val="clear" w:color="auto" w:fill="D1D2D4"/>
          </w:tcPr>
          <w:p>
            <w:pPr>
              <w:ind w:left="180"/>
              <w:spacing w:after="0"/>
              <w:rPr>
                <w:sz w:val="20"/>
                <w:szCs w:val="20"/>
                <w:color w:val="auto"/>
              </w:rPr>
            </w:pPr>
            <w:r>
              <w:rPr>
                <w:rFonts w:ascii="Arial" w:cs="Arial" w:eastAsia="Arial" w:hAnsi="Arial"/>
                <w:sz w:val="18"/>
                <w:szCs w:val="18"/>
                <w:color w:val="auto"/>
              </w:rPr>
              <w:t>Revenue</w:t>
            </w:r>
          </w:p>
        </w:tc>
        <w:tc>
          <w:tcPr>
            <w:tcW w:w="2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11,524</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5,687</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1,530</w:t>
            </w: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2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29"/>
        </w:trPr>
        <w:tc>
          <w:tcPr>
            <w:tcW w:w="5620" w:type="dxa"/>
            <w:vAlign w:val="bottom"/>
            <w:shd w:val="clear" w:color="auto" w:fill="D1D2D4"/>
          </w:tcPr>
          <w:p>
            <w:pPr>
              <w:ind w:left="180"/>
              <w:spacing w:after="0"/>
              <w:rPr>
                <w:sz w:val="20"/>
                <w:szCs w:val="20"/>
                <w:color w:val="auto"/>
              </w:rPr>
            </w:pPr>
            <w:r>
              <w:rPr>
                <w:rFonts w:ascii="Arial" w:cs="Arial" w:eastAsia="Arial" w:hAnsi="Arial"/>
                <w:sz w:val="18"/>
                <w:szCs w:val="18"/>
                <w:color w:val="auto"/>
              </w:rPr>
              <w:t>Operating margin</w:t>
            </w:r>
          </w:p>
        </w:tc>
        <w:tc>
          <w:tcPr>
            <w:tcW w:w="222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83 %</w:t>
            </w: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67 %</w:t>
            </w: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20 %</w:t>
            </w:r>
          </w:p>
        </w:tc>
      </w:tr>
      <w:tr>
        <w:trPr>
          <w:trHeight w:val="270"/>
        </w:trPr>
        <w:tc>
          <w:tcPr>
            <w:tcW w:w="56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562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Mobile and Client Business Unit</w:t>
            </w:r>
          </w:p>
        </w:tc>
        <w:tc>
          <w:tcPr>
            <w:tcW w:w="2220" w:type="dxa"/>
            <w:vAlign w:val="bottom"/>
            <w:shd w:val="clear" w:color="auto" w:fill="D1D2D4"/>
          </w:tcPr>
          <w:p>
            <w:pPr>
              <w:spacing w:after="0"/>
              <w:rPr>
                <w:sz w:val="19"/>
                <w:szCs w:val="19"/>
                <w:color w:val="auto"/>
              </w:rPr>
            </w:pPr>
          </w:p>
        </w:tc>
        <w:tc>
          <w:tcPr>
            <w:tcW w:w="10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spacing w:after="0"/>
              <w:rPr>
                <w:sz w:val="19"/>
                <w:szCs w:val="19"/>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Revenue</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11,521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7,711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3,255</w:t>
            </w:r>
          </w:p>
        </w:tc>
      </w:tr>
      <w:tr>
        <w:trPr>
          <w:trHeight w:val="229"/>
        </w:trPr>
        <w:tc>
          <w:tcPr>
            <w:tcW w:w="5620" w:type="dxa"/>
            <w:vAlign w:val="bottom"/>
            <w:shd w:val="clear" w:color="auto" w:fill="D1D2D4"/>
          </w:tcPr>
          <w:p>
            <w:pPr>
              <w:ind w:left="180"/>
              <w:spacing w:after="0"/>
              <w:rPr>
                <w:sz w:val="20"/>
                <w:szCs w:val="20"/>
                <w:color w:val="auto"/>
              </w:rPr>
            </w:pPr>
            <w:r>
              <w:rPr>
                <w:rFonts w:ascii="Arial" w:cs="Arial" w:eastAsia="Arial" w:hAnsi="Arial"/>
                <w:sz w:val="18"/>
                <w:szCs w:val="18"/>
                <w:color w:val="auto"/>
              </w:rPr>
              <w:t>Gross margin</w:t>
            </w:r>
          </w:p>
        </w:tc>
        <w:tc>
          <w:tcPr>
            <w:tcW w:w="222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87 %</w:t>
            </w: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79 %</w:t>
            </w: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Operating margin</w:t>
            </w:r>
          </w:p>
        </w:tc>
        <w:tc>
          <w:tcPr>
            <w:tcW w:w="2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70"/>
        </w:trPr>
        <w:tc>
          <w:tcPr>
            <w:tcW w:w="5620" w:type="dxa"/>
            <w:vAlign w:val="bottom"/>
            <w:shd w:val="clear" w:color="auto" w:fill="D1D2D4"/>
          </w:tcPr>
          <w:p>
            <w:pPr>
              <w:spacing w:after="0"/>
              <w:rPr>
                <w:sz w:val="23"/>
                <w:szCs w:val="23"/>
                <w:color w:val="auto"/>
              </w:rPr>
            </w:pPr>
          </w:p>
        </w:tc>
        <w:tc>
          <w:tcPr>
            <w:tcW w:w="2220" w:type="dxa"/>
            <w:vAlign w:val="bottom"/>
            <w:shd w:val="clear" w:color="auto" w:fill="D1D2D4"/>
          </w:tcPr>
          <w:p>
            <w:pPr>
              <w:spacing w:after="0"/>
              <w:rPr>
                <w:sz w:val="23"/>
                <w:szCs w:val="23"/>
                <w:color w:val="auto"/>
              </w:rPr>
            </w:pPr>
          </w:p>
        </w:tc>
        <w:tc>
          <w:tcPr>
            <w:tcW w:w="1000" w:type="dxa"/>
            <w:vAlign w:val="bottom"/>
            <w:shd w:val="clear" w:color="auto" w:fill="D1D2D4"/>
          </w:tcPr>
          <w:p>
            <w:pPr>
              <w:spacing w:after="0"/>
              <w:rPr>
                <w:sz w:val="23"/>
                <w:szCs w:val="23"/>
                <w:color w:val="auto"/>
              </w:rPr>
            </w:pPr>
          </w:p>
        </w:tc>
        <w:tc>
          <w:tcPr>
            <w:tcW w:w="200" w:type="dxa"/>
            <w:vAlign w:val="bottom"/>
            <w:shd w:val="clear" w:color="auto" w:fill="D1D2D4"/>
          </w:tcPr>
          <w:p>
            <w:pPr>
              <w:spacing w:after="0"/>
              <w:rPr>
                <w:sz w:val="23"/>
                <w:szCs w:val="23"/>
                <w:color w:val="auto"/>
              </w:rPr>
            </w:pPr>
          </w:p>
        </w:tc>
        <w:tc>
          <w:tcPr>
            <w:tcW w:w="1000" w:type="dxa"/>
            <w:vAlign w:val="bottom"/>
            <w:shd w:val="clear" w:color="auto" w:fill="D1D2D4"/>
          </w:tcPr>
          <w:p>
            <w:pPr>
              <w:spacing w:after="0"/>
              <w:rPr>
                <w:sz w:val="23"/>
                <w:szCs w:val="23"/>
                <w:color w:val="auto"/>
              </w:rPr>
            </w:pPr>
          </w:p>
        </w:tc>
        <w:tc>
          <w:tcPr>
            <w:tcW w:w="200" w:type="dxa"/>
            <w:vAlign w:val="bottom"/>
            <w:shd w:val="clear" w:color="auto" w:fill="D1D2D4"/>
          </w:tcPr>
          <w:p>
            <w:pPr>
              <w:spacing w:after="0"/>
              <w:rPr>
                <w:sz w:val="23"/>
                <w:szCs w:val="23"/>
                <w:color w:val="auto"/>
              </w:rPr>
            </w:pPr>
          </w:p>
        </w:tc>
        <w:tc>
          <w:tcPr>
            <w:tcW w:w="1000" w:type="dxa"/>
            <w:vAlign w:val="bottom"/>
            <w:shd w:val="clear" w:color="auto" w:fill="D1D2D4"/>
          </w:tcPr>
          <w:p>
            <w:pPr>
              <w:spacing w:after="0"/>
              <w:rPr>
                <w:sz w:val="23"/>
                <w:szCs w:val="23"/>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Automotive and Embedded Business Unit</w:t>
            </w:r>
          </w:p>
        </w:tc>
        <w:tc>
          <w:tcPr>
            <w:tcW w:w="2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620" w:type="dxa"/>
            <w:vAlign w:val="bottom"/>
            <w:shd w:val="clear" w:color="auto" w:fill="D1D2D4"/>
          </w:tcPr>
          <w:p>
            <w:pPr>
              <w:ind w:left="180"/>
              <w:spacing w:after="0"/>
              <w:rPr>
                <w:sz w:val="20"/>
                <w:szCs w:val="20"/>
                <w:color w:val="auto"/>
              </w:rPr>
            </w:pPr>
            <w:r>
              <w:rPr>
                <w:rFonts w:ascii="Arial" w:cs="Arial" w:eastAsia="Arial" w:hAnsi="Arial"/>
                <w:sz w:val="18"/>
                <w:szCs w:val="18"/>
                <w:color w:val="auto"/>
              </w:rPr>
              <w:t>Revenue</w:t>
            </w:r>
          </w:p>
        </w:tc>
        <w:tc>
          <w:tcPr>
            <w:tcW w:w="2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4,634</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2,708</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1,127</w:t>
            </w: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2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29"/>
        </w:trPr>
        <w:tc>
          <w:tcPr>
            <w:tcW w:w="5620" w:type="dxa"/>
            <w:vAlign w:val="bottom"/>
            <w:shd w:val="clear" w:color="auto" w:fill="D1D2D4"/>
          </w:tcPr>
          <w:p>
            <w:pPr>
              <w:ind w:left="180"/>
              <w:spacing w:after="0"/>
              <w:rPr>
                <w:sz w:val="20"/>
                <w:szCs w:val="20"/>
                <w:color w:val="auto"/>
              </w:rPr>
            </w:pPr>
            <w:r>
              <w:rPr>
                <w:rFonts w:ascii="Arial" w:cs="Arial" w:eastAsia="Arial" w:hAnsi="Arial"/>
                <w:sz w:val="18"/>
                <w:szCs w:val="18"/>
                <w:color w:val="auto"/>
              </w:rPr>
              <w:t>Operating margin</w:t>
            </w:r>
          </w:p>
        </w:tc>
        <w:tc>
          <w:tcPr>
            <w:tcW w:w="222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75 %</w:t>
            </w: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62 %</w:t>
            </w: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11 %</w:t>
            </w:r>
          </w:p>
        </w:tc>
      </w:tr>
    </w:tbl>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400" w:type="dxa"/>
            <w:vAlign w:val="bottom"/>
          </w:tcPr>
          <w:p>
            <w:pPr>
              <w:spacing w:after="0"/>
              <w:rPr>
                <w:sz w:val="20"/>
                <w:szCs w:val="20"/>
                <w:color w:val="auto"/>
              </w:rPr>
            </w:pPr>
            <w:r>
              <w:rPr>
                <w:rFonts w:ascii="Arial" w:cs="Arial" w:eastAsia="Arial" w:hAnsi="Arial"/>
                <w:sz w:val="18"/>
                <w:szCs w:val="18"/>
                <w:b w:val="1"/>
                <w:bCs w:val="1"/>
                <w:color w:val="auto"/>
              </w:rPr>
              <w:t>Business Outlook</w:t>
            </w:r>
          </w:p>
        </w:tc>
        <w:tc>
          <w:tcPr>
            <w:tcW w:w="254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451"/>
        </w:trPr>
        <w:tc>
          <w:tcPr>
            <w:tcW w:w="6400" w:type="dxa"/>
            <w:vAlign w:val="bottom"/>
          </w:tcPr>
          <w:p>
            <w:pPr>
              <w:spacing w:after="0"/>
              <w:rPr>
                <w:sz w:val="20"/>
                <w:szCs w:val="20"/>
                <w:color w:val="auto"/>
              </w:rPr>
            </w:pPr>
            <w:r>
              <w:rPr>
                <w:rFonts w:ascii="Arial" w:cs="Arial" w:eastAsia="Arial" w:hAnsi="Arial"/>
                <w:sz w:val="18"/>
                <w:szCs w:val="18"/>
                <w:color w:val="auto"/>
              </w:rPr>
              <w:t>The following table presents Micron’s guidance for the fourth quarter of 2026:</w:t>
            </w:r>
          </w:p>
        </w:tc>
        <w:tc>
          <w:tcPr>
            <w:tcW w:w="25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53"/>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FQ4-26</w:t>
            </w:r>
          </w:p>
        </w:tc>
        <w:tc>
          <w:tcPr>
            <w:tcW w:w="2540" w:type="dxa"/>
            <w:vAlign w:val="bottom"/>
            <w:tcBorders>
              <w:bottom w:val="single" w:sz="8" w:color="auto"/>
            </w:tcBorders>
          </w:tcPr>
          <w:p>
            <w:pPr>
              <w:jc w:val="right"/>
              <w:ind w:right="530"/>
              <w:spacing w:after="0" w:line="253" w:lineRule="exact"/>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Outlook</w:t>
            </w:r>
          </w:p>
        </w:tc>
        <w:tc>
          <w:tcPr>
            <w:tcW w:w="2300" w:type="dxa"/>
            <w:vAlign w:val="bottom"/>
            <w:tcBorders>
              <w:bottom w:val="single" w:sz="8" w:color="auto"/>
            </w:tcBorders>
          </w:tcPr>
          <w:p>
            <w:pPr>
              <w:jc w:val="right"/>
              <w:ind w:right="210"/>
              <w:spacing w:after="0" w:line="253" w:lineRule="exact"/>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Outlook</w:t>
            </w:r>
          </w:p>
        </w:tc>
      </w:tr>
      <w:tr>
        <w:trPr>
          <w:trHeight w:val="34"/>
        </w:trPr>
        <w:tc>
          <w:tcPr>
            <w:tcW w:w="64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30"/>
        </w:trPr>
        <w:tc>
          <w:tcPr>
            <w:tcW w:w="6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54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$50.0 billion ± $1.0 billion</w:t>
            </w:r>
          </w:p>
        </w:tc>
        <w:tc>
          <w:tcPr>
            <w:tcW w:w="2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$50.0 billion ± $1.0 billion</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540" w:type="dxa"/>
            <w:vAlign w:val="bottom"/>
          </w:tcPr>
          <w:p>
            <w:pPr>
              <w:jc w:val="right"/>
              <w:ind w:right="50"/>
              <w:spacing w:after="0"/>
              <w:rPr>
                <w:sz w:val="20"/>
                <w:szCs w:val="20"/>
                <w:color w:val="auto"/>
              </w:rPr>
            </w:pPr>
            <w:r>
              <w:rPr>
                <w:rFonts w:ascii="Arial" w:cs="Arial" w:eastAsia="Arial" w:hAnsi="Arial"/>
                <w:sz w:val="18"/>
                <w:szCs w:val="18"/>
                <w:color w:val="auto"/>
              </w:rPr>
              <w:t>Approximately 86%</w:t>
            </w:r>
          </w:p>
        </w:tc>
        <w:tc>
          <w:tcPr>
            <w:tcW w:w="2300" w:type="dxa"/>
            <w:vAlign w:val="bottom"/>
          </w:tcPr>
          <w:p>
            <w:pPr>
              <w:jc w:val="right"/>
              <w:spacing w:after="0"/>
              <w:rPr>
                <w:sz w:val="20"/>
                <w:szCs w:val="20"/>
                <w:color w:val="auto"/>
              </w:rPr>
            </w:pPr>
            <w:r>
              <w:rPr>
                <w:rFonts w:ascii="Arial" w:cs="Arial" w:eastAsia="Arial" w:hAnsi="Arial"/>
                <w:sz w:val="18"/>
                <w:szCs w:val="18"/>
                <w:color w:val="auto"/>
              </w:rPr>
              <w:t>Approximately 86%</w:t>
            </w:r>
          </w:p>
        </w:tc>
      </w:tr>
      <w:tr>
        <w:trPr>
          <w:trHeight w:val="230"/>
        </w:trPr>
        <w:tc>
          <w:tcPr>
            <w:tcW w:w="6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expenses</w:t>
            </w:r>
          </w:p>
        </w:tc>
        <w:tc>
          <w:tcPr>
            <w:tcW w:w="254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Approximately $1.86 billion</w:t>
            </w:r>
          </w:p>
        </w:tc>
        <w:tc>
          <w:tcPr>
            <w:tcW w:w="2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Approximately $1.65 billion</w:t>
            </w:r>
          </w:p>
        </w:tc>
      </w:tr>
      <w:tr>
        <w:trPr>
          <w:trHeight w:val="239"/>
        </w:trPr>
        <w:tc>
          <w:tcPr>
            <w:tcW w:w="640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540" w:type="dxa"/>
            <w:vAlign w:val="bottom"/>
          </w:tcPr>
          <w:p>
            <w:pPr>
              <w:jc w:val="right"/>
              <w:ind w:right="50"/>
              <w:spacing w:after="0"/>
              <w:rPr>
                <w:sz w:val="20"/>
                <w:szCs w:val="20"/>
                <w:color w:val="auto"/>
              </w:rPr>
            </w:pPr>
            <w:r>
              <w:rPr>
                <w:rFonts w:ascii="Arial" w:cs="Arial" w:eastAsia="Arial" w:hAnsi="Arial"/>
                <w:sz w:val="18"/>
                <w:szCs w:val="18"/>
                <w:color w:val="auto"/>
              </w:rPr>
              <w:t>$30.73 ± $1.00</w:t>
            </w:r>
          </w:p>
        </w:tc>
        <w:tc>
          <w:tcPr>
            <w:tcW w:w="2300" w:type="dxa"/>
            <w:vAlign w:val="bottom"/>
          </w:tcPr>
          <w:p>
            <w:pPr>
              <w:jc w:val="right"/>
              <w:spacing w:after="0"/>
              <w:rPr>
                <w:sz w:val="20"/>
                <w:szCs w:val="20"/>
                <w:color w:val="auto"/>
              </w:rPr>
            </w:pPr>
            <w:r>
              <w:rPr>
                <w:rFonts w:ascii="Arial" w:cs="Arial" w:eastAsia="Arial" w:hAnsi="Arial"/>
                <w:sz w:val="18"/>
                <w:szCs w:val="18"/>
                <w:color w:val="auto"/>
              </w:rPr>
              <w:t>$31.00 ± $1.00</w:t>
            </w:r>
          </w:p>
        </w:tc>
      </w:tr>
    </w:tbl>
    <w:p>
      <w:pPr>
        <w:spacing w:after="0" w:line="296"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 xml:space="preserve">Further information regarding Micron’s business outlook is included in the prepared remarks and slides, which have been posted at </w:t>
      </w:r>
      <w:r>
        <w:rPr>
          <w:rFonts w:ascii="Arial" w:cs="Arial" w:eastAsia="Arial" w:hAnsi="Arial"/>
          <w:sz w:val="18"/>
          <w:szCs w:val="18"/>
          <w:u w:val="single" w:color="auto"/>
          <w:color w:val="BD03F7"/>
        </w:rPr>
        <w:t>investors.micron.com</w:t>
      </w:r>
      <w:r>
        <w:rPr>
          <w:rFonts w:ascii="Arial" w:cs="Arial" w:eastAsia="Arial" w:hAnsi="Arial"/>
          <w:sz w:val="18"/>
          <w:szCs w:val="18"/>
          <w:color w:val="000000"/>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highlights</w:t>
      </w:r>
    </w:p>
    <w:p>
      <w:pPr>
        <w:spacing w:after="0" w:line="27" w:lineRule="exact"/>
        <w:rPr>
          <w:sz w:val="20"/>
          <w:szCs w:val="20"/>
          <w:color w:val="auto"/>
        </w:rPr>
      </w:pPr>
    </w:p>
    <w:p>
      <w:pPr>
        <w:ind w:left="820" w:right="180" w:hanging="326"/>
        <w:spacing w:after="0" w:line="250"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HBM4, built on 1-beta DRAM technology, is in high-volume shipments for our lead customer's platform, and qualification samples have been shipped to multiple end-customers.</w:t>
      </w:r>
    </w:p>
    <w:p>
      <w:pPr>
        <w:ind w:left="820" w:right="460" w:hanging="326"/>
        <w:spacing w:after="0" w:line="250"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 of HBM4E, built on 1-gamma DRAM technology, is well underway, with volume production expected in calendar 2027.</w:t>
      </w:r>
    </w:p>
    <w:p>
      <w:pPr>
        <w:ind w:left="820" w:right="100" w:hanging="326"/>
        <w:spacing w:after="0" w:line="250"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Qualification samples of 256GB DDR5 RDIMMs, built on 1-gamma DRAM technology and advanced 3D die stacking, has shipped to key server ecosystem enablers.</w:t>
      </w:r>
    </w:p>
    <w:p>
      <w:pPr>
        <w:ind w:left="820" w:right="480" w:hanging="326"/>
        <w:spacing w:after="0" w:line="250"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LP5X SOCAMM2 products are in high-volume production, and we have expanded our LP5X SOCAMM2 offerings across multiple capacity points.</w:t>
      </w: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G9-based PCIe Gen6 high-performance SSD is now in high-volume production.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commenced shipments of our high-capacity 245TB QLC SSD.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Gen5 QLC PC Client SSD with G9 NAND has achieved successful lead customer qualification.</w:t>
      </w:r>
    </w:p>
    <w:p>
      <w:pPr>
        <w:spacing w:after="0" w:line="9" w:lineRule="exact"/>
        <w:rPr>
          <w:rFonts w:ascii="Arial" w:cs="Arial" w:eastAsia="Arial" w:hAnsi="Arial"/>
          <w:sz w:val="18"/>
          <w:szCs w:val="18"/>
          <w:color w:val="auto"/>
        </w:rPr>
      </w:pPr>
    </w:p>
    <w:p>
      <w:pPr>
        <w:ind w:left="820" w:right="460" w:hanging="326"/>
        <w:spacing w:after="0" w:line="266"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1-gamma 16Gb LPDDR5X has begun high-volume ramp at a leading smartphone OEM, and we are currently sampling our 1-gamma 24Gb LP5X product to multiple smartphone customers.</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21" w:right="339" w:bottom="1440" w:gutter="0" w:footer="0" w:header="0"/>
        </w:sectPr>
      </w:pPr>
    </w:p>
    <w:bookmarkStart w:id="5" w:name="page6"/>
    <w:bookmarkEnd w:id="5"/>
    <w:p>
      <w:pPr>
        <w:ind w:left="820" w:right="240" w:hanging="326"/>
        <w:spacing w:after="0" w:line="260"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color w:val="auto"/>
        </w:rPr>
        <w:t>1-gamma LPDDR5 reached automotive product readiness, with samples delivered to key customers, and we shipped our first 1-gamma DDR5 samples to a robotaxi customer.</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G9-based UFS 4.1 automotive NAND solution began first volume shipments.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Webcast</w:t>
      </w:r>
    </w:p>
    <w:p>
      <w:pPr>
        <w:spacing w:after="0" w:line="252"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 xml:space="preserve">Micron will host a conference call on Wednesday, June 24, 2026 at 2:30 p.m. Mountain Time to discuss its third quarter financial results and provide forward-looking guidance for its fourth quarter. A live webcast of the call will be available online at </w:t>
      </w:r>
      <w:r>
        <w:rPr>
          <w:rFonts w:ascii="Arial" w:cs="Arial" w:eastAsia="Arial" w:hAnsi="Arial"/>
          <w:sz w:val="18"/>
          <w:szCs w:val="18"/>
          <w:u w:val="single" w:color="auto"/>
          <w:color w:val="BD03F7"/>
        </w:rPr>
        <w:t>investors.micron.com</w:t>
      </w:r>
      <w:r>
        <w:rPr>
          <w:rFonts w:ascii="Arial" w:cs="Arial" w:eastAsia="Arial" w:hAnsi="Arial"/>
          <w:sz w:val="18"/>
          <w:szCs w:val="18"/>
          <w:color w:val="auto"/>
        </w:rPr>
        <w:t>. A webcast replay will be available for one year after the call.</w:t>
      </w:r>
    </w:p>
    <w:p>
      <w:pPr>
        <w:spacing w:after="0" w:line="184" w:lineRule="exact"/>
        <w:rPr>
          <w:sz w:val="20"/>
          <w:szCs w:val="20"/>
          <w:color w:val="auto"/>
        </w:rPr>
      </w:pPr>
    </w:p>
    <w:p>
      <w:pPr>
        <w:ind w:right="500"/>
        <w:spacing w:after="0" w:line="253" w:lineRule="auto"/>
        <w:rPr>
          <w:sz w:val="20"/>
          <w:szCs w:val="20"/>
          <w:color w:val="auto"/>
        </w:rPr>
      </w:pPr>
      <w:r>
        <w:rPr>
          <w:rFonts w:ascii="Arial" w:cs="Arial" w:eastAsia="Arial" w:hAnsi="Arial"/>
          <w:sz w:val="18"/>
          <w:szCs w:val="18"/>
          <w:color w:val="auto"/>
        </w:rPr>
        <w:t>We encourage you to visit our website at micron.com throughout the quarter for the most current information on the company, including information on financial conferences that we may be attending. You can also follow us on LinkedIn, X (@MicronTech) and YouTube (@MicronTechnology).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52"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 xml:space="preserve">Micron Technology, Inc. is an industry leader in innovative memory and storage solutions transforming how the world uses information to enrich life for all. With a relentless focus on our customers, technology leadership, and manufacturing and operational excellence, Micron delivers a rich portfolio of high-performance DRAM, NAND, and NOR memory and storage products. Every day, the innovations that our people create fuel the data economy, enabling advances in artificial intelligence (AI) and compute-intensive applications that unleash opportunities — from the data center to the intelligent edge and across the client and mobile user experience. To learn more about Micron Technology, Inc. (Nasdaq: MU), visit </w:t>
      </w:r>
      <w:r>
        <w:rPr>
          <w:rFonts w:ascii="Arial" w:cs="Arial" w:eastAsia="Arial" w:hAnsi="Arial"/>
          <w:sz w:val="18"/>
          <w:szCs w:val="18"/>
          <w:u w:val="single" w:color="auto"/>
          <w:color w:val="BD03F7"/>
        </w:rPr>
        <w:t>micron.com</w:t>
      </w:r>
      <w:r>
        <w:rPr>
          <w:rFonts w:ascii="Arial" w:cs="Arial" w:eastAsia="Arial" w:hAnsi="Arial"/>
          <w:sz w:val="18"/>
          <w:szCs w:val="18"/>
          <w:color w:val="auto"/>
        </w:rPr>
        <w:t>.</w:t>
      </w:r>
    </w:p>
    <w:p>
      <w:pPr>
        <w:spacing w:after="0" w:line="211" w:lineRule="exact"/>
        <w:rPr>
          <w:sz w:val="20"/>
          <w:szCs w:val="20"/>
          <w:color w:val="auto"/>
        </w:rPr>
      </w:pPr>
    </w:p>
    <w:p>
      <w:pPr>
        <w:ind w:right="520" w:firstLine="8"/>
        <w:spacing w:after="0" w:line="285" w:lineRule="auto"/>
        <w:tabs>
          <w:tab w:leader="none" w:pos="183"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2026 Micron Technology, Inc. All rights reserved. Micron, the Micron logo, and all other Micron trademarks are the property of Micron Technology, Inc. All other trademarks are the property of their respective owners.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This press release contains forward-looking statements regarding our industry, our strategic position, our customers, including customer demand, our products and technology, including expectations on production, and our financial and operating performance, including our guidance for the fourth quarter of 2026, as well as our investments in manufacturing and goals for such investments. These forward-looking statements are subject to a number of risks and uncertainties that could cause actual results to differ materially. Please refer to the documents we file with the Securities and Exchange Commission, including our most recent Form 10-K and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8"/>
          <w:szCs w:val="18"/>
          <w:u w:val="single" w:color="auto"/>
          <w:color w:val="BD03F7"/>
        </w:rPr>
        <w:t>investors.micron.com/risk-factor</w:t>
      </w:r>
      <w:r>
        <w:rPr>
          <w:rFonts w:ascii="Arial" w:cs="Arial" w:eastAsia="Arial" w:hAnsi="Arial"/>
          <w:sz w:val="18"/>
          <w:szCs w:val="18"/>
          <w:color w:val="auto"/>
        </w:rPr>
        <w:t>. Although we believe that the expectations reflected in the forward-looking statements are reasonable, we cannot guarantee future results, levels of activity, performance, or achievements. We are under no duty to update any of the forward-looking statements to conform these statements to actual results.</w:t>
      </w:r>
    </w:p>
    <w:p>
      <w:pPr>
        <w:spacing w:after="0" w:line="200" w:lineRule="exact"/>
        <w:rPr>
          <w:sz w:val="20"/>
          <w:szCs w:val="20"/>
          <w:color w:val="auto"/>
        </w:rPr>
      </w:pPr>
    </w:p>
    <w:p>
      <w:pPr>
        <w:spacing w:after="0" w:line="220" w:lineRule="exact"/>
        <w:rPr>
          <w:sz w:val="20"/>
          <w:szCs w:val="20"/>
          <w:color w:val="auto"/>
        </w:rPr>
      </w:pPr>
    </w:p>
    <w:p>
      <w:pPr>
        <w:ind w:left="320" w:hanging="312"/>
        <w:spacing w:after="0"/>
        <w:tabs>
          <w:tab w:leader="none" w:pos="32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GAAP represents U.S. Generally Accepted Accounting Principles.</w:t>
      </w:r>
    </w:p>
    <w:p>
      <w:pPr>
        <w:ind w:left="340" w:right="240" w:hanging="332"/>
        <w:spacing w:after="0" w:line="235" w:lineRule="auto"/>
        <w:tabs>
          <w:tab w:leader="none" w:pos="33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Non-GAAP represents GAAP excluding the impact of certain activities, which management excludes in analyzing our operating results and understanding trends in our earnings; adjusted free cash flow; investments in capital expenditures, net; and business outlook. Further information regarding Micron’s use of non-GAAP measures and reconciliations between GAAP and non-GAAP measures are included within this press release.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9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3rd Qtr.</w:t>
            </w:r>
          </w:p>
        </w:tc>
        <w:tc>
          <w:tcPr>
            <w:tcW w:w="14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2nd Qtr.</w:t>
            </w:r>
          </w:p>
        </w:tc>
        <w:tc>
          <w:tcPr>
            <w:tcW w:w="24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3rd Qtr.</w:t>
            </w: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4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center"/>
              <w:ind w:right="130"/>
              <w:spacing w:after="0" w:line="169" w:lineRule="exact"/>
              <w:rPr>
                <w:sz w:val="20"/>
                <w:szCs w:val="20"/>
                <w:color w:val="auto"/>
              </w:rPr>
            </w:pPr>
            <w:r>
              <w:rPr>
                <w:rFonts w:ascii="Arial" w:cs="Arial" w:eastAsia="Arial" w:hAnsi="Arial"/>
                <w:sz w:val="18"/>
                <w:szCs w:val="18"/>
                <w:b w:val="1"/>
                <w:bCs w:val="1"/>
                <w:color w:val="auto"/>
              </w:rPr>
              <w:t>May 28,</w:t>
            </w:r>
          </w:p>
        </w:tc>
        <w:tc>
          <w:tcPr>
            <w:tcW w:w="140" w:type="dxa"/>
            <w:vAlign w:val="bottom"/>
          </w:tcPr>
          <w:p>
            <w:pPr>
              <w:spacing w:after="0"/>
              <w:rPr>
                <w:sz w:val="14"/>
                <w:szCs w:val="14"/>
                <w:color w:val="auto"/>
              </w:rPr>
            </w:pPr>
          </w:p>
        </w:tc>
        <w:tc>
          <w:tcPr>
            <w:tcW w:w="120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rPr>
              <w:t>February 26,</w:t>
            </w:r>
          </w:p>
        </w:tc>
        <w:tc>
          <w:tcPr>
            <w:tcW w:w="240" w:type="dxa"/>
            <w:vAlign w:val="bottom"/>
          </w:tcPr>
          <w:p>
            <w:pPr>
              <w:spacing w:after="0"/>
              <w:rPr>
                <w:sz w:val="14"/>
                <w:szCs w:val="14"/>
                <w:color w:val="auto"/>
              </w:rPr>
            </w:pPr>
          </w:p>
        </w:tc>
        <w:tc>
          <w:tcPr>
            <w:tcW w:w="1080" w:type="dxa"/>
            <w:vAlign w:val="bottom"/>
          </w:tcPr>
          <w:p>
            <w:pPr>
              <w:jc w:val="center"/>
              <w:ind w:right="130"/>
              <w:spacing w:after="0" w:line="169" w:lineRule="exact"/>
              <w:rPr>
                <w:sz w:val="20"/>
                <w:szCs w:val="20"/>
                <w:color w:val="auto"/>
              </w:rPr>
            </w:pPr>
            <w:r>
              <w:rPr>
                <w:rFonts w:ascii="Arial" w:cs="Arial" w:eastAsia="Arial" w:hAnsi="Arial"/>
                <w:sz w:val="18"/>
                <w:szCs w:val="18"/>
                <w:b w:val="1"/>
                <w:bCs w:val="1"/>
                <w:color w:val="auto"/>
              </w:rPr>
              <w:t>May 29,</w:t>
            </w:r>
          </w:p>
        </w:tc>
        <w:tc>
          <w:tcPr>
            <w:tcW w:w="240" w:type="dxa"/>
            <w:vAlign w:val="bottom"/>
          </w:tcPr>
          <w:p>
            <w:pPr>
              <w:spacing w:after="0"/>
              <w:rPr>
                <w:sz w:val="14"/>
                <w:szCs w:val="14"/>
                <w:color w:val="auto"/>
              </w:rPr>
            </w:pPr>
          </w:p>
        </w:tc>
        <w:tc>
          <w:tcPr>
            <w:tcW w:w="110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rPr>
              <w:t>May 28,</w:t>
            </w:r>
          </w:p>
        </w:tc>
        <w:tc>
          <w:tcPr>
            <w:tcW w:w="240" w:type="dxa"/>
            <w:vAlign w:val="bottom"/>
          </w:tcPr>
          <w:p>
            <w:pPr>
              <w:spacing w:after="0"/>
              <w:rPr>
                <w:sz w:val="14"/>
                <w:szCs w:val="14"/>
                <w:color w:val="auto"/>
              </w:rPr>
            </w:pPr>
          </w:p>
        </w:tc>
        <w:tc>
          <w:tcPr>
            <w:tcW w:w="110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rPr>
              <w:t>May 29,</w:t>
            </w:r>
          </w:p>
        </w:tc>
      </w:tr>
      <w:tr>
        <w:trPr>
          <w:trHeight w:val="243"/>
        </w:trPr>
        <w:tc>
          <w:tcPr>
            <w:tcW w:w="45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2026</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2026</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2025</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r>
      <w:tr>
        <w:trPr>
          <w:trHeight w:val="34"/>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41,456</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23,860</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9,301</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78,959</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26,063</w:t>
            </w:r>
          </w:p>
        </w:tc>
      </w:tr>
      <w:tr>
        <w:trPr>
          <w:trHeight w:val="230"/>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6,105</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5,793</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18,502</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16,244</w:t>
            </w:r>
          </w:p>
        </w:tc>
      </w:tr>
      <w:tr>
        <w:trPr>
          <w:trHeight w:val="223"/>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35,056</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17,755</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3,508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60,457</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9,819</w:t>
            </w:r>
          </w:p>
        </w:tc>
      </w:tr>
      <w:tr>
        <w:trPr>
          <w:trHeight w:val="257"/>
        </w:trPr>
        <w:tc>
          <w:tcPr>
            <w:tcW w:w="4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1,316</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1,250</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965</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3,737</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2,751</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407</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344</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891</w:t>
            </w: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operating (income) expense, net</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458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33,318</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16,135</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2,169</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55,589</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6,116</w:t>
            </w:r>
          </w:p>
        </w:tc>
      </w:tr>
      <w:tr>
        <w:trPr>
          <w:trHeight w:val="257"/>
        </w:trPr>
        <w:tc>
          <w:tcPr>
            <w:tcW w:w="45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509</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(353)</w:t>
            </w:r>
          </w:p>
        </w:tc>
      </w:tr>
      <w:tr>
        <w:trPr>
          <w:trHeight w:val="230"/>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non-operating income (expense), net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45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33,212</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16,160</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2,113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55,433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6,023</w:t>
            </w:r>
          </w:p>
        </w:tc>
      </w:tr>
      <w:tr>
        <w:trPr>
          <w:trHeight w:val="257"/>
        </w:trPr>
        <w:tc>
          <w:tcPr>
            <w:tcW w:w="4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(4,978)</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(2,371)</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(235)</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(8,178)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(695)</w:t>
            </w:r>
          </w:p>
        </w:tc>
      </w:tr>
      <w:tr>
        <w:trPr>
          <w:trHeight w:val="229"/>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4580" w:type="dxa"/>
            <w:vAlign w:val="bottom"/>
            <w:tcBorders>
              <w:bottom w:val="single" w:sz="8" w:color="D1D2D4"/>
            </w:tcBorders>
            <w:shd w:val="clear" w:color="auto" w:fill="D1D2D4"/>
          </w:tcPr>
          <w:p>
            <w:pPr>
              <w:ind w:left="2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28,243</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13,785</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1,885</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47,268</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5,338</w:t>
            </w:r>
          </w:p>
        </w:tc>
      </w:tr>
      <w:tr>
        <w:trPr>
          <w:trHeight w:val="20"/>
        </w:trPr>
        <w:tc>
          <w:tcPr>
            <w:tcW w:w="458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4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per share</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25.03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12.25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41.97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30"/>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24.67</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12.07</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41.40</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4.75</w:t>
            </w:r>
          </w:p>
        </w:tc>
      </w:tr>
      <w:tr>
        <w:trPr>
          <w:trHeight w:val="256"/>
        </w:trPr>
        <w:tc>
          <w:tcPr>
            <w:tcW w:w="4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1,128</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1,126</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1,114</w:t>
            </w:r>
          </w:p>
        </w:tc>
      </w:tr>
      <w:tr>
        <w:trPr>
          <w:trHeight w:val="229"/>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1,145</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1,142</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1,125</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1,142</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17"/>
                <w:szCs w:val="17"/>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May 28,</w:t>
            </w:r>
          </w:p>
        </w:tc>
        <w:tc>
          <w:tcPr>
            <w:tcW w:w="14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February 26,</w:t>
            </w:r>
          </w:p>
        </w:tc>
        <w:tc>
          <w:tcPr>
            <w:tcW w:w="160" w:type="dxa"/>
            <w:vAlign w:val="bottom"/>
          </w:tcPr>
          <w:p>
            <w:pPr>
              <w:spacing w:after="0"/>
              <w:rPr>
                <w:sz w:val="17"/>
                <w:szCs w:val="17"/>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28,</w:t>
            </w:r>
          </w:p>
        </w:tc>
        <w:tc>
          <w:tcPr>
            <w:tcW w:w="0" w:type="dxa"/>
            <w:vAlign w:val="bottom"/>
          </w:tcPr>
          <w:p>
            <w:pPr>
              <w:spacing w:after="0"/>
              <w:rPr>
                <w:sz w:val="1"/>
                <w:szCs w:val="1"/>
                <w:color w:val="auto"/>
              </w:rPr>
            </w:pPr>
          </w:p>
        </w:tc>
      </w:tr>
      <w:tr>
        <w:trPr>
          <w:trHeight w:val="243"/>
        </w:trPr>
        <w:tc>
          <w:tcPr>
            <w:tcW w:w="724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34"/>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highlight w:val="lightGray"/>
              </w:rPr>
              <w:t>Assets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24,995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13,908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9,642</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1,027</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681</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31,025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17,314</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9,265</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8,567</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8,267</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8,355</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66,737</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41,413</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28,841</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4,106</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2,038</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56,426</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51,408</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46,590</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683</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684</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473</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468</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680</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3,837</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3,668</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D1D2D4"/>
            </w:tcBorders>
            <w:shd w:val="clear" w:color="auto" w:fill="D1D2D4"/>
          </w:tcPr>
          <w:p>
            <w:pPr>
              <w:ind w:left="5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134,112</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101,509</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82,798</w:t>
            </w:r>
          </w:p>
        </w:tc>
        <w:tc>
          <w:tcPr>
            <w:tcW w:w="0" w:type="dxa"/>
            <w:vAlign w:val="bottom"/>
          </w:tcPr>
          <w:p>
            <w:pPr>
              <w:spacing w:after="0"/>
              <w:rPr>
                <w:sz w:val="1"/>
                <w:szCs w:val="1"/>
                <w:color w:val="auto"/>
              </w:rPr>
            </w:pP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15,521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10,997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9,649</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582</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585</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19,488</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14,296</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11,454</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5,140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9,557</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14,017</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654</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656</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7,086</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3,539</w:t>
            </w:r>
          </w:p>
        </w:tc>
        <w:tc>
          <w:tcPr>
            <w:tcW w:w="1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33,388</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29,050</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28,633</w:t>
            </w:r>
          </w:p>
        </w:tc>
        <w:tc>
          <w:tcPr>
            <w:tcW w:w="0" w:type="dxa"/>
            <w:vAlign w:val="bottom"/>
          </w:tcPr>
          <w:p>
            <w:pPr>
              <w:spacing w:after="0"/>
              <w:rPr>
                <w:sz w:val="1"/>
                <w:szCs w:val="1"/>
                <w:color w:val="auto"/>
              </w:rPr>
            </w:pPr>
          </w:p>
        </w:tc>
      </w:tr>
      <w:tr>
        <w:trPr>
          <w:trHeight w:val="196"/>
        </w:trPr>
        <w:tc>
          <w:tcPr>
            <w:tcW w:w="7240" w:type="dxa"/>
            <w:vAlign w:val="bottom"/>
            <w:shd w:val="clear" w:color="auto" w:fill="D1D2D4"/>
          </w:tcPr>
          <w:p>
            <w:pPr>
              <w:spacing w:after="0"/>
              <w:rPr>
                <w:sz w:val="17"/>
                <w:szCs w:val="17"/>
                <w:color w:val="auto"/>
              </w:rPr>
            </w:pPr>
          </w:p>
        </w:tc>
        <w:tc>
          <w:tcPr>
            <w:tcW w:w="220" w:type="dxa"/>
            <w:vAlign w:val="bottom"/>
            <w:shd w:val="clear" w:color="auto" w:fill="D1D2D4"/>
          </w:tcPr>
          <w:p>
            <w:pPr>
              <w:spacing w:after="0"/>
              <w:rPr>
                <w:sz w:val="17"/>
                <w:szCs w:val="17"/>
                <w:color w:val="auto"/>
              </w:rPr>
            </w:pPr>
          </w:p>
        </w:tc>
        <w:tc>
          <w:tcPr>
            <w:tcW w:w="1100" w:type="dxa"/>
            <w:vAlign w:val="bottom"/>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200" w:type="dxa"/>
            <w:vAlign w:val="bottom"/>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18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D1D2D4"/>
          </w:tcPr>
          <w:p>
            <w:pPr>
              <w:spacing w:after="0"/>
              <w:rPr>
                <w:sz w:val="18"/>
                <w:szCs w:val="18"/>
                <w:color w:val="auto"/>
              </w:rPr>
            </w:pPr>
          </w:p>
        </w:tc>
        <w:tc>
          <w:tcPr>
            <w:tcW w:w="220" w:type="dxa"/>
            <w:vAlign w:val="bottom"/>
            <w:shd w:val="clear" w:color="auto" w:fill="D1D2D4"/>
          </w:tcPr>
          <w:p>
            <w:pPr>
              <w:spacing w:after="0"/>
              <w:rPr>
                <w:sz w:val="18"/>
                <w:szCs w:val="18"/>
                <w:color w:val="auto"/>
              </w:rPr>
            </w:pPr>
          </w:p>
        </w:tc>
        <w:tc>
          <w:tcPr>
            <w:tcW w:w="1100" w:type="dxa"/>
            <w:vAlign w:val="bottom"/>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120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18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9"/>
        </w:trPr>
        <w:tc>
          <w:tcPr>
            <w:tcW w:w="7240" w:type="dxa"/>
            <w:vAlign w:val="bottom"/>
          </w:tcPr>
          <w:p>
            <w:pPr>
              <w:ind w:left="100"/>
              <w:spacing w:after="0"/>
              <w:rPr>
                <w:sz w:val="20"/>
                <w:szCs w:val="20"/>
                <w:color w:val="auto"/>
              </w:rPr>
            </w:pPr>
            <w:r>
              <w:rPr>
                <w:rFonts w:ascii="Arial" w:cs="Arial" w:eastAsia="Arial" w:hAnsi="Arial"/>
                <w:sz w:val="18"/>
                <w:szCs w:val="18"/>
                <w:color w:val="auto"/>
              </w:rPr>
              <w:t>Additional capital</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14,442</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14,092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13,339</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94,682</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66,824</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48,583</w:t>
            </w:r>
          </w:p>
        </w:tc>
        <w:tc>
          <w:tcPr>
            <w:tcW w:w="0" w:type="dxa"/>
            <w:vAlign w:val="bottom"/>
          </w:tcPr>
          <w:p>
            <w:pPr>
              <w:spacing w:after="0"/>
              <w:rPr>
                <w:sz w:val="1"/>
                <w:szCs w:val="1"/>
                <w:color w:val="auto"/>
              </w:rPr>
            </w:pPr>
          </w:p>
        </w:tc>
      </w:tr>
      <w:tr>
        <w:trPr>
          <w:trHeight w:val="230"/>
        </w:trPr>
        <w:tc>
          <w:tcPr>
            <w:tcW w:w="7240" w:type="dxa"/>
            <w:vAlign w:val="bottom"/>
          </w:tcPr>
          <w:p>
            <w:pPr>
              <w:ind w:left="100"/>
              <w:spacing w:after="0"/>
              <w:rPr>
                <w:sz w:val="20"/>
                <w:szCs w:val="20"/>
                <w:color w:val="auto"/>
              </w:rPr>
            </w:pPr>
            <w:r>
              <w:rPr>
                <w:rFonts w:ascii="Arial" w:cs="Arial" w:eastAsia="Arial" w:hAnsi="Arial"/>
                <w:sz w:val="18"/>
                <w:szCs w:val="18"/>
                <w:color w:val="auto"/>
              </w:rPr>
              <w:t>Treasury stock</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(8,502)</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(8,502)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(7,852)</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(82)</w:t>
            </w:r>
          </w:p>
        </w:tc>
        <w:tc>
          <w:tcPr>
            <w:tcW w:w="1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100,724</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72,459</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54,165</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D1D2D4"/>
            </w:tcBorders>
            <w:shd w:val="clear" w:color="auto" w:fill="D1D2D4"/>
          </w:tcPr>
          <w:p>
            <w:pPr>
              <w:ind w:left="52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134,112</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101,509</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82,798</w:t>
            </w:r>
          </w:p>
        </w:tc>
        <w:tc>
          <w:tcPr>
            <w:tcW w:w="0" w:type="dxa"/>
            <w:vAlign w:val="bottom"/>
          </w:tcPr>
          <w:p>
            <w:pPr>
              <w:spacing w:after="0"/>
              <w:rPr>
                <w:sz w:val="1"/>
                <w:szCs w:val="1"/>
                <w:color w:val="auto"/>
              </w:rPr>
            </w:pP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9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Nine Months Ended</w:t>
            </w:r>
          </w:p>
        </w:tc>
        <w:tc>
          <w:tcPr>
            <w:tcW w:w="240" w:type="dxa"/>
            <w:vAlign w:val="bottom"/>
          </w:tcPr>
          <w:p>
            <w:pPr>
              <w:spacing w:after="0"/>
              <w:rPr>
                <w:sz w:val="17"/>
                <w:szCs w:val="17"/>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28,</w:t>
            </w:r>
          </w:p>
        </w:tc>
        <w:tc>
          <w:tcPr>
            <w:tcW w:w="260" w:type="dxa"/>
            <w:vAlign w:val="bottom"/>
          </w:tcPr>
          <w:p>
            <w:pPr>
              <w:spacing w:after="0"/>
              <w:rPr>
                <w:sz w:val="17"/>
                <w:szCs w:val="17"/>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29,</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47,268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5,338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6,862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6,203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954</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Receivables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(19,953)</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83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3,329</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8360" w:type="dxa"/>
            <w:vAlign w:val="bottom"/>
          </w:tcPr>
          <w:p>
            <w:pPr>
              <w:ind w:left="46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2,139</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460"/>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5,203</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45,702</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11,795</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(19,602)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(10,199)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(4,072)</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government incentives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2,989</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maturities and sales of available-for-sale securities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1,233</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used for investing activities</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(19,688)</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(8,889)</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Repayments of debt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(9,380)</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Repurchases of common stock - withholdings on employee equity awards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(762)</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Repurchases of common stock - repurchase program</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of dividends to shareholders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(437)</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issuance of debt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583</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used for financing activities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(10,646)</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6"/>
        </w:trPr>
        <w:tc>
          <w:tcPr>
            <w:tcW w:w="8360" w:type="dxa"/>
            <w:vAlign w:val="bottom"/>
            <w:shd w:val="clear" w:color="auto" w:fill="D1D2D4"/>
          </w:tcPr>
          <w:p>
            <w:pPr>
              <w:spacing w:after="0"/>
              <w:rPr>
                <w:sz w:val="20"/>
                <w:szCs w:val="20"/>
                <w:color w:val="auto"/>
              </w:rPr>
            </w:pPr>
          </w:p>
        </w:tc>
        <w:tc>
          <w:tcPr>
            <w:tcW w:w="240" w:type="dxa"/>
            <w:vAlign w:val="bottom"/>
            <w:shd w:val="clear" w:color="auto" w:fill="D1D2D4"/>
          </w:tcPr>
          <w:p>
            <w:pPr>
              <w:spacing w:after="0"/>
              <w:rPr>
                <w:sz w:val="20"/>
                <w:szCs w:val="20"/>
                <w:color w:val="auto"/>
              </w:rPr>
            </w:pPr>
          </w:p>
        </w:tc>
        <w:tc>
          <w:tcPr>
            <w:tcW w:w="1200" w:type="dxa"/>
            <w:vAlign w:val="bottom"/>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6"/>
        </w:trPr>
        <w:tc>
          <w:tcPr>
            <w:tcW w:w="836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15,376</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9,646</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7,052</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25,022</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890" w:right="339" w:bottom="1440" w:gutter="0" w:footer="0" w:header="0"/>
          <w:type w:val="continuous"/>
        </w:sectPr>
      </w:pPr>
    </w:p>
    <w:bookmarkStart w:id="9" w:name="page10"/>
    <w:bookmarkEnd w:id="9"/>
    <w:p>
      <w:pPr>
        <w:ind w:left="43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(In millions, except per share amounts)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3rd Qtr.</w:t>
            </w:r>
          </w:p>
        </w:tc>
        <w:tc>
          <w:tcPr>
            <w:tcW w:w="120" w:type="dxa"/>
            <w:vAlign w:val="bottom"/>
          </w:tcPr>
          <w:p>
            <w:pPr>
              <w:spacing w:after="0"/>
              <w:rPr>
                <w:sz w:val="19"/>
                <w:szCs w:val="19"/>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2nd Qtr.</w:t>
            </w:r>
          </w:p>
        </w:tc>
        <w:tc>
          <w:tcPr>
            <w:tcW w:w="24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3rd Qtr.</w:t>
            </w:r>
          </w:p>
        </w:tc>
      </w:tr>
      <w:tr>
        <w:trPr>
          <w:trHeight w:val="181"/>
        </w:trPr>
        <w:tc>
          <w:tcPr>
            <w:tcW w:w="7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rPr>
              <w:t>May 28,</w:t>
            </w:r>
          </w:p>
        </w:tc>
        <w:tc>
          <w:tcPr>
            <w:tcW w:w="120" w:type="dxa"/>
            <w:vAlign w:val="bottom"/>
          </w:tcPr>
          <w:p>
            <w:pPr>
              <w:spacing w:after="0"/>
              <w:rPr>
                <w:sz w:val="15"/>
                <w:szCs w:val="15"/>
                <w:color w:val="auto"/>
              </w:rPr>
            </w:pPr>
          </w:p>
        </w:tc>
        <w:tc>
          <w:tcPr>
            <w:tcW w:w="1180" w:type="dxa"/>
            <w:vAlign w:val="bottom"/>
          </w:tcPr>
          <w:p>
            <w:pPr>
              <w:jc w:val="center"/>
              <w:ind w:right="10"/>
              <w:spacing w:after="0" w:line="181" w:lineRule="exact"/>
              <w:rPr>
                <w:sz w:val="20"/>
                <w:szCs w:val="20"/>
                <w:color w:val="auto"/>
              </w:rPr>
            </w:pPr>
            <w:r>
              <w:rPr>
                <w:rFonts w:ascii="Arial" w:cs="Arial" w:eastAsia="Arial" w:hAnsi="Arial"/>
                <w:sz w:val="18"/>
                <w:szCs w:val="18"/>
                <w:b w:val="1"/>
                <w:bCs w:val="1"/>
                <w:color w:val="auto"/>
              </w:rPr>
              <w:t>February 26,</w:t>
            </w:r>
          </w:p>
        </w:tc>
        <w:tc>
          <w:tcPr>
            <w:tcW w:w="240" w:type="dxa"/>
            <w:vAlign w:val="bottom"/>
          </w:tcPr>
          <w:p>
            <w:pPr>
              <w:spacing w:after="0"/>
              <w:rPr>
                <w:sz w:val="15"/>
                <w:szCs w:val="15"/>
                <w:color w:val="auto"/>
              </w:rPr>
            </w:pPr>
          </w:p>
        </w:tc>
        <w:tc>
          <w:tcPr>
            <w:tcW w:w="1100" w:type="dxa"/>
            <w:vAlign w:val="bottom"/>
            <w:gridSpan w:val="2"/>
          </w:tcPr>
          <w:p>
            <w:pPr>
              <w:jc w:val="center"/>
              <w:ind w:right="240"/>
              <w:spacing w:after="0" w:line="181" w:lineRule="exact"/>
              <w:rPr>
                <w:sz w:val="20"/>
                <w:szCs w:val="20"/>
                <w:color w:val="auto"/>
              </w:rPr>
            </w:pPr>
            <w:r>
              <w:rPr>
                <w:rFonts w:ascii="Arial" w:cs="Arial" w:eastAsia="Arial" w:hAnsi="Arial"/>
                <w:sz w:val="18"/>
                <w:szCs w:val="18"/>
                <w:b w:val="1"/>
                <w:bCs w:val="1"/>
                <w:color w:val="auto"/>
              </w:rPr>
              <w:t>May 29,</w:t>
            </w:r>
          </w:p>
        </w:tc>
      </w:tr>
      <w:tr>
        <w:trPr>
          <w:trHeight w:val="243"/>
        </w:trPr>
        <w:tc>
          <w:tcPr>
            <w:tcW w:w="7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2026</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2026</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2025</w:t>
            </w:r>
          </w:p>
        </w:tc>
        <w:tc>
          <w:tcPr>
            <w:tcW w:w="20" w:type="dxa"/>
            <w:vAlign w:val="bottom"/>
          </w:tcPr>
          <w:p>
            <w:pPr>
              <w:spacing w:after="0"/>
              <w:rPr>
                <w:sz w:val="21"/>
                <w:szCs w:val="21"/>
                <w:color w:val="auto"/>
              </w:rPr>
            </w:pPr>
          </w:p>
        </w:tc>
      </w:tr>
      <w:tr>
        <w:trPr>
          <w:trHeight w:val="34"/>
        </w:trPr>
        <w:tc>
          <w:tcPr>
            <w:tcW w:w="7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7260" w:type="dxa"/>
            <w:vAlign w:val="bottom"/>
            <w:shd w:val="clear" w:color="auto" w:fill="D1D2D4"/>
          </w:tcPr>
          <w:p>
            <w:pPr>
              <w:spacing w:after="0"/>
              <w:rPr>
                <w:sz w:val="20"/>
                <w:szCs w:val="20"/>
                <w:color w:val="auto"/>
              </w:rPr>
            </w:pPr>
            <w:r>
              <w:rPr>
                <w:rFonts w:ascii="Arial" w:cs="Arial" w:eastAsia="Arial" w:hAnsi="Arial"/>
                <w:sz w:val="18"/>
                <w:szCs w:val="18"/>
                <w:b w:val="1"/>
                <w:bCs w:val="1"/>
                <w:color w:val="auto"/>
              </w:rPr>
              <w:t>GAAP gross margin</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35,056</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17,755</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3,508</w:t>
            </w:r>
          </w:p>
        </w:tc>
        <w:tc>
          <w:tcPr>
            <w:tcW w:w="20" w:type="dxa"/>
            <w:vAlign w:val="bottom"/>
          </w:tcPr>
          <w:p>
            <w:pPr>
              <w:spacing w:after="0"/>
              <w:rPr>
                <w:sz w:val="19"/>
                <w:szCs w:val="19"/>
                <w:color w:val="auto"/>
              </w:rPr>
            </w:pPr>
          </w:p>
        </w:tc>
      </w:tr>
      <w:tr>
        <w:trPr>
          <w:trHeight w:val="229"/>
        </w:trPr>
        <w:tc>
          <w:tcPr>
            <w:tcW w:w="726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9"/>
                <w:szCs w:val="19"/>
                <w:color w:val="auto"/>
              </w:rPr>
            </w:pPr>
          </w:p>
        </w:tc>
      </w:tr>
      <w:tr>
        <w:trPr>
          <w:trHeight w:val="248"/>
        </w:trPr>
        <w:tc>
          <w:tcPr>
            <w:tcW w:w="7260" w:type="dxa"/>
            <w:vAlign w:val="bottom"/>
            <w:tcBorders>
              <w:bottom w:val="single" w:sz="8" w:color="D1D2D4"/>
            </w:tcBorders>
            <w:shd w:val="clear" w:color="auto" w:fill="D1D2D4"/>
          </w:tcPr>
          <w:p>
            <w:pPr>
              <w:spacing w:after="0"/>
              <w:rPr>
                <w:sz w:val="20"/>
                <w:szCs w:val="20"/>
                <w:color w:val="auto"/>
              </w:rPr>
            </w:pPr>
            <w:r>
              <w:rPr>
                <w:rFonts w:ascii="Arial" w:cs="Arial" w:eastAsia="Arial" w:hAnsi="Arial"/>
                <w:sz w:val="18"/>
                <w:szCs w:val="18"/>
                <w:b w:val="1"/>
                <w:bCs w:val="1"/>
                <w:color w:val="auto"/>
              </w:rPr>
              <w:t>Non-GAAP gross margin</w:t>
            </w: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35,199</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17,876</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3,623</w:t>
            </w:r>
          </w:p>
        </w:tc>
        <w:tc>
          <w:tcPr>
            <w:tcW w:w="20" w:type="dxa"/>
            <w:vAlign w:val="bottom"/>
          </w:tcPr>
          <w:p>
            <w:pPr>
              <w:spacing w:after="0"/>
              <w:rPr>
                <w:sz w:val="21"/>
                <w:szCs w:val="21"/>
                <w:color w:val="auto"/>
              </w:rPr>
            </w:pPr>
          </w:p>
        </w:tc>
      </w:tr>
      <w:tr>
        <w:trPr>
          <w:trHeight w:val="20"/>
        </w:trPr>
        <w:tc>
          <w:tcPr>
            <w:tcW w:w="726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7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7260" w:type="dxa"/>
            <w:vAlign w:val="bottom"/>
            <w:shd w:val="clear" w:color="auto" w:fill="D1D2D4"/>
          </w:tcPr>
          <w:p>
            <w:pPr>
              <w:spacing w:after="0"/>
              <w:rPr>
                <w:sz w:val="20"/>
                <w:szCs w:val="20"/>
                <w:color w:val="auto"/>
              </w:rPr>
            </w:pPr>
            <w:r>
              <w:rPr>
                <w:rFonts w:ascii="Arial" w:cs="Arial" w:eastAsia="Arial" w:hAnsi="Arial"/>
                <w:sz w:val="18"/>
                <w:szCs w:val="18"/>
                <w:b w:val="1"/>
                <w:bCs w:val="1"/>
                <w:color w:val="auto"/>
              </w:rPr>
              <w:t>GAAP operating expenses</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1,738</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1,620</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1,339</w:t>
            </w:r>
          </w:p>
        </w:tc>
        <w:tc>
          <w:tcPr>
            <w:tcW w:w="20" w:type="dxa"/>
            <w:vAlign w:val="bottom"/>
          </w:tcPr>
          <w:p>
            <w:pPr>
              <w:spacing w:after="0"/>
              <w:rPr>
                <w:sz w:val="19"/>
                <w:szCs w:val="19"/>
                <w:color w:val="auto"/>
              </w:rPr>
            </w:pPr>
          </w:p>
        </w:tc>
      </w:tr>
      <w:tr>
        <w:trPr>
          <w:trHeight w:val="229"/>
        </w:trPr>
        <w:tc>
          <w:tcPr>
            <w:tcW w:w="726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9"/>
                <w:szCs w:val="19"/>
                <w:color w:val="auto"/>
              </w:rPr>
            </w:pPr>
          </w:p>
        </w:tc>
      </w:tr>
      <w:tr>
        <w:trPr>
          <w:trHeight w:val="230"/>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b w:val="1"/>
                <w:bCs w:val="1"/>
                <w:color w:val="auto"/>
              </w:rPr>
              <w:t>Non-GAAP operating expenses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20" w:type="dxa"/>
            <w:vAlign w:val="bottom"/>
          </w:tcPr>
          <w:p>
            <w:pPr>
              <w:spacing w:after="0"/>
              <w:rPr>
                <w:sz w:val="19"/>
                <w:szCs w:val="19"/>
                <w:color w:val="auto"/>
              </w:rPr>
            </w:pPr>
          </w:p>
        </w:tc>
      </w:tr>
      <w:tr>
        <w:trPr>
          <w:trHeight w:val="20"/>
        </w:trPr>
        <w:tc>
          <w:tcPr>
            <w:tcW w:w="726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726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b w:val="1"/>
                <w:bCs w:val="1"/>
                <w:color w:val="auto"/>
              </w:rPr>
              <w:t>GAAP 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33,318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16,135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2,169</w:t>
            </w:r>
          </w:p>
        </w:tc>
        <w:tc>
          <w:tcPr>
            <w:tcW w:w="20" w:type="dxa"/>
            <w:vAlign w:val="bottom"/>
          </w:tcPr>
          <w:p>
            <w:pPr>
              <w:spacing w:after="0"/>
              <w:rPr>
                <w:sz w:val="19"/>
                <w:szCs w:val="19"/>
                <w:color w:val="auto"/>
              </w:rPr>
            </w:pPr>
          </w:p>
        </w:tc>
      </w:tr>
      <w:tr>
        <w:trPr>
          <w:trHeight w:val="229"/>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297</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9"/>
                <w:szCs w:val="19"/>
                <w:color w:val="auto"/>
              </w:rPr>
            </w:pPr>
          </w:p>
        </w:tc>
      </w:tr>
      <w:tr>
        <w:trPr>
          <w:trHeight w:val="230"/>
        </w:trPr>
        <w:tc>
          <w:tcPr>
            <w:tcW w:w="726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r>
      <w:tr>
        <w:trPr>
          <w:trHeight w:val="248"/>
        </w:trPr>
        <w:tc>
          <w:tcPr>
            <w:tcW w:w="7260" w:type="dxa"/>
            <w:vAlign w:val="bottom"/>
            <w:tcBorders>
              <w:bottom w:val="single" w:sz="8" w:color="D1D2D4"/>
            </w:tcBorders>
            <w:shd w:val="clear" w:color="auto" w:fill="D1D2D4"/>
          </w:tcPr>
          <w:p>
            <w:pPr>
              <w:spacing w:after="0"/>
              <w:rPr>
                <w:sz w:val="20"/>
                <w:szCs w:val="20"/>
                <w:color w:val="auto"/>
              </w:rPr>
            </w:pPr>
            <w:r>
              <w:rPr>
                <w:rFonts w:ascii="Arial" w:cs="Arial" w:eastAsia="Arial" w:hAnsi="Arial"/>
                <w:sz w:val="18"/>
                <w:szCs w:val="18"/>
                <w:b w:val="1"/>
                <w:bCs w:val="1"/>
                <w:color w:val="auto"/>
              </w:rPr>
              <w:t>Non-GAAP operating income</w:t>
            </w: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33,681</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16,455</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2,490</w:t>
            </w:r>
          </w:p>
        </w:tc>
        <w:tc>
          <w:tcPr>
            <w:tcW w:w="20" w:type="dxa"/>
            <w:vAlign w:val="bottom"/>
          </w:tcPr>
          <w:p>
            <w:pPr>
              <w:spacing w:after="0"/>
              <w:rPr>
                <w:sz w:val="21"/>
                <w:szCs w:val="21"/>
                <w:color w:val="auto"/>
              </w:rPr>
            </w:pPr>
          </w:p>
        </w:tc>
      </w:tr>
      <w:tr>
        <w:trPr>
          <w:trHeight w:val="20"/>
        </w:trPr>
        <w:tc>
          <w:tcPr>
            <w:tcW w:w="726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7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7260" w:type="dxa"/>
            <w:vAlign w:val="bottom"/>
            <w:shd w:val="clear" w:color="auto" w:fill="D1D2D4"/>
          </w:tcPr>
          <w:p>
            <w:pPr>
              <w:spacing w:after="0"/>
              <w:rPr>
                <w:sz w:val="20"/>
                <w:szCs w:val="20"/>
                <w:color w:val="auto"/>
              </w:rPr>
            </w:pPr>
            <w:r>
              <w:rPr>
                <w:rFonts w:ascii="Arial" w:cs="Arial" w:eastAsia="Arial" w:hAnsi="Arial"/>
                <w:sz w:val="18"/>
                <w:szCs w:val="18"/>
                <w:b w:val="1"/>
                <w:bCs w:val="1"/>
                <w:color w:val="auto"/>
              </w:rPr>
              <w:t>GAAP net income</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28,243</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13,785</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1,885</w:t>
            </w:r>
          </w:p>
        </w:tc>
        <w:tc>
          <w:tcPr>
            <w:tcW w:w="20" w:type="dxa"/>
            <w:vAlign w:val="bottom"/>
          </w:tcPr>
          <w:p>
            <w:pPr>
              <w:spacing w:after="0"/>
              <w:rPr>
                <w:sz w:val="19"/>
                <w:szCs w:val="19"/>
                <w:color w:val="auto"/>
              </w:rPr>
            </w:pPr>
          </w:p>
        </w:tc>
      </w:tr>
      <w:tr>
        <w:trPr>
          <w:trHeight w:val="229"/>
        </w:trPr>
        <w:tc>
          <w:tcPr>
            <w:tcW w:w="726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297</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9"/>
                <w:szCs w:val="19"/>
                <w:color w:val="auto"/>
              </w:rPr>
            </w:pPr>
          </w:p>
        </w:tc>
      </w:tr>
      <w:tr>
        <w:trPr>
          <w:trHeight w:val="230"/>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Loss on debt prepayments</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r>
      <w:tr>
        <w:trPr>
          <w:trHeight w:val="229"/>
        </w:trPr>
        <w:tc>
          <w:tcPr>
            <w:tcW w:w="7260" w:type="dxa"/>
            <w:vAlign w:val="bottom"/>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r>
      <w:tr>
        <w:trPr>
          <w:trHeight w:val="230"/>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Estimated tax effects of above and other tax adjustments</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Non-GAAP net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w:t>
            </w:r>
          </w:p>
        </w:tc>
        <w:tc>
          <w:tcPr>
            <w:tcW w:w="20" w:type="dxa"/>
            <w:vAlign w:val="bottom"/>
          </w:tcPr>
          <w:p>
            <w:pPr>
              <w:spacing w:after="0"/>
              <w:rPr>
                <w:sz w:val="19"/>
                <w:szCs w:val="19"/>
                <w:color w:val="auto"/>
              </w:rPr>
            </w:pPr>
          </w:p>
        </w:tc>
      </w:tr>
      <w:tr>
        <w:trPr>
          <w:trHeight w:val="20"/>
        </w:trPr>
        <w:tc>
          <w:tcPr>
            <w:tcW w:w="726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26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b w:val="1"/>
                <w:bCs w:val="1"/>
                <w:color w:val="auto"/>
              </w:rPr>
              <w:t>GAAP weighted-average common shares outstanding - Diluted</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1,142</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1,125</w:t>
            </w:r>
          </w:p>
        </w:tc>
        <w:tc>
          <w:tcPr>
            <w:tcW w:w="20" w:type="dxa"/>
            <w:vAlign w:val="bottom"/>
          </w:tcPr>
          <w:p>
            <w:pPr>
              <w:spacing w:after="0"/>
              <w:rPr>
                <w:sz w:val="19"/>
                <w:szCs w:val="19"/>
                <w:color w:val="auto"/>
              </w:rPr>
            </w:pPr>
          </w:p>
        </w:tc>
      </w:tr>
      <w:tr>
        <w:trPr>
          <w:trHeight w:val="230"/>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Adjustment for stock-based compensation</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Non-GAAP weighted-average common shares outstanding - Diluted</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20" w:type="dxa"/>
            <w:vAlign w:val="bottom"/>
          </w:tcPr>
          <w:p>
            <w:pPr>
              <w:spacing w:after="0"/>
              <w:rPr>
                <w:sz w:val="19"/>
                <w:szCs w:val="19"/>
                <w:color w:val="auto"/>
              </w:rPr>
            </w:pPr>
          </w:p>
        </w:tc>
      </w:tr>
      <w:tr>
        <w:trPr>
          <w:trHeight w:val="20"/>
        </w:trPr>
        <w:tc>
          <w:tcPr>
            <w:tcW w:w="726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26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b w:val="1"/>
                <w:bCs w:val="1"/>
                <w:color w:val="auto"/>
              </w:rPr>
              <w:t>GAAP diluted earnings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24.67</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12.07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9"/>
                <w:szCs w:val="19"/>
                <w:color w:val="auto"/>
              </w:rPr>
            </w:pPr>
          </w:p>
        </w:tc>
      </w:tr>
      <w:tr>
        <w:trPr>
          <w:trHeight w:val="230"/>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Effects of the above adjustments</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0.23</w:t>
            </w:r>
          </w:p>
        </w:tc>
        <w:tc>
          <w:tcPr>
            <w:tcW w:w="20" w:type="dxa"/>
            <w:vAlign w:val="bottom"/>
          </w:tcPr>
          <w:p>
            <w:pPr>
              <w:spacing w:after="0"/>
              <w:rPr>
                <w:sz w:val="19"/>
                <w:szCs w:val="19"/>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Non-GAAP diluted earnings per share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61"/>
        </w:trPr>
        <w:tc>
          <w:tcPr>
            <w:tcW w:w="7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200"/>
          </w:cols>
          <w:pgMar w:left="360" w:top="890" w:right="339" w:bottom="1440" w:gutter="0" w:footer="0" w:header="0"/>
        </w:sectPr>
      </w:pPr>
    </w:p>
    <w:bookmarkStart w:id="10" w:name="page11"/>
    <w:bookmarkEnd w:id="1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8660" w:type="dxa"/>
            <w:vAlign w:val="bottom"/>
            <w:gridSpan w:val="4"/>
          </w:tcPr>
          <w:p>
            <w:pPr>
              <w:ind w:left="2860"/>
              <w:spacing w:after="0"/>
              <w:rPr>
                <w:sz w:val="20"/>
                <w:szCs w:val="20"/>
                <w:color w:val="auto"/>
              </w:rPr>
            </w:pPr>
            <w:r>
              <w:rPr>
                <w:rFonts w:ascii="Arial" w:cs="Arial" w:eastAsia="Arial" w:hAnsi="Arial"/>
                <w:sz w:val="18"/>
                <w:szCs w:val="18"/>
                <w:b w:val="1"/>
                <w:bCs w:val="1"/>
                <w:color w:val="auto"/>
                <w:w w:val="99"/>
              </w:rPr>
              <w:t>RECONCILIATION OF GAAP TO NON-GAAP MEASURES, Continued</w:t>
            </w: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82"/>
        </w:trPr>
        <w:tc>
          <w:tcPr>
            <w:tcW w:w="7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3rd Qtr.</w:t>
            </w:r>
          </w:p>
        </w:tc>
        <w:tc>
          <w:tcPr>
            <w:tcW w:w="120" w:type="dxa"/>
            <w:vAlign w:val="bottom"/>
          </w:tcPr>
          <w:p>
            <w:pPr>
              <w:spacing w:after="0"/>
              <w:rPr>
                <w:sz w:val="24"/>
                <w:szCs w:val="24"/>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2nd Qtr.</w:t>
            </w:r>
          </w:p>
        </w:tc>
        <w:tc>
          <w:tcPr>
            <w:tcW w:w="240" w:type="dxa"/>
            <w:vAlign w:val="bottom"/>
          </w:tcPr>
          <w:p>
            <w:pPr>
              <w:spacing w:after="0"/>
              <w:rPr>
                <w:sz w:val="24"/>
                <w:szCs w:val="24"/>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3rd Qtr.</w:t>
            </w:r>
          </w:p>
        </w:tc>
      </w:tr>
      <w:tr>
        <w:trPr>
          <w:trHeight w:val="181"/>
        </w:trPr>
        <w:tc>
          <w:tcPr>
            <w:tcW w:w="7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rPr>
              <w:t>May 28,</w:t>
            </w:r>
          </w:p>
        </w:tc>
        <w:tc>
          <w:tcPr>
            <w:tcW w:w="120" w:type="dxa"/>
            <w:vAlign w:val="bottom"/>
          </w:tcPr>
          <w:p>
            <w:pPr>
              <w:spacing w:after="0"/>
              <w:rPr>
                <w:sz w:val="15"/>
                <w:szCs w:val="15"/>
                <w:color w:val="auto"/>
              </w:rPr>
            </w:pPr>
          </w:p>
        </w:tc>
        <w:tc>
          <w:tcPr>
            <w:tcW w:w="1180" w:type="dxa"/>
            <w:vAlign w:val="bottom"/>
          </w:tcPr>
          <w:p>
            <w:pPr>
              <w:jc w:val="center"/>
              <w:ind w:right="10"/>
              <w:spacing w:after="0" w:line="181" w:lineRule="exact"/>
              <w:rPr>
                <w:sz w:val="20"/>
                <w:szCs w:val="20"/>
                <w:color w:val="auto"/>
              </w:rPr>
            </w:pPr>
            <w:r>
              <w:rPr>
                <w:rFonts w:ascii="Arial" w:cs="Arial" w:eastAsia="Arial" w:hAnsi="Arial"/>
                <w:sz w:val="18"/>
                <w:szCs w:val="18"/>
                <w:b w:val="1"/>
                <w:bCs w:val="1"/>
                <w:color w:val="auto"/>
              </w:rPr>
              <w:t>February 26,</w:t>
            </w:r>
          </w:p>
        </w:tc>
        <w:tc>
          <w:tcPr>
            <w:tcW w:w="240" w:type="dxa"/>
            <w:vAlign w:val="bottom"/>
          </w:tcPr>
          <w:p>
            <w:pPr>
              <w:spacing w:after="0"/>
              <w:rPr>
                <w:sz w:val="15"/>
                <w:szCs w:val="15"/>
                <w:color w:val="auto"/>
              </w:rPr>
            </w:pPr>
          </w:p>
        </w:tc>
        <w:tc>
          <w:tcPr>
            <w:tcW w:w="1080" w:type="dxa"/>
            <w:vAlign w:val="bottom"/>
          </w:tcPr>
          <w:p>
            <w:pPr>
              <w:jc w:val="center"/>
              <w:ind w:right="150"/>
              <w:spacing w:after="0" w:line="181" w:lineRule="exact"/>
              <w:rPr>
                <w:sz w:val="20"/>
                <w:szCs w:val="20"/>
                <w:color w:val="auto"/>
              </w:rPr>
            </w:pPr>
            <w:r>
              <w:rPr>
                <w:rFonts w:ascii="Arial" w:cs="Arial" w:eastAsia="Arial" w:hAnsi="Arial"/>
                <w:sz w:val="18"/>
                <w:szCs w:val="18"/>
                <w:b w:val="1"/>
                <w:bCs w:val="1"/>
                <w:color w:val="auto"/>
                <w:w w:val="98"/>
              </w:rPr>
              <w:t>May 29,</w:t>
            </w:r>
          </w:p>
        </w:tc>
      </w:tr>
      <w:tr>
        <w:trPr>
          <w:trHeight w:val="243"/>
        </w:trPr>
        <w:tc>
          <w:tcPr>
            <w:tcW w:w="7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2026</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2026</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2025</w:t>
            </w:r>
          </w:p>
        </w:tc>
      </w:tr>
      <w:tr>
        <w:trPr>
          <w:trHeight w:val="34"/>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72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GAAP net cash provided by operating activities</w:t>
            </w:r>
          </w:p>
        </w:tc>
        <w:tc>
          <w:tcPr>
            <w:tcW w:w="2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25,388</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11,903</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4,609</w:t>
            </w:r>
          </w:p>
        </w:tc>
      </w:tr>
      <w:tr>
        <w:trPr>
          <w:trHeight w:val="256"/>
        </w:trPr>
        <w:tc>
          <w:tcPr>
            <w:tcW w:w="7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72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Expenditures for property, plant, and equipment</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(7,826)</w:t>
            </w: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(6,387)</w:t>
            </w:r>
          </w:p>
        </w:tc>
        <w:tc>
          <w:tcPr>
            <w:tcW w:w="2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(2,938)</w:t>
            </w:r>
          </w:p>
        </w:tc>
      </w:tr>
      <w:tr>
        <w:trPr>
          <w:trHeight w:val="229"/>
        </w:trPr>
        <w:tc>
          <w:tcPr>
            <w:tcW w:w="7240" w:type="dxa"/>
            <w:vAlign w:val="bottom"/>
          </w:tcPr>
          <w:p>
            <w:pPr>
              <w:ind w:left="180"/>
              <w:spacing w:after="0"/>
              <w:rPr>
                <w:sz w:val="20"/>
                <w:szCs w:val="20"/>
                <w:color w:val="auto"/>
              </w:rPr>
            </w:pPr>
            <w:r>
              <w:rPr>
                <w:rFonts w:ascii="Arial" w:cs="Arial" w:eastAsia="Arial" w:hAnsi="Arial"/>
                <w:sz w:val="18"/>
                <w:szCs w:val="18"/>
                <w:color w:val="auto"/>
              </w:rPr>
              <w:t>Proceeds from sales of property, plant, and equipment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72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Proceeds from government incentives</w:t>
            </w:r>
          </w:p>
        </w:tc>
        <w:tc>
          <w:tcPr>
            <w:tcW w:w="22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1,378</w:t>
            </w:r>
          </w:p>
        </w:tc>
        <w:tc>
          <w:tcPr>
            <w:tcW w:w="24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266</w:t>
            </w:r>
          </w:p>
        </w:tc>
      </w:tr>
      <w:tr>
        <w:trPr>
          <w:trHeight w:val="223"/>
        </w:trPr>
        <w:tc>
          <w:tcPr>
            <w:tcW w:w="7240" w:type="dxa"/>
            <w:vAlign w:val="bottom"/>
            <w:tcBorders>
              <w:bottom w:val="single" w:sz="8" w:color="DBDBDB"/>
            </w:tcBorders>
          </w:tcPr>
          <w:p>
            <w:pPr>
              <w:ind w:left="180"/>
              <w:spacing w:after="0"/>
              <w:rPr>
                <w:sz w:val="20"/>
                <w:szCs w:val="20"/>
                <w:color w:val="auto"/>
              </w:rPr>
            </w:pPr>
            <w:r>
              <w:rPr>
                <w:rFonts w:ascii="Arial" w:cs="Arial" w:eastAsia="Arial" w:hAnsi="Arial"/>
                <w:sz w:val="18"/>
                <w:szCs w:val="18"/>
                <w:b w:val="1"/>
                <w:bCs w:val="1"/>
                <w:color w:val="auto"/>
              </w:rPr>
              <w:t>Investments in capital expenditures, net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(7,084)</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(5,004)</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w:t>
            </w:r>
          </w:p>
        </w:tc>
      </w:tr>
      <w:tr>
        <w:trPr>
          <w:trHeight w:val="248"/>
        </w:trPr>
        <w:tc>
          <w:tcPr>
            <w:tcW w:w="7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Adjusted free cash flow</w:t>
            </w:r>
          </w:p>
        </w:tc>
        <w:tc>
          <w:tcPr>
            <w:tcW w:w="22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18,304</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6,899</w:t>
            </w: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1,949</w:t>
            </w:r>
          </w:p>
        </w:tc>
      </w:tr>
      <w:tr>
        <w:trPr>
          <w:trHeight w:val="20"/>
        </w:trPr>
        <w:tc>
          <w:tcPr>
            <w:tcW w:w="724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tables above reconcile GAAP to non-GAAP measures of gross margin, operating expenses, operating income, net income, diluted shares, diluted earnings per share, and adjusted free cash flow. The non-GAAP adjustments above may or may not be infrequent or nonrecurring in nature, but are a result of periodic or non-core operating activities. We believe this non-GAAP information is helpful in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 amounts presented in accordance with U.S. GAAP and therefore may not be comparable to amounts reported by other companies. Our management excludes the following items as applicable in analyzing our operating results and understanding trends in our earnings:</w:t>
      </w:r>
    </w:p>
    <w:p>
      <w:pPr>
        <w:spacing w:after="0" w:line="20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Gains and losses from settlements;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Gains and losses from debt prepayments;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Restructure and asset impairments; and</w:t>
      </w:r>
    </w:p>
    <w:p>
      <w:pPr>
        <w:spacing w:after="0" w:line="9" w:lineRule="exact"/>
        <w:rPr>
          <w:rFonts w:ascii="Arial" w:cs="Arial" w:eastAsia="Arial" w:hAnsi="Arial"/>
          <w:sz w:val="18"/>
          <w:szCs w:val="18"/>
          <w:color w:val="auto"/>
        </w:rPr>
      </w:pPr>
    </w:p>
    <w:p>
      <w:pPr>
        <w:ind w:left="660" w:right="40" w:hanging="328"/>
        <w:spacing w:after="0" w:line="255"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estimated tax effects of above, non-cash changes in net deferred income taxes, assessments of tax exposures, certain tax matters related to prior fiscal periods, and significant changes in tax law. The divergence between our GAAP and non-GAAP income tax (provision) benefit relates to the difference in our GAAP and non-GAAP estimated annual effective tax rates, which are computed separately.</w:t>
      </w:r>
    </w:p>
    <w:p>
      <w:pPr>
        <w:spacing w:after="0" w:line="20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Non-GAAP diluted shares are adjusted for the impact of additional shares resulting from the exclusion of stock-based compensation from non-GAAP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9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OUTLOOK</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Arial" w:cs="Arial" w:eastAsia="Arial" w:hAnsi="Arial"/>
                <w:sz w:val="18"/>
                <w:szCs w:val="18"/>
                <w:b w:val="1"/>
                <w:bCs w:val="1"/>
                <w:color w:val="auto"/>
              </w:rPr>
              <w:t>FQ4-26</w:t>
            </w:r>
          </w:p>
        </w:tc>
        <w:tc>
          <w:tcPr>
            <w:tcW w:w="3180" w:type="dxa"/>
            <w:vAlign w:val="bottom"/>
            <w:gridSpan w:val="2"/>
          </w:tcPr>
          <w:p>
            <w:pPr>
              <w:ind w:left="1280"/>
              <w:spacing w:after="0"/>
              <w:rPr>
                <w:sz w:val="20"/>
                <w:szCs w:val="20"/>
                <w:color w:val="auto"/>
              </w:rPr>
            </w:pPr>
            <w:r>
              <w:rPr>
                <w:rFonts w:ascii="Arial" w:cs="Arial" w:eastAsia="Arial" w:hAnsi="Arial"/>
                <w:sz w:val="18"/>
                <w:szCs w:val="18"/>
                <w:b w:val="1"/>
                <w:bCs w:val="1"/>
                <w:color w:val="auto"/>
              </w:rPr>
              <w:t>GAAP Outlook</w:t>
            </w:r>
          </w:p>
        </w:tc>
        <w:tc>
          <w:tcPr>
            <w:tcW w:w="2520" w:type="dxa"/>
            <w:vAlign w:val="bottom"/>
            <w:gridSpan w:val="2"/>
          </w:tcPr>
          <w:p>
            <w:pPr>
              <w:ind w:left="640"/>
              <w:spacing w:after="0"/>
              <w:rPr>
                <w:sz w:val="20"/>
                <w:szCs w:val="20"/>
                <w:color w:val="auto"/>
              </w:rPr>
            </w:pPr>
            <w:r>
              <w:rPr>
                <w:rFonts w:ascii="Arial" w:cs="Arial" w:eastAsia="Arial" w:hAnsi="Arial"/>
                <w:sz w:val="18"/>
                <w:szCs w:val="18"/>
                <w:b w:val="1"/>
                <w:bCs w:val="1"/>
                <w:color w:val="auto"/>
              </w:rPr>
              <w:t>Adjustments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tcPr>
          <w:p>
            <w:pPr>
              <w:jc w:val="right"/>
              <w:ind w:right="250"/>
              <w:spacing w:after="0"/>
              <w:rPr>
                <w:sz w:val="20"/>
                <w:szCs w:val="20"/>
                <w:color w:val="auto"/>
              </w:rPr>
            </w:pPr>
            <w:r>
              <w:rPr>
                <w:rFonts w:ascii="Arial" w:cs="Arial" w:eastAsia="Arial" w:hAnsi="Arial"/>
                <w:sz w:val="18"/>
                <w:szCs w:val="18"/>
                <w:b w:val="1"/>
                <w:bCs w:val="1"/>
                <w:color w:val="auto"/>
              </w:rPr>
              <w:t>Non-GAAP Outlook</w:t>
            </w:r>
          </w:p>
        </w:tc>
      </w:tr>
      <w:tr>
        <w:trPr>
          <w:trHeight w:val="34"/>
        </w:trPr>
        <w:tc>
          <w:tcPr>
            <w:tcW w:w="20" w:type="dxa"/>
            <w:vAlign w:val="bottom"/>
          </w:tcPr>
          <w:p>
            <w:pPr>
              <w:spacing w:after="0"/>
              <w:rPr>
                <w:sz w:val="2"/>
                <w:szCs w:val="2"/>
                <w:color w:val="auto"/>
              </w:rPr>
            </w:pPr>
          </w:p>
        </w:tc>
        <w:tc>
          <w:tcPr>
            <w:tcW w:w="3160" w:type="dxa"/>
            <w:vAlign w:val="bottom"/>
            <w:tcBorders>
              <w:top w:val="single" w:sz="8" w:color="auto"/>
            </w:tcBorders>
          </w:tcPr>
          <w:p>
            <w:pPr>
              <w:spacing w:after="0"/>
              <w:rPr>
                <w:sz w:val="2"/>
                <w:szCs w:val="2"/>
                <w:color w:val="auto"/>
              </w:rPr>
            </w:pPr>
          </w:p>
        </w:tc>
        <w:tc>
          <w:tcPr>
            <w:tcW w:w="3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100" w:type="dxa"/>
            <w:vAlign w:val="bottom"/>
            <w:tcBorders>
              <w:top w:val="single" w:sz="8" w:color="auto"/>
            </w:tcBorders>
          </w:tcPr>
          <w:p>
            <w:pPr>
              <w:spacing w:after="0"/>
              <w:rPr>
                <w:sz w:val="2"/>
                <w:szCs w:val="2"/>
                <w:color w:val="auto"/>
              </w:rPr>
            </w:pPr>
          </w:p>
        </w:tc>
      </w:tr>
      <w:tr>
        <w:trPr>
          <w:trHeight w:val="230"/>
        </w:trPr>
        <w:tc>
          <w:tcPr>
            <w:tcW w:w="20" w:type="dxa"/>
            <w:vAlign w:val="bottom"/>
          </w:tcPr>
          <w:p>
            <w:pPr>
              <w:spacing w:after="0"/>
              <w:rPr>
                <w:sz w:val="19"/>
                <w:szCs w:val="19"/>
                <w:color w:val="auto"/>
              </w:rPr>
            </w:pPr>
          </w:p>
        </w:tc>
        <w:tc>
          <w:tcPr>
            <w:tcW w:w="3160" w:type="dxa"/>
            <w:vAlign w:val="bottom"/>
            <w:shd w:val="clear" w:color="auto" w:fill="D1D2D4"/>
          </w:tcPr>
          <w:p>
            <w:pPr>
              <w:spacing w:after="0"/>
              <w:rPr>
                <w:sz w:val="20"/>
                <w:szCs w:val="20"/>
                <w:color w:val="auto"/>
              </w:rPr>
            </w:pPr>
            <w:r>
              <w:rPr>
                <w:rFonts w:ascii="Arial" w:cs="Arial" w:eastAsia="Arial" w:hAnsi="Arial"/>
                <w:sz w:val="18"/>
                <w:szCs w:val="18"/>
                <w:color w:val="auto"/>
              </w:rPr>
              <w:t>Revenue</w:t>
            </w:r>
          </w:p>
        </w:tc>
        <w:tc>
          <w:tcPr>
            <w:tcW w:w="3180" w:type="dxa"/>
            <w:vAlign w:val="bottom"/>
            <w:gridSpan w:val="2"/>
            <w:shd w:val="clear" w:color="auto" w:fill="D1D2D4"/>
          </w:tcPr>
          <w:p>
            <w:pPr>
              <w:jc w:val="right"/>
              <w:ind w:right="140"/>
              <w:spacing w:after="0"/>
              <w:rPr>
                <w:sz w:val="20"/>
                <w:szCs w:val="20"/>
                <w:color w:val="auto"/>
              </w:rPr>
            </w:pPr>
            <w:r>
              <w:rPr>
                <w:rFonts w:ascii="Arial" w:cs="Arial" w:eastAsia="Arial" w:hAnsi="Arial"/>
                <w:sz w:val="18"/>
                <w:szCs w:val="18"/>
                <w:color w:val="auto"/>
              </w:rPr>
              <w:t>$50.0 billion ± $1.0 billion</w:t>
            </w:r>
          </w:p>
        </w:tc>
        <w:tc>
          <w:tcPr>
            <w:tcW w:w="2520" w:type="dxa"/>
            <w:vAlign w:val="bottom"/>
            <w:gridSpan w:val="2"/>
            <w:shd w:val="clear" w:color="auto" w:fill="D1D2D4"/>
          </w:tcPr>
          <w:p>
            <w:pPr>
              <w:ind w:left="1020"/>
              <w:spacing w:after="0"/>
              <w:rPr>
                <w:sz w:val="20"/>
                <w:szCs w:val="20"/>
                <w:color w:val="auto"/>
              </w:rPr>
            </w:pPr>
            <w:r>
              <w:rPr>
                <w:rFonts w:ascii="Arial" w:cs="Arial" w:eastAsia="Arial" w:hAnsi="Arial"/>
                <w:sz w:val="18"/>
                <w:szCs w:val="18"/>
                <w:color w:val="auto"/>
              </w:rPr>
              <w:t>—</w:t>
            </w:r>
          </w:p>
        </w:tc>
        <w:tc>
          <w:tcPr>
            <w:tcW w:w="6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2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$50.0 billion ± $1.0 billion</w:t>
            </w:r>
          </w:p>
        </w:tc>
      </w:tr>
      <w:tr>
        <w:trPr>
          <w:trHeight w:val="229"/>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Gross margin</w:t>
            </w:r>
          </w:p>
        </w:tc>
        <w:tc>
          <w:tcPr>
            <w:tcW w:w="3180" w:type="dxa"/>
            <w:vAlign w:val="bottom"/>
            <w:gridSpan w:val="2"/>
          </w:tcPr>
          <w:p>
            <w:pPr>
              <w:jc w:val="right"/>
              <w:ind w:right="140"/>
              <w:spacing w:after="0"/>
              <w:rPr>
                <w:sz w:val="20"/>
                <w:szCs w:val="20"/>
                <w:color w:val="auto"/>
              </w:rPr>
            </w:pPr>
            <w:r>
              <w:rPr>
                <w:rFonts w:ascii="Arial" w:cs="Arial" w:eastAsia="Arial" w:hAnsi="Arial"/>
                <w:sz w:val="18"/>
                <w:szCs w:val="18"/>
                <w:color w:val="auto"/>
              </w:rPr>
              <w:t>Approximately 86%</w:t>
            </w:r>
          </w:p>
        </w:tc>
        <w:tc>
          <w:tcPr>
            <w:tcW w:w="2520" w:type="dxa"/>
            <w:vAlign w:val="bottom"/>
            <w:gridSpan w:val="2"/>
          </w:tcPr>
          <w:p>
            <w:pPr>
              <w:ind w:left="1020"/>
              <w:spacing w:after="0"/>
              <w:rPr>
                <w:sz w:val="20"/>
                <w:szCs w:val="20"/>
                <w:color w:val="auto"/>
              </w:rPr>
            </w:pPr>
            <w:r>
              <w:rPr>
                <w:rFonts w:ascii="Arial" w:cs="Arial" w:eastAsia="Arial" w:hAnsi="Arial"/>
                <w:sz w:val="18"/>
                <w:szCs w:val="18"/>
                <w:color w:val="auto"/>
              </w:rPr>
              <w:t>— % A</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Approximately 86%</w:t>
            </w:r>
          </w:p>
        </w:tc>
      </w:tr>
      <w:tr>
        <w:trPr>
          <w:trHeight w:val="229"/>
        </w:trPr>
        <w:tc>
          <w:tcPr>
            <w:tcW w:w="20" w:type="dxa"/>
            <w:vAlign w:val="bottom"/>
          </w:tcPr>
          <w:p>
            <w:pPr>
              <w:spacing w:after="0"/>
              <w:rPr>
                <w:sz w:val="19"/>
                <w:szCs w:val="19"/>
                <w:color w:val="auto"/>
              </w:rPr>
            </w:pPr>
          </w:p>
        </w:tc>
        <w:tc>
          <w:tcPr>
            <w:tcW w:w="3160" w:type="dxa"/>
            <w:vAlign w:val="bottom"/>
            <w:shd w:val="clear" w:color="auto" w:fill="D1D2D4"/>
          </w:tcPr>
          <w:p>
            <w:pPr>
              <w:spacing w:after="0"/>
              <w:rPr>
                <w:sz w:val="20"/>
                <w:szCs w:val="20"/>
                <w:color w:val="auto"/>
              </w:rPr>
            </w:pPr>
            <w:r>
              <w:rPr>
                <w:rFonts w:ascii="Arial" w:cs="Arial" w:eastAsia="Arial" w:hAnsi="Arial"/>
                <w:sz w:val="18"/>
                <w:szCs w:val="18"/>
                <w:color w:val="auto"/>
              </w:rPr>
              <w:t>Operating expenses</w:t>
            </w:r>
          </w:p>
        </w:tc>
        <w:tc>
          <w:tcPr>
            <w:tcW w:w="3180" w:type="dxa"/>
            <w:vAlign w:val="bottom"/>
            <w:gridSpan w:val="2"/>
            <w:shd w:val="clear" w:color="auto" w:fill="D1D2D4"/>
          </w:tcPr>
          <w:p>
            <w:pPr>
              <w:jc w:val="right"/>
              <w:ind w:right="140"/>
              <w:spacing w:after="0"/>
              <w:rPr>
                <w:sz w:val="20"/>
                <w:szCs w:val="20"/>
                <w:color w:val="auto"/>
              </w:rPr>
            </w:pPr>
            <w:r>
              <w:rPr>
                <w:rFonts w:ascii="Arial" w:cs="Arial" w:eastAsia="Arial" w:hAnsi="Arial"/>
                <w:sz w:val="18"/>
                <w:szCs w:val="18"/>
                <w:color w:val="auto"/>
              </w:rPr>
              <w:t>Approximately $1.86 billion</w:t>
            </w:r>
          </w:p>
        </w:tc>
        <w:tc>
          <w:tcPr>
            <w:tcW w:w="2520" w:type="dxa"/>
            <w:vAlign w:val="bottom"/>
            <w:gridSpan w:val="2"/>
            <w:shd w:val="clear" w:color="auto" w:fill="D1D2D4"/>
          </w:tcPr>
          <w:p>
            <w:pPr>
              <w:ind w:left="460"/>
              <w:spacing w:after="0"/>
              <w:rPr>
                <w:sz w:val="20"/>
                <w:szCs w:val="20"/>
                <w:color w:val="auto"/>
              </w:rPr>
            </w:pPr>
            <w:r>
              <w:rPr>
                <w:rFonts w:ascii="Arial" w:cs="Arial" w:eastAsia="Arial" w:hAnsi="Arial"/>
                <w:sz w:val="18"/>
                <w:szCs w:val="18"/>
                <w:color w:val="auto"/>
              </w:rPr>
              <w:t>$205 million B</w:t>
            </w:r>
          </w:p>
        </w:tc>
        <w:tc>
          <w:tcPr>
            <w:tcW w:w="60" w:type="dxa"/>
            <w:vAlign w:val="bottom"/>
            <w:shd w:val="clear" w:color="auto" w:fill="D1D2D4"/>
          </w:tcPr>
          <w:p>
            <w:pPr>
              <w:spacing w:after="0"/>
              <w:rPr>
                <w:sz w:val="19"/>
                <w:szCs w:val="19"/>
                <w:color w:val="auto"/>
              </w:rPr>
            </w:pPr>
          </w:p>
        </w:tc>
        <w:tc>
          <w:tcPr>
            <w:tcW w:w="22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Approximately $1.65 billion</w:t>
            </w:r>
          </w:p>
        </w:tc>
      </w:tr>
      <w:tr>
        <w:trPr>
          <w:trHeight w:val="311"/>
        </w:trPr>
        <w:tc>
          <w:tcPr>
            <w:tcW w:w="2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(1)</w:t>
            </w:r>
          </w:p>
        </w:tc>
        <w:tc>
          <w:tcPr>
            <w:tcW w:w="3080" w:type="dxa"/>
            <w:vAlign w:val="bottom"/>
          </w:tcPr>
          <w:p>
            <w:pPr>
              <w:jc w:val="right"/>
              <w:spacing w:after="0"/>
              <w:rPr>
                <w:sz w:val="20"/>
                <w:szCs w:val="20"/>
                <w:color w:val="auto"/>
              </w:rPr>
            </w:pPr>
            <w:r>
              <w:rPr>
                <w:rFonts w:ascii="Arial" w:cs="Arial" w:eastAsia="Arial" w:hAnsi="Arial"/>
                <w:sz w:val="18"/>
                <w:szCs w:val="18"/>
                <w:color w:val="auto"/>
              </w:rPr>
              <w:t>$30.73 ± $1.00</w:t>
            </w:r>
          </w:p>
        </w:tc>
        <w:tc>
          <w:tcPr>
            <w:tcW w:w="100" w:type="dxa"/>
            <w:vAlign w:val="bottom"/>
          </w:tcPr>
          <w:p>
            <w:pPr>
              <w:spacing w:after="0"/>
              <w:rPr>
                <w:sz w:val="24"/>
                <w:szCs w:val="24"/>
                <w:color w:val="auto"/>
              </w:rPr>
            </w:pPr>
          </w:p>
        </w:tc>
        <w:tc>
          <w:tcPr>
            <w:tcW w:w="2520" w:type="dxa"/>
            <w:vAlign w:val="bottom"/>
            <w:gridSpan w:val="2"/>
          </w:tcPr>
          <w:p>
            <w:pPr>
              <w:ind w:left="960"/>
              <w:spacing w:after="0"/>
              <w:rPr>
                <w:sz w:val="20"/>
                <w:szCs w:val="20"/>
                <w:color w:val="auto"/>
              </w:rPr>
            </w:pPr>
            <w:r>
              <w:rPr>
                <w:rFonts w:ascii="Arial" w:cs="Arial" w:eastAsia="Arial" w:hAnsi="Arial"/>
                <w:sz w:val="18"/>
                <w:szCs w:val="18"/>
                <w:color w:val="auto"/>
              </w:rPr>
              <w:t>$0.27 A, B, C</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$31.00 ± $1.00</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b w:val="1"/>
                <w:bCs w:val="1"/>
                <w:color w:val="auto"/>
              </w:rPr>
              <w:t>Non-GAAP Adjustments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40"/>
        </w:trPr>
        <w:tc>
          <w:tcPr>
            <w:tcW w:w="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3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r>
      <w:tr>
        <w:trPr>
          <w:trHeight w:val="37"/>
        </w:trPr>
        <w:tc>
          <w:tcPr>
            <w:tcW w:w="20" w:type="dxa"/>
            <w:vAlign w:val="bottom"/>
          </w:tcPr>
          <w:p>
            <w:pPr>
              <w:spacing w:after="0"/>
              <w:rPr>
                <w:sz w:val="3"/>
                <w:szCs w:val="3"/>
                <w:color w:val="auto"/>
              </w:rPr>
            </w:pPr>
          </w:p>
        </w:tc>
        <w:tc>
          <w:tcPr>
            <w:tcW w:w="316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100" w:type="dxa"/>
            <w:vAlign w:val="bottom"/>
          </w:tcPr>
          <w:p>
            <w:pPr>
              <w:spacing w:after="0"/>
              <w:rPr>
                <w:sz w:val="3"/>
                <w:szCs w:val="3"/>
                <w:color w:val="auto"/>
              </w:rPr>
            </w:pPr>
          </w:p>
        </w:tc>
      </w:tr>
      <w:tr>
        <w:trPr>
          <w:trHeight w:val="230"/>
        </w:trPr>
        <w:tc>
          <w:tcPr>
            <w:tcW w:w="20" w:type="dxa"/>
            <w:vAlign w:val="bottom"/>
            <w:shd w:val="clear" w:color="auto" w:fill="D1D2D4"/>
          </w:tcPr>
          <w:p>
            <w:pPr>
              <w:spacing w:after="0"/>
              <w:rPr>
                <w:sz w:val="19"/>
                <w:szCs w:val="19"/>
                <w:color w:val="auto"/>
              </w:rPr>
            </w:pPr>
          </w:p>
        </w:tc>
        <w:tc>
          <w:tcPr>
            <w:tcW w:w="6340" w:type="dxa"/>
            <w:vAlign w:val="bottom"/>
            <w:gridSpan w:val="3"/>
            <w:shd w:val="clear" w:color="auto" w:fill="D1D2D4"/>
          </w:tcPr>
          <w:p>
            <w:pPr>
              <w:spacing w:after="0"/>
              <w:rPr>
                <w:sz w:val="20"/>
                <w:szCs w:val="20"/>
                <w:color w:val="auto"/>
              </w:rPr>
            </w:pPr>
            <w:r>
              <w:rPr>
                <w:rFonts w:ascii="Arial" w:cs="Arial" w:eastAsia="Arial" w:hAnsi="Arial"/>
                <w:sz w:val="18"/>
                <w:szCs w:val="18"/>
                <w:color w:val="auto"/>
              </w:rPr>
              <w:t>A  Stock-based compensation – cost of goods sold</w:t>
            </w:r>
          </w:p>
        </w:tc>
        <w:tc>
          <w:tcPr>
            <w:tcW w:w="24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22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159</w:t>
            </w:r>
          </w:p>
        </w:tc>
      </w:tr>
      <w:tr>
        <w:trPr>
          <w:trHeight w:val="229"/>
        </w:trPr>
        <w:tc>
          <w:tcPr>
            <w:tcW w:w="20" w:type="dxa"/>
            <w:vAlign w:val="bottom"/>
          </w:tcPr>
          <w:p>
            <w:pPr>
              <w:spacing w:after="0"/>
              <w:rPr>
                <w:sz w:val="19"/>
                <w:szCs w:val="19"/>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B  Stock-based compensation – research and development</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20" w:type="dxa"/>
            <w:vAlign w:val="bottom"/>
            <w:shd w:val="clear" w:color="auto" w:fill="D1D2D4"/>
          </w:tcPr>
          <w:p>
            <w:pPr>
              <w:spacing w:after="0"/>
              <w:rPr>
                <w:sz w:val="19"/>
                <w:szCs w:val="19"/>
                <w:color w:val="auto"/>
              </w:rPr>
            </w:pPr>
          </w:p>
        </w:tc>
        <w:tc>
          <w:tcPr>
            <w:tcW w:w="6340" w:type="dxa"/>
            <w:vAlign w:val="bottom"/>
            <w:gridSpan w:val="3"/>
            <w:shd w:val="clear" w:color="auto" w:fill="D1D2D4"/>
          </w:tcPr>
          <w:p>
            <w:pPr>
              <w:spacing w:after="0"/>
              <w:rPr>
                <w:sz w:val="20"/>
                <w:szCs w:val="20"/>
                <w:color w:val="auto"/>
              </w:rPr>
            </w:pPr>
            <w:r>
              <w:rPr>
                <w:rFonts w:ascii="Arial" w:cs="Arial" w:eastAsia="Arial" w:hAnsi="Arial"/>
                <w:sz w:val="18"/>
                <w:szCs w:val="18"/>
                <w:color w:val="auto"/>
              </w:rPr>
              <w:t>B  Stock-based compensation – sales, general, and administrative</w:t>
            </w:r>
          </w:p>
        </w:tc>
        <w:tc>
          <w:tcPr>
            <w:tcW w:w="24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2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20" w:type="dxa"/>
            <w:vAlign w:val="bottom"/>
            <w:tcBorders>
              <w:bottom w:val="single" w:sz="8" w:color="D1D2D4"/>
            </w:tcBorders>
          </w:tcPr>
          <w:p>
            <w:pPr>
              <w:spacing w:after="0"/>
              <w:rPr>
                <w:sz w:val="19"/>
                <w:szCs w:val="19"/>
                <w:color w:val="auto"/>
              </w:rPr>
            </w:pPr>
          </w:p>
        </w:tc>
        <w:tc>
          <w:tcPr>
            <w:tcW w:w="6340" w:type="dxa"/>
            <w:vAlign w:val="bottom"/>
            <w:tcBorders>
              <w:bottom w:val="single" w:sz="8" w:color="D1D2D4"/>
            </w:tcBorders>
            <w:gridSpan w:val="3"/>
          </w:tcPr>
          <w:p>
            <w:pPr>
              <w:spacing w:after="0"/>
              <w:rPr>
                <w:sz w:val="20"/>
                <w:szCs w:val="20"/>
                <w:color w:val="auto"/>
              </w:rPr>
            </w:pPr>
            <w:r>
              <w:rPr>
                <w:rFonts w:ascii="Arial" w:cs="Arial" w:eastAsia="Arial" w:hAnsi="Arial"/>
                <w:sz w:val="18"/>
                <w:szCs w:val="18"/>
                <w:color w:val="auto"/>
              </w:rPr>
              <w:t>C  Tax effects of the above items and other tax adjustments</w:t>
            </w:r>
          </w:p>
        </w:tc>
        <w:tc>
          <w:tcPr>
            <w:tcW w:w="2400" w:type="dxa"/>
            <w:vAlign w:val="bottom"/>
            <w:tcBorders>
              <w:bottom w:val="single" w:sz="8" w:color="D1D2D4"/>
            </w:tcBorders>
          </w:tcPr>
          <w:p>
            <w:pPr>
              <w:spacing w:after="0"/>
              <w:rPr>
                <w:sz w:val="19"/>
                <w:szCs w:val="19"/>
                <w:color w:val="auto"/>
              </w:rPr>
            </w:pPr>
          </w:p>
        </w:tc>
        <w:tc>
          <w:tcPr>
            <w:tcW w:w="120" w:type="dxa"/>
            <w:vAlign w:val="bottom"/>
            <w:tcBorders>
              <w:bottom w:val="single" w:sz="8" w:color="D1D2D4"/>
            </w:tcBorders>
          </w:tcPr>
          <w:p>
            <w:pPr>
              <w:spacing w:after="0"/>
              <w:rPr>
                <w:sz w:val="19"/>
                <w:szCs w:val="19"/>
                <w:color w:val="auto"/>
              </w:rPr>
            </w:pPr>
          </w:p>
        </w:tc>
        <w:tc>
          <w:tcPr>
            <w:tcW w:w="60" w:type="dxa"/>
            <w:vAlign w:val="bottom"/>
            <w:tcBorders>
              <w:bottom w:val="single" w:sz="8" w:color="D1D2D4"/>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48"/>
        </w:trPr>
        <w:tc>
          <w:tcPr>
            <w:tcW w:w="20" w:type="dxa"/>
            <w:vAlign w:val="bottom"/>
            <w:tcBorders>
              <w:bottom w:val="single" w:sz="8" w:color="D1D2D4"/>
            </w:tcBorders>
            <w:shd w:val="clear" w:color="auto" w:fill="D1D2D4"/>
          </w:tcPr>
          <w:p>
            <w:pPr>
              <w:spacing w:after="0"/>
              <w:rPr>
                <w:sz w:val="21"/>
                <w:szCs w:val="21"/>
                <w:color w:val="auto"/>
              </w:rPr>
            </w:pPr>
          </w:p>
        </w:tc>
        <w:tc>
          <w:tcPr>
            <w:tcW w:w="3160" w:type="dxa"/>
            <w:vAlign w:val="bottom"/>
            <w:tcBorders>
              <w:bottom w:val="single" w:sz="8" w:color="D1D2D4"/>
            </w:tcBorders>
            <w:shd w:val="clear" w:color="auto" w:fill="D1D2D4"/>
          </w:tcPr>
          <w:p>
            <w:pPr>
              <w:spacing w:after="0"/>
              <w:rPr>
                <w:sz w:val="21"/>
                <w:szCs w:val="21"/>
                <w:color w:val="auto"/>
              </w:rPr>
            </w:pPr>
          </w:p>
        </w:tc>
        <w:tc>
          <w:tcPr>
            <w:tcW w:w="3080" w:type="dxa"/>
            <w:vAlign w:val="bottom"/>
            <w:tcBorders>
              <w:bottom w:val="single" w:sz="8" w:color="D1D2D4"/>
            </w:tcBorders>
            <w:shd w:val="clear" w:color="auto" w:fill="D1D2D4"/>
          </w:tcPr>
          <w:p>
            <w:pPr>
              <w:spacing w:after="0"/>
              <w:rPr>
                <w:sz w:val="21"/>
                <w:szCs w:val="21"/>
                <w:color w:val="auto"/>
              </w:rPr>
            </w:pPr>
          </w:p>
        </w:tc>
        <w:tc>
          <w:tcPr>
            <w:tcW w:w="100" w:type="dxa"/>
            <w:vAlign w:val="bottom"/>
            <w:tcBorders>
              <w:bottom w:val="single" w:sz="8" w:color="D1D2D4"/>
            </w:tcBorders>
            <w:shd w:val="clear" w:color="auto" w:fill="D1D2D4"/>
          </w:tcPr>
          <w:p>
            <w:pPr>
              <w:spacing w:after="0"/>
              <w:rPr>
                <w:sz w:val="21"/>
                <w:szCs w:val="21"/>
                <w:color w:val="auto"/>
              </w:rPr>
            </w:pPr>
          </w:p>
        </w:tc>
        <w:tc>
          <w:tcPr>
            <w:tcW w:w="2400" w:type="dxa"/>
            <w:vAlign w:val="bottom"/>
            <w:tcBorders>
              <w:bottom w:val="single" w:sz="8" w:color="D1D2D4"/>
            </w:tcBorders>
            <w:shd w:val="clear" w:color="auto" w:fill="D1D2D4"/>
          </w:tcPr>
          <w:p>
            <w:pPr>
              <w:spacing w:after="0"/>
              <w:rPr>
                <w:sz w:val="21"/>
                <w:szCs w:val="21"/>
                <w:color w:val="auto"/>
              </w:rPr>
            </w:pPr>
          </w:p>
        </w:tc>
        <w:tc>
          <w:tcPr>
            <w:tcW w:w="120" w:type="dxa"/>
            <w:vAlign w:val="bottom"/>
            <w:tcBorders>
              <w:bottom w:val="single" w:sz="8" w:color="D1D2D4"/>
            </w:tcBorders>
            <w:shd w:val="clear" w:color="auto" w:fill="D1D2D4"/>
          </w:tcPr>
          <w:p>
            <w:pPr>
              <w:spacing w:after="0"/>
              <w:rPr>
                <w:sz w:val="21"/>
                <w:szCs w:val="21"/>
                <w:color w:val="auto"/>
              </w:rPr>
            </w:pPr>
          </w:p>
        </w:tc>
        <w:tc>
          <w:tcPr>
            <w:tcW w:w="60" w:type="dxa"/>
            <w:vAlign w:val="bottom"/>
            <w:tcBorders>
              <w:bottom w:val="single" w:sz="8" w:color="D1D2D4"/>
            </w:tcBorders>
            <w:shd w:val="clear" w:color="auto" w:fill="D1D2D4"/>
          </w:tcPr>
          <w:p>
            <w:pPr>
              <w:spacing w:after="0"/>
              <w:rPr>
                <w:sz w:val="21"/>
                <w:szCs w:val="21"/>
                <w:color w:val="auto"/>
              </w:rPr>
            </w:pP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309</w:t>
            </w:r>
          </w:p>
        </w:tc>
      </w:tr>
      <w:tr>
        <w:trPr>
          <w:trHeight w:val="20"/>
        </w:trPr>
        <w:tc>
          <w:tcPr>
            <w:tcW w:w="20" w:type="dxa"/>
            <w:vAlign w:val="bottom"/>
            <w:tcBorders>
              <w:top w:val="single" w:sz="8" w:color="D1D2D4"/>
            </w:tcBorders>
          </w:tcPr>
          <w:p>
            <w:pPr>
              <w:spacing w:after="0" w:line="20" w:lineRule="exact"/>
              <w:rPr>
                <w:sz w:val="1"/>
                <w:szCs w:val="1"/>
                <w:color w:val="auto"/>
              </w:rPr>
            </w:pPr>
          </w:p>
        </w:tc>
        <w:tc>
          <w:tcPr>
            <w:tcW w:w="3160" w:type="dxa"/>
            <w:vAlign w:val="bottom"/>
            <w:tcBorders>
              <w:top w:val="single" w:sz="8" w:color="D1D2D4"/>
            </w:tcBorders>
          </w:tcPr>
          <w:p>
            <w:pPr>
              <w:spacing w:after="0" w:line="20" w:lineRule="exact"/>
              <w:rPr>
                <w:sz w:val="1"/>
                <w:szCs w:val="1"/>
                <w:color w:val="auto"/>
              </w:rPr>
            </w:pPr>
          </w:p>
        </w:tc>
        <w:tc>
          <w:tcPr>
            <w:tcW w:w="3080" w:type="dxa"/>
            <w:vAlign w:val="bottom"/>
            <w:tcBorders>
              <w:top w:val="single" w:sz="8" w:color="D1D2D4"/>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40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tcBorders>
          </w:tcPr>
          <w:p>
            <w:pPr>
              <w:spacing w:after="0" w:line="20" w:lineRule="exact"/>
              <w:rPr>
                <w:sz w:val="1"/>
                <w:szCs w:val="1"/>
                <w:color w:val="auto"/>
              </w:rPr>
            </w:pPr>
          </w:p>
        </w:tc>
        <w:tc>
          <w:tcPr>
            <w:tcW w:w="6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2100" w:type="dxa"/>
            <w:vAlign w:val="bottom"/>
            <w:tcBorders>
              <w:top w:val="single" w:sz="8" w:color="D1D2D4"/>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320" w:hanging="312"/>
        <w:spacing w:after="0"/>
        <w:tabs>
          <w:tab w:leader="none" w:pos="32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GAAP earnings per share and non-GAAP earnings per share based on approximately 1.15 billion diluted shares.</w:t>
      </w:r>
    </w:p>
    <w:p>
      <w:pPr>
        <w:spacing w:after="0" w:line="22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tables above reconcile our GAAP to non-GAAP guidance based on the current outlook. The guidance does not incorporate the impact of any potential business combinations, divestitures, additional restructuring activities, balance sheet valuation adjustments, strategic investments, financing transactions, and other significant transactions. The timing and impact of such items are dependent on future events that may be uncertain or outside of our control.</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2026-06-24T15:12:05Z</dcterms:created>
  <dcterms:modified xsi:type="dcterms:W3CDTF">2026-06-24T15:12:05Z</dcterms:modified>
</cp:coreProperties>
</file>