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16, 2023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4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900" w:type="dxa"/>
            <w:vAlign w:val="bottom"/>
          </w:tcPr>
          <w:p>
            <w:pPr>
              <w:jc w:val="center"/>
              <w:ind w:right="3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8"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34"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1951355</wp:posOffset>
            </wp:positionH>
            <wp:positionV relativeFrom="paragraph">
              <wp:posOffset>20320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5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2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580" w:type="dxa"/>
            <w:vAlign w:val="bottom"/>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MU</w:t>
            </w:r>
          </w:p>
        </w:tc>
        <w:tc>
          <w:tcPr>
            <w:tcW w:w="1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8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34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34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343"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impact of the May 21, 2023, conclusion by the Cybersecurity Administration of China (“CAC”) on the business of Micron Technology, Inc. (“Micron”) continues to remain uncertain and fluid. Several Micron customers, including mobile OEMs, are being contacted by certain Critical Information Infrastructure (“CII”) operators or representatives of the government in China concerning the future use of Micron products.</w:t>
      </w:r>
    </w:p>
    <w:p>
      <w:pPr>
        <w:spacing w:after="0" w:line="19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previously disclosed, Micron’s revenue with companies headquartered in mainland China and Hong Kong, including direct sales as well as indirect sales through distributors, is approximately a quarter of Micron’s worldwide revenue and remains the principal exposure. We now believe that approximately half of that China HQ customer revenue, which equates to a low-double-digit percentage of Micron’s worldwide revenue, is now at risk of being impacted.</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Micron is working to mitigate this impact over time and expects increased quarter-to-quarter revenue variability. Micron’s long-term goal is to retain its worldwide DRAM and NAND share.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23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760" w:val="left"/>
          <w:tab w:leader="none" w:pos="5200" w:val="left"/>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17780</wp:posOffset>
            </wp:positionV>
            <wp:extent cx="3335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2" w:lineRule="exact"/>
        <w:rPr>
          <w:sz w:val="20"/>
          <w:szCs w:val="20"/>
          <w:color w:val="auto"/>
        </w:rPr>
      </w:pPr>
    </w:p>
    <w:p>
      <w:pPr>
        <w:ind w:left="5220"/>
        <w:spacing w:after="0"/>
        <w:tabs>
          <w:tab w:leader="none" w:pos="5980" w:val="left"/>
        </w:tabs>
        <w:rPr>
          <w:sz w:val="20"/>
          <w:szCs w:val="20"/>
          <w:color w:val="auto"/>
        </w:rPr>
      </w:pPr>
      <w:r>
        <w:rPr>
          <w:rFonts w:ascii="Arial" w:cs="Arial" w:eastAsia="Arial" w:hAnsi="Arial"/>
          <w:sz w:val="18"/>
          <w:szCs w:val="18"/>
          <w:color w:val="auto"/>
        </w:rPr>
        <w:t>Name:</w:t>
        <w:tab/>
        <w:t>Mark Murphy</w:t>
      </w:r>
    </w:p>
    <w:p>
      <w:pPr>
        <w:spacing w:after="0" w:line="36" w:lineRule="exact"/>
        <w:rPr>
          <w:sz w:val="20"/>
          <w:szCs w:val="20"/>
          <w:color w:val="auto"/>
        </w:rPr>
      </w:pPr>
    </w:p>
    <w:p>
      <w:pPr>
        <w:ind w:left="5220"/>
        <w:spacing w:after="0"/>
        <w:tabs>
          <w:tab w:leader="none" w:pos="5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sectPr>
      <w:pgSz w:w="11900" w:h="16838" w:orient="portrait"/>
      <w:cols w:equalWidth="0" w:num="1">
        <w:col w:w="11180"/>
      </w:cols>
      <w:pgMar w:left="320" w:top="1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2023-06-16T08:33:23Z</dcterms:created>
  <dcterms:modified xsi:type="dcterms:W3CDTF">2023-06-16T08:33:23Z</dcterms:modified>
</cp:coreProperties>
</file>