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1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SECURITIES AND EXCHANGE COMMISSION</w:t>
      </w:r>
    </w:p>
    <w:p>
      <w:pPr>
        <w:ind w:left="264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540" w:right="273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ectPr>
          <w:pgSz w:w="11900" w:h="16838" w:orient="portrait"/>
          <w:cols w:equalWidth="0" w:num="1">
            <w:col w:w="10219"/>
          </w:cols>
          <w:pgMar w:left="240" w:top="447" w:right="1440" w:bottom="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June 1, 1995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OR</w:t>
      </w:r>
    </w:p>
    <w:p>
      <w:pPr>
        <w:spacing w:after="0" w:line="200" w:lineRule="exact"/>
        <w:rPr>
          <w:sz w:val="24"/>
          <w:szCs w:val="24"/>
          <w:color w:val="auto"/>
        </w:rPr>
      </w:pPr>
    </w:p>
    <w:p>
      <w:pPr>
        <w:sectPr>
          <w:pgSz w:w="11900" w:h="16838" w:orient="portrait"/>
          <w:cols w:equalWidth="0" w:num="2">
            <w:col w:w="3160" w:space="0"/>
            <w:col w:w="7059"/>
          </w:cols>
          <w:pgMar w:left="240" w:top="447" w:right="1440" w:bottom="0" w:gutter="0" w:footer="0" w:header="0"/>
          <w:type w:val="continuous"/>
        </w:sectPr>
      </w:pPr>
    </w:p>
    <w:p>
      <w:pPr>
        <w:spacing w:after="0" w:line="7" w:lineRule="exact"/>
        <w:rPr>
          <w:sz w:val="24"/>
          <w:szCs w:val="24"/>
          <w:color w:val="auto"/>
        </w:rPr>
      </w:pPr>
    </w:p>
    <w:p>
      <w:pPr>
        <w:ind w:left="540" w:right="26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ectPr>
          <w:pgSz w:w="11900" w:h="16838" w:orient="portrait"/>
          <w:cols w:equalWidth="0" w:num="1">
            <w:col w:w="10219"/>
          </w:cols>
          <w:pgMar w:left="240" w:top="447" w:right="1440" w:bottom="0" w:gutter="0" w:footer="0" w:header="0"/>
          <w:type w:val="continuous"/>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16" w:lineRule="exact"/>
        <w:rPr>
          <w:sz w:val="24"/>
          <w:szCs w:val="24"/>
          <w:color w:val="auto"/>
        </w:rPr>
      </w:pPr>
    </w:p>
    <w:p>
      <w:pPr>
        <w:sectPr>
          <w:pgSz w:w="11900" w:h="16838" w:orient="portrait"/>
          <w:cols w:equalWidth="0" w:num="2">
            <w:col w:w="4560" w:space="720"/>
            <w:col w:w="4939"/>
          </w:cols>
          <w:pgMar w:left="240" w:top="447" w:right="1440" w:bottom="0" w:gutter="0" w:footer="0" w:header="0"/>
          <w:type w:val="continuous"/>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2619"/>
        <w:spacing w:after="0"/>
        <w:tabs>
          <w:tab w:leader="none" w:pos="180" w:val="left"/>
        </w:tabs>
        <w:rPr>
          <w:sz w:val="20"/>
          <w:szCs w:val="20"/>
          <w:color w:val="auto"/>
        </w:rPr>
      </w:pPr>
      <w:r>
        <w:rPr>
          <w:rFonts w:ascii="Courier New" w:cs="Courier New" w:eastAsia="Courier New" w:hAnsi="Courier New"/>
          <w:sz w:val="18"/>
          <w:szCs w:val="18"/>
          <w:color w:val="auto"/>
        </w:rPr>
        <w:t>--------------------</w:t>
        <w:tab/>
        <w:t>--------------------</w:t>
      </w:r>
    </w:p>
    <w:p>
      <w:pPr>
        <w:jc w:val="center"/>
        <w:ind w:right="2739"/>
        <w:spacing w:after="0" w:line="238" w:lineRule="auto"/>
        <w:rPr>
          <w:sz w:val="20"/>
          <w:szCs w:val="20"/>
          <w:color w:val="auto"/>
        </w:rPr>
      </w:pPr>
      <w:r>
        <w:rPr>
          <w:rFonts w:ascii="Courier New" w:cs="Courier New" w:eastAsia="Courier New" w:hAnsi="Courier New"/>
          <w:sz w:val="18"/>
          <w:szCs w:val="18"/>
          <w:color w:val="auto"/>
        </w:rPr>
        <w:t>1-10658</w:t>
      </w:r>
    </w:p>
    <w:p>
      <w:pPr>
        <w:spacing w:after="0" w:line="5" w:lineRule="exact"/>
        <w:rPr>
          <w:sz w:val="24"/>
          <w:szCs w:val="24"/>
          <w:color w:val="auto"/>
        </w:rPr>
      </w:pPr>
    </w:p>
    <w:p>
      <w:pPr>
        <w:sectPr>
          <w:pgSz w:w="11900" w:h="16838" w:orient="portrait"/>
          <w:cols w:equalWidth="0" w:num="2">
            <w:col w:w="2440" w:space="720"/>
            <w:col w:w="7059"/>
          </w:cols>
          <w:pgMar w:left="240" w:top="447" w:right="1440" w:bottom="0" w:gutter="0" w:footer="0" w:header="0"/>
          <w:type w:val="continuous"/>
        </w:sect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Micron Technology, Inc.</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75-1618004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ind w:left="20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4240" w:space="720"/>
            <w:col w:w="5259"/>
          </w:cols>
          <w:pgMar w:left="240" w:top="447" w:right="1440" w:bottom="0" w:gutter="0" w:footer="0" w:header="0"/>
          <w:type w:val="continuous"/>
        </w:sectPr>
      </w:pPr>
    </w:p>
    <w:p>
      <w:pPr>
        <w:spacing w:after="0" w:line="204" w:lineRule="exact"/>
        <w:rPr>
          <w:sz w:val="24"/>
          <w:szCs w:val="24"/>
          <w:color w:val="auto"/>
        </w:rPr>
      </w:pPr>
    </w:p>
    <w:p>
      <w:pPr>
        <w:ind w:left="540"/>
        <w:spacing w:after="0"/>
        <w:tabs>
          <w:tab w:leader="none" w:pos="6520" w:val="left"/>
        </w:tabs>
        <w:rPr>
          <w:sz w:val="20"/>
          <w:szCs w:val="20"/>
          <w:color w:val="auto"/>
        </w:rPr>
      </w:pPr>
      <w:r>
        <w:rPr>
          <w:rFonts w:ascii="Courier New" w:cs="Courier New" w:eastAsia="Courier New" w:hAnsi="Courier New"/>
          <w:sz w:val="18"/>
          <w:szCs w:val="18"/>
          <w:color w:val="auto"/>
        </w:rPr>
        <w:t>8000 S. Federal Way, P.O. Box 6, Boise, Idaho</w:t>
      </w:r>
      <w:r>
        <w:rPr>
          <w:sz w:val="20"/>
          <w:szCs w:val="20"/>
          <w:color w:val="auto"/>
        </w:rPr>
        <w:tab/>
      </w:r>
      <w:r>
        <w:rPr>
          <w:rFonts w:ascii="Courier New" w:cs="Courier New" w:eastAsia="Courier New" w:hAnsi="Courier New"/>
          <w:sz w:val="16"/>
          <w:szCs w:val="16"/>
          <w:color w:val="auto"/>
        </w:rPr>
        <w:t>83707-0006</w:t>
      </w:r>
    </w:p>
    <w:p>
      <w:pPr>
        <w:sectPr>
          <w:pgSz w:w="11900" w:h="16838" w:orient="portrait"/>
          <w:cols w:equalWidth="0" w:num="1">
            <w:col w:w="10219"/>
          </w:cols>
          <w:pgMar w:left="240" w:top="447" w:right="1440" w:bottom="0" w:gutter="0" w:footer="0" w:header="0"/>
          <w:type w:val="continuous"/>
        </w:sectPr>
      </w:pP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540"/>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(208) 368-4000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800" w:space="0"/>
            <w:col w:w="4419"/>
          </w:cols>
          <w:pgMar w:left="240" w:top="447" w:right="1440" w:bottom="0" w:gutter="0" w:footer="0" w:header="0"/>
          <w:type w:val="continuous"/>
        </w:sectPr>
      </w:pPr>
    </w:p>
    <w:p>
      <w:pPr>
        <w:spacing w:after="0" w:line="24" w:lineRule="exact"/>
        <w:rPr>
          <w:sz w:val="24"/>
          <w:szCs w:val="24"/>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the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447" w:right="1440" w:bottom="0" w:gutter="0" w:footer="0" w:header="0"/>
          <w:type w:val="continuous"/>
        </w:sectPr>
      </w:pPr>
    </w:p>
    <w:p>
      <w:pPr>
        <w:spacing w:after="0" w:line="7" w:lineRule="exact"/>
        <w:rPr>
          <w:sz w:val="24"/>
          <w:szCs w:val="24"/>
          <w:color w:val="auto"/>
        </w:rPr>
      </w:pPr>
    </w:p>
    <w:p>
      <w:pPr>
        <w:ind w:left="420" w:hanging="420"/>
        <w:spacing w:after="0"/>
        <w:tabs>
          <w:tab w:leader="none" w:pos="400" w:val="left"/>
        </w:tabs>
        <w:rPr>
          <w:sz w:val="20"/>
          <w:szCs w:val="20"/>
          <w:color w:val="auto"/>
        </w:rPr>
      </w:pPr>
      <w:r>
        <w:rPr>
          <w:rFonts w:ascii="Courier New" w:cs="Courier New" w:eastAsia="Courier New" w:hAnsi="Courier New"/>
          <w:sz w:val="18"/>
          <w:szCs w:val="18"/>
          <w:color w:val="auto"/>
        </w:rPr>
        <w:t>Yes</w:t>
        <w:tab/>
        <w:t>X No ---</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1480" w:space="100"/>
            <w:col w:w="8639"/>
          </w:cols>
          <w:pgMar w:left="240" w:top="447" w:right="1440" w:bottom="0" w:gutter="0" w:footer="0" w:header="0"/>
          <w:type w:val="continuous"/>
        </w:sectPr>
      </w:pPr>
    </w:p>
    <w:p>
      <w:pPr>
        <w:spacing w:after="0" w:line="24" w:lineRule="exact"/>
        <w:rPr>
          <w:sz w:val="24"/>
          <w:szCs w:val="24"/>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The number of outstanding shares of the registrant's Common Stock as of June 15, 1995 was 206,058,586.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Consolidated Balance Sheets</w:t>
      </w:r>
    </w:p>
    <w:p>
      <w:pPr>
        <w:jc w:val="center"/>
        <w:ind w:right="3259"/>
        <w:spacing w:after="0" w:line="238" w:lineRule="auto"/>
        <w:rPr>
          <w:sz w:val="20"/>
          <w:szCs w:val="20"/>
          <w:color w:val="auto"/>
        </w:rPr>
      </w:pPr>
      <w:r>
        <w:rPr>
          <w:rFonts w:ascii="Courier New" w:cs="Courier New" w:eastAsia="Courier New" w:hAnsi="Courier New"/>
          <w:sz w:val="18"/>
          <w:szCs w:val="18"/>
          <w:color w:val="auto"/>
        </w:rPr>
        <w:t>(Dollars in millions, except for par value amount)</w:t>
      </w:r>
    </w:p>
    <w:p>
      <w:pPr>
        <w:spacing w:after="0" w:line="200" w:lineRule="exact"/>
        <w:rPr>
          <w:sz w:val="24"/>
          <w:szCs w:val="24"/>
          <w:color w:val="auto"/>
        </w:rPr>
      </w:pPr>
    </w:p>
    <w:p>
      <w:pPr>
        <w:spacing w:after="0" w:line="204" w:lineRule="exact"/>
        <w:rPr>
          <w:sz w:val="24"/>
          <w:szCs w:val="24"/>
          <w:color w:val="auto"/>
        </w:rPr>
      </w:pPr>
    </w:p>
    <w:p>
      <w:pPr>
        <w:ind w:left="4440"/>
        <w:spacing w:after="0"/>
        <w:tabs>
          <w:tab w:leader="none" w:pos="5780" w:val="left"/>
        </w:tabs>
        <w:rPr>
          <w:sz w:val="20"/>
          <w:szCs w:val="20"/>
          <w:color w:val="auto"/>
        </w:rPr>
      </w:pPr>
      <w:r>
        <w:rPr>
          <w:rFonts w:ascii="Courier New" w:cs="Courier New" w:eastAsia="Courier New" w:hAnsi="Courier New"/>
          <w:sz w:val="18"/>
          <w:szCs w:val="18"/>
          <w:color w:val="auto"/>
        </w:rPr>
        <w:t>June 1,</w:t>
      </w:r>
      <w:r>
        <w:rPr>
          <w:sz w:val="20"/>
          <w:szCs w:val="20"/>
          <w:color w:val="auto"/>
        </w:rPr>
        <w:tab/>
      </w:r>
      <w:r>
        <w:rPr>
          <w:rFonts w:ascii="Courier New" w:cs="Courier New" w:eastAsia="Courier New" w:hAnsi="Courier New"/>
          <w:sz w:val="16"/>
          <w:szCs w:val="16"/>
          <w:color w:val="auto"/>
        </w:rPr>
        <w:t>September 1,</w:t>
      </w:r>
    </w:p>
    <w:p>
      <w:pPr>
        <w:spacing w:after="0"/>
        <w:tabs>
          <w:tab w:leader="none" w:pos="4520" w:val="left"/>
          <w:tab w:leader="none" w:pos="6200" w:val="left"/>
        </w:tabs>
        <w:rPr>
          <w:sz w:val="20"/>
          <w:szCs w:val="20"/>
          <w:color w:val="auto"/>
        </w:rPr>
      </w:pPr>
      <w:r>
        <w:rPr>
          <w:rFonts w:ascii="Courier New" w:cs="Courier New" w:eastAsia="Courier New" w:hAnsi="Courier New"/>
          <w:sz w:val="18"/>
          <w:szCs w:val="18"/>
          <w:color w:val="auto"/>
        </w:rPr>
        <w:t>As of</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6"/>
          <w:szCs w:val="16"/>
          <w:color w:val="auto"/>
        </w:rPr>
        <w:t>1994</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(Unaudited)</w:t>
      </w:r>
    </w:p>
    <w:p>
      <w:pPr>
        <w:sectPr>
          <w:pgSz w:w="11900" w:h="16838" w:orient="portrait"/>
          <w:cols w:equalWidth="0" w:num="1">
            <w:col w:w="10219"/>
          </w:cols>
          <w:pgMar w:left="240" w:top="447"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equivalents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118.2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78.4</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Liquid investments</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505.5</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354.6</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342.5</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235.7</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197.3</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101.1</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7.6</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35.1</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4280" w:type="dxa"/>
            <w:vAlign w:val="bottom"/>
          </w:tcPr>
          <w:p>
            <w:pPr>
              <w:spacing w:after="0"/>
              <w:rPr>
                <w:sz w:val="17"/>
                <w:szCs w:val="17"/>
                <w:color w:val="auto"/>
              </w:rPr>
            </w:pPr>
          </w:p>
        </w:tc>
        <w:tc>
          <w:tcPr>
            <w:tcW w:w="14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1,206.2</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793.2</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Product and process technology, net</w:t>
            </w:r>
          </w:p>
        </w:tc>
        <w:tc>
          <w:tcPr>
            <w:tcW w:w="160" w:type="dxa"/>
            <w:vAlign w:val="bottom"/>
          </w:tcPr>
          <w:p>
            <w:pPr>
              <w:spacing w:after="0"/>
              <w:rPr>
                <w:sz w:val="24"/>
                <w:szCs w:val="24"/>
                <w:color w:val="auto"/>
              </w:rPr>
            </w:pPr>
          </w:p>
        </w:tc>
        <w:tc>
          <w:tcPr>
            <w:tcW w:w="13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42.6</w:t>
            </w:r>
          </w:p>
        </w:tc>
        <w:tc>
          <w:tcPr>
            <w:tcW w:w="58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48.2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1,100.3</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663.5</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54.9</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24.8</w:t>
            </w:r>
          </w:p>
        </w:tc>
      </w:tr>
      <w:tr>
        <w:trPr>
          <w:trHeight w:val="203"/>
        </w:trPr>
        <w:tc>
          <w:tcPr>
            <w:tcW w:w="4280" w:type="dxa"/>
            <w:vAlign w:val="bottom"/>
          </w:tcPr>
          <w:p>
            <w:pPr>
              <w:spacing w:after="0"/>
              <w:rPr>
                <w:sz w:val="17"/>
                <w:szCs w:val="17"/>
                <w:color w:val="auto"/>
              </w:rPr>
            </w:pPr>
          </w:p>
        </w:tc>
        <w:tc>
          <w:tcPr>
            <w:tcW w:w="14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assets</w:t>
            </w:r>
          </w:p>
        </w:tc>
        <w:tc>
          <w:tcPr>
            <w:tcW w:w="14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$2,404.0</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$1,529.7</w:t>
            </w:r>
          </w:p>
        </w:tc>
      </w:tr>
      <w:tr>
        <w:trPr>
          <w:trHeight w:val="203"/>
        </w:trPr>
        <w:tc>
          <w:tcPr>
            <w:tcW w:w="4280" w:type="dxa"/>
            <w:vAlign w:val="bottom"/>
          </w:tcPr>
          <w:p>
            <w:pPr>
              <w:spacing w:after="0"/>
              <w:rPr>
                <w:sz w:val="17"/>
                <w:szCs w:val="17"/>
                <w:color w:val="auto"/>
              </w:rPr>
            </w:pPr>
          </w:p>
        </w:tc>
        <w:tc>
          <w:tcPr>
            <w:tcW w:w="14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415.7</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13.3</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 purchase contracts</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57.0</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31.2</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25.9</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29.8</w:t>
            </w:r>
          </w:p>
        </w:tc>
      </w:tr>
      <w:tr>
        <w:trPr>
          <w:trHeight w:val="203"/>
        </w:trPr>
        <w:tc>
          <w:tcPr>
            <w:tcW w:w="4280" w:type="dxa"/>
            <w:vAlign w:val="bottom"/>
          </w:tcPr>
          <w:p>
            <w:pPr>
              <w:spacing w:after="0"/>
              <w:rPr>
                <w:sz w:val="17"/>
                <w:szCs w:val="17"/>
                <w:color w:val="auto"/>
              </w:rPr>
            </w:pPr>
          </w:p>
        </w:tc>
        <w:tc>
          <w:tcPr>
            <w:tcW w:w="14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511.9</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274.2</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60" w:type="dxa"/>
            <w:vAlign w:val="bottom"/>
          </w:tcPr>
          <w:p>
            <w:pPr>
              <w:spacing w:after="0"/>
              <w:rPr>
                <w:sz w:val="24"/>
                <w:szCs w:val="24"/>
                <w:color w:val="auto"/>
              </w:rPr>
            </w:pPr>
          </w:p>
        </w:tc>
        <w:tc>
          <w:tcPr>
            <w:tcW w:w="13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162.4</w:t>
            </w:r>
          </w:p>
        </w:tc>
        <w:tc>
          <w:tcPr>
            <w:tcW w:w="58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124.7</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66.4</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54.1</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45.7</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27.4</w:t>
            </w:r>
          </w:p>
        </w:tc>
      </w:tr>
      <w:tr>
        <w:trPr>
          <w:trHeight w:val="203"/>
        </w:trPr>
        <w:tc>
          <w:tcPr>
            <w:tcW w:w="4280" w:type="dxa"/>
            <w:vAlign w:val="bottom"/>
          </w:tcPr>
          <w:p>
            <w:pPr>
              <w:spacing w:after="0"/>
              <w:rPr>
                <w:sz w:val="17"/>
                <w:szCs w:val="17"/>
                <w:color w:val="auto"/>
              </w:rPr>
            </w:pPr>
          </w:p>
        </w:tc>
        <w:tc>
          <w:tcPr>
            <w:tcW w:w="14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786.4</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480.4</w:t>
            </w:r>
          </w:p>
        </w:tc>
      </w:tr>
      <w:tr>
        <w:trPr>
          <w:trHeight w:val="203"/>
        </w:trPr>
        <w:tc>
          <w:tcPr>
            <w:tcW w:w="4280" w:type="dxa"/>
            <w:vAlign w:val="bottom"/>
          </w:tcPr>
          <w:p>
            <w:pPr>
              <w:spacing w:after="0"/>
              <w:rPr>
                <w:sz w:val="17"/>
                <w:szCs w:val="17"/>
                <w:color w:val="auto"/>
              </w:rPr>
            </w:pPr>
          </w:p>
        </w:tc>
        <w:tc>
          <w:tcPr>
            <w:tcW w:w="14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$0.10 par value,</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authorized 300.0 million shares,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issued and outstanding 206.0</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million and 203.8 million</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respectively</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20.6</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387.7</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369.7</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1,213.3</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670.8</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Unamortized stock compensation</w:t>
            </w:r>
          </w:p>
        </w:tc>
        <w:tc>
          <w:tcPr>
            <w:tcW w:w="16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(4.0)</w:t>
            </w:r>
          </w:p>
        </w:tc>
        <w:tc>
          <w:tcPr>
            <w:tcW w:w="5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280" w:type="dxa"/>
            <w:vAlign w:val="bottom"/>
          </w:tcPr>
          <w:p>
            <w:pPr>
              <w:spacing w:after="0"/>
              <w:rPr>
                <w:sz w:val="17"/>
                <w:szCs w:val="17"/>
                <w:color w:val="auto"/>
              </w:rPr>
            </w:pPr>
          </w:p>
        </w:tc>
        <w:tc>
          <w:tcPr>
            <w:tcW w:w="14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6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1,617.6</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1,049.3</w:t>
            </w:r>
          </w:p>
        </w:tc>
      </w:tr>
      <w:tr>
        <w:trPr>
          <w:trHeight w:val="203"/>
        </w:trPr>
        <w:tc>
          <w:tcPr>
            <w:tcW w:w="4280" w:type="dxa"/>
            <w:vAlign w:val="bottom"/>
          </w:tcPr>
          <w:p>
            <w:pPr>
              <w:spacing w:after="0"/>
              <w:rPr>
                <w:sz w:val="17"/>
                <w:szCs w:val="17"/>
                <w:color w:val="auto"/>
              </w:rPr>
            </w:pPr>
          </w:p>
        </w:tc>
        <w:tc>
          <w:tcPr>
            <w:tcW w:w="14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Total liabilities and shareholders'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equity</w:t>
            </w:r>
          </w:p>
        </w:tc>
        <w:tc>
          <w:tcPr>
            <w:tcW w:w="14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$2,404.0</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$1,529.7</w:t>
            </w:r>
          </w:p>
        </w:tc>
      </w:tr>
      <w:tr>
        <w:trPr>
          <w:trHeight w:val="203"/>
        </w:trPr>
        <w:tc>
          <w:tcPr>
            <w:tcW w:w="4280" w:type="dxa"/>
            <w:vAlign w:val="bottom"/>
          </w:tcPr>
          <w:p>
            <w:pPr>
              <w:spacing w:after="0"/>
              <w:rPr>
                <w:sz w:val="17"/>
                <w:szCs w:val="17"/>
                <w:color w:val="auto"/>
              </w:rPr>
            </w:pPr>
          </w:p>
        </w:tc>
        <w:tc>
          <w:tcPr>
            <w:tcW w:w="14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ind w:left="3380"/>
        <w:spacing w:after="0" w:line="238" w:lineRule="auto"/>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2" w:name="page3"/>
    <w:bookmarkEnd w:id="2"/>
    <w:p>
      <w:pPr>
        <w:jc w:val="center"/>
        <w:ind w:right="313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Consolidated Statements of Operations</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(Amounts in millions, except for per share data)</w:t>
      </w:r>
    </w:p>
    <w:p>
      <w:pPr>
        <w:jc w:val="center"/>
        <w:ind w:right="313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40"/>
        <w:spacing w:after="0"/>
        <w:tabs>
          <w:tab w:leader="none" w:pos="6300" w:val="left"/>
        </w:tabs>
        <w:rPr>
          <w:sz w:val="20"/>
          <w:szCs w:val="20"/>
          <w:color w:val="auto"/>
        </w:rPr>
      </w:pPr>
      <w:r>
        <w:rPr>
          <w:rFonts w:ascii="Courier New" w:cs="Courier New" w:eastAsia="Courier New" w:hAnsi="Courier New"/>
          <w:sz w:val="18"/>
          <w:szCs w:val="18"/>
          <w:color w:val="auto"/>
        </w:rPr>
        <w:t>June 1,</w:t>
      </w:r>
      <w:r>
        <w:rPr>
          <w:sz w:val="20"/>
          <w:szCs w:val="20"/>
          <w:color w:val="auto"/>
        </w:rPr>
        <w:tab/>
      </w:r>
      <w:r>
        <w:rPr>
          <w:rFonts w:ascii="Courier New" w:cs="Courier New" w:eastAsia="Courier New" w:hAnsi="Courier New"/>
          <w:sz w:val="16"/>
          <w:szCs w:val="16"/>
          <w:color w:val="auto"/>
        </w:rPr>
        <w:t>June 2,</w:t>
      </w:r>
    </w:p>
    <w:p>
      <w:pPr>
        <w:spacing w:after="0"/>
        <w:tabs>
          <w:tab w:leader="none" w:pos="4520" w:val="left"/>
          <w:tab w:leader="none" w:pos="6420" w:val="left"/>
        </w:tabs>
        <w:rPr>
          <w:sz w:val="20"/>
          <w:szCs w:val="20"/>
          <w:color w:val="auto"/>
        </w:rPr>
      </w:pPr>
      <w:r>
        <w:rPr>
          <w:rFonts w:ascii="Courier New" w:cs="Courier New" w:eastAsia="Courier New" w:hAnsi="Courier New"/>
          <w:sz w:val="18"/>
          <w:szCs w:val="18"/>
          <w:color w:val="auto"/>
        </w:rPr>
        <w:t>For the quarter ended</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6"/>
          <w:szCs w:val="16"/>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761.2</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426.4</w:t>
            </w:r>
          </w:p>
        </w:tc>
      </w:tr>
      <w:tr>
        <w:trPr>
          <w:trHeight w:val="203"/>
        </w:trPr>
        <w:tc>
          <w:tcPr>
            <w:tcW w:w="4160" w:type="dxa"/>
            <w:vAlign w:val="bottom"/>
          </w:tcPr>
          <w:p>
            <w:pPr>
              <w:spacing w:after="0"/>
              <w:rPr>
                <w:sz w:val="17"/>
                <w:szCs w:val="17"/>
                <w:color w:val="auto"/>
              </w:rPr>
            </w:pPr>
          </w:p>
        </w:tc>
        <w:tc>
          <w:tcPr>
            <w:tcW w:w="15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3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357.2</w:t>
            </w:r>
          </w:p>
        </w:tc>
        <w:tc>
          <w:tcPr>
            <w:tcW w:w="6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207.0</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3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54.4</w:t>
            </w:r>
          </w:p>
        </w:tc>
        <w:tc>
          <w:tcPr>
            <w:tcW w:w="6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3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33.6</w:t>
            </w:r>
          </w:p>
        </w:tc>
        <w:tc>
          <w:tcPr>
            <w:tcW w:w="6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w:t>
            </w:r>
          </w:p>
        </w:tc>
      </w:tr>
      <w:tr>
        <w:trPr>
          <w:trHeight w:val="203"/>
        </w:trPr>
        <w:tc>
          <w:tcPr>
            <w:tcW w:w="4160" w:type="dxa"/>
            <w:vAlign w:val="bottom"/>
          </w:tcPr>
          <w:p>
            <w:pPr>
              <w:spacing w:after="0"/>
              <w:rPr>
                <w:sz w:val="17"/>
                <w:szCs w:val="17"/>
                <w:color w:val="auto"/>
              </w:rPr>
            </w:pPr>
          </w:p>
        </w:tc>
        <w:tc>
          <w:tcPr>
            <w:tcW w:w="15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3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445.2</w:t>
            </w:r>
          </w:p>
        </w:tc>
        <w:tc>
          <w:tcPr>
            <w:tcW w:w="6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265.7</w:t>
            </w:r>
          </w:p>
        </w:tc>
      </w:tr>
      <w:tr>
        <w:trPr>
          <w:trHeight w:val="203"/>
        </w:trPr>
        <w:tc>
          <w:tcPr>
            <w:tcW w:w="4160" w:type="dxa"/>
            <w:vAlign w:val="bottom"/>
          </w:tcPr>
          <w:p>
            <w:pPr>
              <w:spacing w:after="0"/>
              <w:rPr>
                <w:sz w:val="17"/>
                <w:szCs w:val="17"/>
                <w:color w:val="auto"/>
              </w:rPr>
            </w:pPr>
          </w:p>
        </w:tc>
        <w:tc>
          <w:tcPr>
            <w:tcW w:w="15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380" w:type="dxa"/>
            <w:vAlign w:val="bottom"/>
          </w:tcPr>
          <w:p>
            <w:pPr>
              <w:spacing w:after="0"/>
              <w:rPr>
                <w:sz w:val="24"/>
                <w:szCs w:val="24"/>
                <w:color w:val="auto"/>
              </w:rPr>
            </w:pP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316.0</w:t>
            </w:r>
          </w:p>
        </w:tc>
        <w:tc>
          <w:tcPr>
            <w:tcW w:w="6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160.7</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from merger transaction</w:t>
            </w:r>
          </w:p>
        </w:tc>
        <w:tc>
          <w:tcPr>
            <w:tcW w:w="3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29.0</w:t>
            </w:r>
          </w:p>
        </w:tc>
        <w:tc>
          <w:tcPr>
            <w:tcW w:w="6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net</w:t>
            </w:r>
          </w:p>
        </w:tc>
        <w:tc>
          <w:tcPr>
            <w:tcW w:w="3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7.4</w:t>
            </w:r>
          </w:p>
        </w:tc>
        <w:tc>
          <w:tcPr>
            <w:tcW w:w="6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4160" w:type="dxa"/>
            <w:vAlign w:val="bottom"/>
          </w:tcPr>
          <w:p>
            <w:pPr>
              <w:spacing w:after="0"/>
              <w:rPr>
                <w:sz w:val="17"/>
                <w:szCs w:val="17"/>
                <w:color w:val="auto"/>
              </w:rPr>
            </w:pPr>
          </w:p>
        </w:tc>
        <w:tc>
          <w:tcPr>
            <w:tcW w:w="15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3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352.4</w:t>
            </w:r>
          </w:p>
        </w:tc>
        <w:tc>
          <w:tcPr>
            <w:tcW w:w="6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163.0</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Income tax provision</w:t>
            </w:r>
          </w:p>
        </w:tc>
        <w:tc>
          <w:tcPr>
            <w:tcW w:w="380" w:type="dxa"/>
            <w:vAlign w:val="bottom"/>
          </w:tcPr>
          <w:p>
            <w:pPr>
              <w:spacing w:after="0"/>
              <w:rPr>
                <w:sz w:val="24"/>
                <w:szCs w:val="24"/>
                <w:color w:val="auto"/>
              </w:rPr>
            </w:pP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132.2</w:t>
            </w:r>
          </w:p>
        </w:tc>
        <w:tc>
          <w:tcPr>
            <w:tcW w:w="6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58.7</w:t>
            </w:r>
          </w:p>
        </w:tc>
      </w:tr>
      <w:tr>
        <w:trPr>
          <w:trHeight w:val="203"/>
        </w:trPr>
        <w:tc>
          <w:tcPr>
            <w:tcW w:w="4160" w:type="dxa"/>
            <w:vAlign w:val="bottom"/>
          </w:tcPr>
          <w:p>
            <w:pPr>
              <w:spacing w:after="0"/>
              <w:rPr>
                <w:sz w:val="17"/>
                <w:szCs w:val="17"/>
                <w:color w:val="auto"/>
              </w:rPr>
            </w:pPr>
          </w:p>
        </w:tc>
        <w:tc>
          <w:tcPr>
            <w:tcW w:w="15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220.2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104.3</w:t>
            </w:r>
          </w:p>
        </w:tc>
      </w:tr>
      <w:tr>
        <w:trPr>
          <w:trHeight w:val="203"/>
        </w:trPr>
        <w:tc>
          <w:tcPr>
            <w:tcW w:w="4160" w:type="dxa"/>
            <w:vAlign w:val="bottom"/>
          </w:tcPr>
          <w:p>
            <w:pPr>
              <w:spacing w:after="0"/>
              <w:rPr>
                <w:sz w:val="17"/>
                <w:szCs w:val="17"/>
                <w:color w:val="auto"/>
              </w:rPr>
            </w:pPr>
          </w:p>
        </w:tc>
        <w:tc>
          <w:tcPr>
            <w:tcW w:w="15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3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$1.02</w:t>
            </w:r>
          </w:p>
        </w:tc>
        <w:tc>
          <w:tcPr>
            <w:tcW w:w="6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$0.49</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3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1.02</w:t>
            </w:r>
          </w:p>
        </w:tc>
        <w:tc>
          <w:tcPr>
            <w:tcW w:w="6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0.49</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calculations: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3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215.1</w:t>
            </w:r>
          </w:p>
        </w:tc>
        <w:tc>
          <w:tcPr>
            <w:tcW w:w="6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211.3</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3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215.8</w:t>
            </w:r>
          </w:p>
        </w:tc>
        <w:tc>
          <w:tcPr>
            <w:tcW w:w="6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211.4</w:t>
            </w:r>
          </w:p>
        </w:tc>
      </w:tr>
      <w:tr>
        <w:trPr>
          <w:trHeight w:val="608"/>
        </w:trPr>
        <w:tc>
          <w:tcPr>
            <w:tcW w:w="4160" w:type="dxa"/>
            <w:vAlign w:val="bottom"/>
          </w:tcPr>
          <w:p>
            <w:pPr>
              <w:spacing w:after="0"/>
              <w:rPr>
                <w:sz w:val="20"/>
                <w:szCs w:val="20"/>
                <w:color w:val="auto"/>
              </w:rPr>
            </w:pPr>
            <w:r>
              <w:rPr>
                <w:rFonts w:ascii="Courier New" w:cs="Courier New" w:eastAsia="Courier New" w:hAnsi="Courier New"/>
                <w:sz w:val="18"/>
                <w:szCs w:val="18"/>
                <w:color w:val="auto"/>
              </w:rPr>
              <w:t>Cash dividend declared per share</w:t>
            </w:r>
          </w:p>
        </w:tc>
        <w:tc>
          <w:tcPr>
            <w:tcW w:w="380" w:type="dxa"/>
            <w:vAlign w:val="bottom"/>
          </w:tcPr>
          <w:p>
            <w:pPr>
              <w:spacing w:after="0"/>
              <w:rPr>
                <w:sz w:val="24"/>
                <w:szCs w:val="24"/>
                <w:color w:val="auto"/>
              </w:rPr>
            </w:pP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$0.05</w:t>
            </w:r>
          </w:p>
        </w:tc>
        <w:tc>
          <w:tcPr>
            <w:tcW w:w="6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ind w:left="3380"/>
        <w:spacing w:after="0" w:line="238" w:lineRule="auto"/>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313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Consolidated Statements of Operations</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(Amounts in millions, except for per share data)</w:t>
      </w:r>
    </w:p>
    <w:p>
      <w:pPr>
        <w:jc w:val="center"/>
        <w:ind w:right="313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40"/>
        <w:spacing w:after="0"/>
        <w:tabs>
          <w:tab w:leader="none" w:pos="6300" w:val="left"/>
        </w:tabs>
        <w:rPr>
          <w:sz w:val="20"/>
          <w:szCs w:val="20"/>
          <w:color w:val="auto"/>
        </w:rPr>
      </w:pPr>
      <w:r>
        <w:rPr>
          <w:rFonts w:ascii="Courier New" w:cs="Courier New" w:eastAsia="Courier New" w:hAnsi="Courier New"/>
          <w:sz w:val="18"/>
          <w:szCs w:val="18"/>
          <w:color w:val="auto"/>
        </w:rPr>
        <w:t>June 1,</w:t>
      </w:r>
      <w:r>
        <w:rPr>
          <w:sz w:val="20"/>
          <w:szCs w:val="20"/>
          <w:color w:val="auto"/>
        </w:rPr>
        <w:tab/>
      </w:r>
      <w:r>
        <w:rPr>
          <w:rFonts w:ascii="Courier New" w:cs="Courier New" w:eastAsia="Courier New" w:hAnsi="Courier New"/>
          <w:sz w:val="16"/>
          <w:szCs w:val="16"/>
          <w:color w:val="auto"/>
        </w:rPr>
        <w:t>June 2,</w:t>
      </w:r>
    </w:p>
    <w:p>
      <w:pPr>
        <w:spacing w:after="0"/>
        <w:tabs>
          <w:tab w:leader="none" w:pos="4520" w:val="left"/>
          <w:tab w:leader="none" w:pos="6420" w:val="left"/>
        </w:tabs>
        <w:rPr>
          <w:sz w:val="20"/>
          <w:szCs w:val="20"/>
          <w:color w:val="auto"/>
        </w:rPr>
      </w:pPr>
      <w:r>
        <w:rPr>
          <w:rFonts w:ascii="Courier New" w:cs="Courier New" w:eastAsia="Courier New" w:hAnsi="Courier New"/>
          <w:sz w:val="18"/>
          <w:szCs w:val="18"/>
          <w:color w:val="auto"/>
        </w:rPr>
        <w:t>For the nine months ended</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6"/>
          <w:szCs w:val="16"/>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5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$1,924.7</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$1,137.0</w:t>
            </w:r>
          </w:p>
        </w:tc>
      </w:tr>
      <w:tr>
        <w:trPr>
          <w:trHeight w:val="203"/>
        </w:trPr>
        <w:tc>
          <w:tcPr>
            <w:tcW w:w="416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849.2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577.7</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131.6</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103.0</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89.5</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55.9</w:t>
            </w:r>
          </w:p>
        </w:tc>
      </w:tr>
      <w:tr>
        <w:trPr>
          <w:trHeight w:val="203"/>
        </w:trPr>
        <w:tc>
          <w:tcPr>
            <w:tcW w:w="416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1,070.3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736.6</w:t>
            </w:r>
          </w:p>
        </w:tc>
      </w:tr>
      <w:tr>
        <w:trPr>
          <w:trHeight w:val="203"/>
        </w:trPr>
        <w:tc>
          <w:tcPr>
            <w:tcW w:w="416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5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854.4</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400.4</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from merger transaction</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29.0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net</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416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900.8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404.1</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Income tax provision</w:t>
            </w:r>
          </w:p>
        </w:tc>
        <w:tc>
          <w:tcPr>
            <w:tcW w:w="15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337.8</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145.5</w:t>
            </w:r>
          </w:p>
        </w:tc>
      </w:tr>
      <w:tr>
        <w:trPr>
          <w:trHeight w:val="203"/>
        </w:trPr>
        <w:tc>
          <w:tcPr>
            <w:tcW w:w="416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563.0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258.6</w:t>
            </w:r>
          </w:p>
        </w:tc>
      </w:tr>
      <w:tr>
        <w:trPr>
          <w:trHeight w:val="203"/>
        </w:trPr>
        <w:tc>
          <w:tcPr>
            <w:tcW w:w="416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$2.65</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2.62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calculations:</w:t>
            </w: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212.7</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208.2</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214.7</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209.8</w:t>
            </w:r>
          </w:p>
        </w:tc>
      </w:tr>
      <w:tr>
        <w:trPr>
          <w:trHeight w:val="608"/>
        </w:trPr>
        <w:tc>
          <w:tcPr>
            <w:tcW w:w="4160" w:type="dxa"/>
            <w:vAlign w:val="bottom"/>
          </w:tcPr>
          <w:p>
            <w:pPr>
              <w:spacing w:after="0"/>
              <w:rPr>
                <w:sz w:val="20"/>
                <w:szCs w:val="20"/>
                <w:color w:val="auto"/>
              </w:rPr>
            </w:pPr>
            <w:r>
              <w:rPr>
                <w:rFonts w:ascii="Courier New" w:cs="Courier New" w:eastAsia="Courier New" w:hAnsi="Courier New"/>
                <w:sz w:val="18"/>
                <w:szCs w:val="18"/>
                <w:color w:val="auto"/>
              </w:rPr>
              <w:t>Cash dividend declared per share</w:t>
            </w:r>
          </w:p>
        </w:tc>
        <w:tc>
          <w:tcPr>
            <w:tcW w:w="15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$0.10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$0.035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ind w:left="3380"/>
        <w:spacing w:after="0" w:line="238" w:lineRule="auto"/>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313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Consolidated Statements of Cash Flows</w:t>
      </w:r>
    </w:p>
    <w:p>
      <w:pPr>
        <w:jc w:val="center"/>
        <w:ind w:right="3139"/>
        <w:spacing w:after="0" w:line="238" w:lineRule="auto"/>
        <w:rPr>
          <w:sz w:val="20"/>
          <w:szCs w:val="20"/>
          <w:color w:val="auto"/>
        </w:rPr>
      </w:pPr>
      <w:r>
        <w:rPr>
          <w:rFonts w:ascii="Courier New" w:cs="Courier New" w:eastAsia="Courier New" w:hAnsi="Courier New"/>
          <w:sz w:val="18"/>
          <w:szCs w:val="18"/>
          <w:color w:val="auto"/>
        </w:rPr>
        <w:t>(Dollars in millions)</w:t>
      </w:r>
    </w:p>
    <w:p>
      <w:pPr>
        <w:jc w:val="center"/>
        <w:ind w:right="313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40"/>
        <w:spacing w:after="0"/>
        <w:tabs>
          <w:tab w:leader="none" w:pos="6300" w:val="left"/>
        </w:tabs>
        <w:rPr>
          <w:sz w:val="20"/>
          <w:szCs w:val="20"/>
          <w:color w:val="auto"/>
        </w:rPr>
      </w:pPr>
      <w:r>
        <w:rPr>
          <w:rFonts w:ascii="Courier New" w:cs="Courier New" w:eastAsia="Courier New" w:hAnsi="Courier New"/>
          <w:sz w:val="18"/>
          <w:szCs w:val="18"/>
          <w:color w:val="auto"/>
        </w:rPr>
        <w:t>June 1,</w:t>
      </w:r>
      <w:r>
        <w:rPr>
          <w:sz w:val="20"/>
          <w:szCs w:val="20"/>
          <w:color w:val="auto"/>
        </w:rPr>
        <w:tab/>
      </w:r>
      <w:r>
        <w:rPr>
          <w:rFonts w:ascii="Courier New" w:cs="Courier New" w:eastAsia="Courier New" w:hAnsi="Courier New"/>
          <w:sz w:val="16"/>
          <w:szCs w:val="16"/>
          <w:color w:val="auto"/>
        </w:rPr>
        <w:t>June 2,</w:t>
      </w:r>
    </w:p>
    <w:p>
      <w:pPr>
        <w:spacing w:after="0"/>
        <w:tabs>
          <w:tab w:leader="none" w:pos="4520" w:val="left"/>
          <w:tab w:leader="none" w:pos="6420" w:val="left"/>
        </w:tabs>
        <w:rPr>
          <w:sz w:val="20"/>
          <w:szCs w:val="20"/>
          <w:color w:val="auto"/>
        </w:rPr>
      </w:pPr>
      <w:r>
        <w:rPr>
          <w:rFonts w:ascii="Courier New" w:cs="Courier New" w:eastAsia="Courier New" w:hAnsi="Courier New"/>
          <w:sz w:val="18"/>
          <w:szCs w:val="18"/>
          <w:color w:val="auto"/>
        </w:rPr>
        <w:t>For the nine months ended</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6"/>
          <w:szCs w:val="16"/>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563.0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258.6</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w:t>
            </w:r>
          </w:p>
        </w:tc>
        <w:tc>
          <w:tcPr>
            <w:tcW w:w="16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137.6</w:t>
            </w:r>
          </w:p>
        </w:tc>
        <w:tc>
          <w:tcPr>
            <w:tcW w:w="64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100.9</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Gain from merger transaction</w:t>
            </w:r>
          </w:p>
        </w:tc>
        <w:tc>
          <w:tcPr>
            <w:tcW w:w="16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(29.0)</w:t>
            </w:r>
          </w:p>
        </w:tc>
        <w:tc>
          <w:tcPr>
            <w:tcW w:w="64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Change in assets and liabilities, net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effects of merger transaction: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receivables</w:t>
            </w:r>
          </w:p>
        </w:tc>
        <w:tc>
          <w:tcPr>
            <w:tcW w:w="16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(84.9)</w:t>
            </w:r>
          </w:p>
        </w:tc>
        <w:tc>
          <w:tcPr>
            <w:tcW w:w="6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w:t>
            </w:r>
          </w:p>
        </w:tc>
      </w:tr>
      <w:tr>
        <w:trPr>
          <w:trHeight w:val="203"/>
        </w:trPr>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16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(68.5)</w:t>
            </w:r>
          </w:p>
        </w:tc>
        <w:tc>
          <w:tcPr>
            <w:tcW w:w="6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w:t>
            </w:r>
          </w:p>
        </w:tc>
      </w:tr>
      <w:tr>
        <w:trPr>
          <w:trHeight w:val="203"/>
        </w:trPr>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accounts payable and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6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162.8</w:t>
            </w:r>
          </w:p>
        </w:tc>
        <w:tc>
          <w:tcPr>
            <w:tcW w:w="64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44.7</w:t>
            </w:r>
          </w:p>
        </w:tc>
      </w:tr>
      <w:tr>
        <w:trPr>
          <w:trHeight w:val="203"/>
        </w:trPr>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w:t>
            </w:r>
          </w:p>
        </w:tc>
        <w:tc>
          <w:tcPr>
            <w:tcW w:w="16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12.7</w:t>
            </w:r>
          </w:p>
        </w:tc>
        <w:tc>
          <w:tcPr>
            <w:tcW w:w="64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57.8</w:t>
            </w:r>
          </w:p>
        </w:tc>
      </w:tr>
      <w:tr>
        <w:trPr>
          <w:trHeight w:val="203"/>
        </w:trPr>
        <w:tc>
          <w:tcPr>
            <w:tcW w:w="4320" w:type="dxa"/>
            <w:vAlign w:val="bottom"/>
          </w:tcPr>
          <w:p>
            <w:pPr>
              <w:spacing w:after="0"/>
              <w:rPr>
                <w:sz w:val="17"/>
                <w:szCs w:val="17"/>
                <w:color w:val="auto"/>
              </w:rPr>
            </w:pPr>
          </w:p>
        </w:tc>
        <w:tc>
          <w:tcPr>
            <w:tcW w:w="14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activities</w:t>
            </w:r>
          </w:p>
        </w:tc>
        <w:tc>
          <w:tcPr>
            <w:tcW w:w="16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693.7</w:t>
            </w:r>
          </w:p>
        </w:tc>
        <w:tc>
          <w:tcPr>
            <w:tcW w:w="64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390.2</w:t>
            </w:r>
          </w:p>
        </w:tc>
      </w:tr>
      <w:tr>
        <w:trPr>
          <w:trHeight w:val="203"/>
        </w:trPr>
        <w:tc>
          <w:tcPr>
            <w:tcW w:w="4320" w:type="dxa"/>
            <w:vAlign w:val="bottom"/>
          </w:tcPr>
          <w:p>
            <w:pPr>
              <w:spacing w:after="0"/>
              <w:rPr>
                <w:sz w:val="17"/>
                <w:szCs w:val="17"/>
                <w:color w:val="auto"/>
              </w:rPr>
            </w:pPr>
          </w:p>
        </w:tc>
        <w:tc>
          <w:tcPr>
            <w:tcW w:w="14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 investments</w:t>
            </w:r>
          </w:p>
        </w:tc>
        <w:tc>
          <w:tcPr>
            <w:tcW w:w="16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(551.1)</w:t>
            </w:r>
          </w:p>
        </w:tc>
        <w:tc>
          <w:tcPr>
            <w:tcW w:w="6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 and maturity of</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403.7</w:t>
            </w:r>
          </w:p>
        </w:tc>
        <w:tc>
          <w:tcPr>
            <w:tcW w:w="64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94.9</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 of equipment</w:t>
            </w:r>
          </w:p>
        </w:tc>
        <w:tc>
          <w:tcPr>
            <w:tcW w:w="16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13.3</w:t>
            </w:r>
          </w:p>
        </w:tc>
        <w:tc>
          <w:tcPr>
            <w:tcW w:w="64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Expenditures for property, plant, and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w:t>
            </w:r>
          </w:p>
        </w:tc>
        <w:tc>
          <w:tcPr>
            <w:tcW w:w="16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(451.7)</w:t>
            </w:r>
          </w:p>
        </w:tc>
        <w:tc>
          <w:tcPr>
            <w:tcW w:w="6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(176.6)</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acquired in merger transaction</w:t>
            </w:r>
          </w:p>
        </w:tc>
        <w:tc>
          <w:tcPr>
            <w:tcW w:w="16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14.0</w:t>
            </w:r>
          </w:p>
        </w:tc>
        <w:tc>
          <w:tcPr>
            <w:tcW w:w="64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6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0.5</w:t>
            </w:r>
          </w:p>
        </w:tc>
        <w:tc>
          <w:tcPr>
            <w:tcW w:w="6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w:t>
            </w:r>
          </w:p>
        </w:tc>
      </w:tr>
      <w:tr>
        <w:trPr>
          <w:trHeight w:val="203"/>
        </w:trPr>
        <w:tc>
          <w:tcPr>
            <w:tcW w:w="4320" w:type="dxa"/>
            <w:vAlign w:val="bottom"/>
          </w:tcPr>
          <w:p>
            <w:pPr>
              <w:spacing w:after="0"/>
              <w:rPr>
                <w:sz w:val="17"/>
                <w:szCs w:val="17"/>
                <w:color w:val="auto"/>
              </w:rPr>
            </w:pPr>
          </w:p>
        </w:tc>
        <w:tc>
          <w:tcPr>
            <w:tcW w:w="14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cash used for investing activities</w:t>
            </w:r>
          </w:p>
        </w:tc>
        <w:tc>
          <w:tcPr>
            <w:tcW w:w="16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(571.3)</w:t>
            </w:r>
          </w:p>
        </w:tc>
        <w:tc>
          <w:tcPr>
            <w:tcW w:w="6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(371.1)</w:t>
            </w:r>
          </w:p>
        </w:tc>
      </w:tr>
      <w:tr>
        <w:trPr>
          <w:trHeight w:val="203"/>
        </w:trPr>
        <w:tc>
          <w:tcPr>
            <w:tcW w:w="4320" w:type="dxa"/>
            <w:vAlign w:val="bottom"/>
          </w:tcPr>
          <w:p>
            <w:pPr>
              <w:spacing w:after="0"/>
              <w:rPr>
                <w:sz w:val="17"/>
                <w:szCs w:val="17"/>
                <w:color w:val="auto"/>
              </w:rPr>
            </w:pPr>
          </w:p>
        </w:tc>
        <w:tc>
          <w:tcPr>
            <w:tcW w:w="14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Payments on equipment purchase contracts</w:t>
            </w:r>
          </w:p>
        </w:tc>
        <w:tc>
          <w:tcPr>
            <w:tcW w:w="16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(116.2)</w:t>
            </w:r>
          </w:p>
        </w:tc>
        <w:tc>
          <w:tcPr>
            <w:tcW w:w="6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debt</w:t>
            </w:r>
          </w:p>
        </w:tc>
        <w:tc>
          <w:tcPr>
            <w:tcW w:w="16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(27.3)</w:t>
            </w:r>
          </w:p>
        </w:tc>
        <w:tc>
          <w:tcPr>
            <w:tcW w:w="6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debt</w:t>
            </w:r>
          </w:p>
        </w:tc>
        <w:tc>
          <w:tcPr>
            <w:tcW w:w="16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59.7</w:t>
            </w:r>
          </w:p>
        </w:tc>
        <w:tc>
          <w:tcPr>
            <w:tcW w:w="64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117.2</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16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13.8</w:t>
            </w:r>
          </w:p>
        </w:tc>
        <w:tc>
          <w:tcPr>
            <w:tcW w:w="64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 of dividends</w:t>
            </w:r>
          </w:p>
        </w:tc>
        <w:tc>
          <w:tcPr>
            <w:tcW w:w="16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(10.2)</w:t>
            </w:r>
          </w:p>
        </w:tc>
        <w:tc>
          <w:tcPr>
            <w:tcW w:w="6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6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(2.4)</w:t>
            </w:r>
          </w:p>
        </w:tc>
        <w:tc>
          <w:tcPr>
            <w:tcW w:w="6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4320" w:type="dxa"/>
            <w:vAlign w:val="bottom"/>
          </w:tcPr>
          <w:p>
            <w:pPr>
              <w:spacing w:after="0"/>
              <w:rPr>
                <w:sz w:val="17"/>
                <w:szCs w:val="17"/>
                <w:color w:val="auto"/>
              </w:rPr>
            </w:pPr>
          </w:p>
        </w:tc>
        <w:tc>
          <w:tcPr>
            <w:tcW w:w="14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cash used for financing activities</w:t>
            </w:r>
          </w:p>
        </w:tc>
        <w:tc>
          <w:tcPr>
            <w:tcW w:w="16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(82.6)</w:t>
            </w:r>
          </w:p>
        </w:tc>
        <w:tc>
          <w:tcPr>
            <w:tcW w:w="6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w:t>
            </w:r>
          </w:p>
        </w:tc>
      </w:tr>
      <w:tr>
        <w:trPr>
          <w:trHeight w:val="203"/>
        </w:trPr>
        <w:tc>
          <w:tcPr>
            <w:tcW w:w="4320" w:type="dxa"/>
            <w:vAlign w:val="bottom"/>
          </w:tcPr>
          <w:p>
            <w:pPr>
              <w:spacing w:after="0"/>
              <w:rPr>
                <w:sz w:val="17"/>
                <w:szCs w:val="17"/>
                <w:color w:val="auto"/>
              </w:rPr>
            </w:pPr>
          </w:p>
        </w:tc>
        <w:tc>
          <w:tcPr>
            <w:tcW w:w="14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increase in cash and equivalents</w:t>
            </w:r>
          </w:p>
        </w:tc>
        <w:tc>
          <w:tcPr>
            <w:tcW w:w="160" w:type="dxa"/>
            <w:vAlign w:val="bottom"/>
          </w:tcPr>
          <w:p>
            <w:pPr>
              <w:spacing w:after="0"/>
              <w:rPr>
                <w:sz w:val="24"/>
                <w:szCs w:val="24"/>
                <w:color w:val="auto"/>
              </w:rPr>
            </w:pPr>
          </w:p>
        </w:tc>
        <w:tc>
          <w:tcPr>
            <w:tcW w:w="1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39.8</w:t>
            </w:r>
          </w:p>
        </w:tc>
        <w:tc>
          <w:tcPr>
            <w:tcW w:w="64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3.7</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 at beginning of</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period</w:t>
            </w:r>
          </w:p>
        </w:tc>
        <w:tc>
          <w:tcPr>
            <w:tcW w:w="16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78.4</w:t>
            </w:r>
          </w:p>
        </w:tc>
        <w:tc>
          <w:tcPr>
            <w:tcW w:w="64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47.5</w:t>
            </w:r>
          </w:p>
        </w:tc>
      </w:tr>
      <w:tr>
        <w:trPr>
          <w:trHeight w:val="203"/>
        </w:trPr>
        <w:tc>
          <w:tcPr>
            <w:tcW w:w="4320" w:type="dxa"/>
            <w:vAlign w:val="bottom"/>
          </w:tcPr>
          <w:p>
            <w:pPr>
              <w:spacing w:after="0"/>
              <w:rPr>
                <w:sz w:val="17"/>
                <w:szCs w:val="17"/>
                <w:color w:val="auto"/>
              </w:rPr>
            </w:pPr>
          </w:p>
        </w:tc>
        <w:tc>
          <w:tcPr>
            <w:tcW w:w="14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equivalents at end of period</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118.2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51.2</w:t>
            </w:r>
          </w:p>
        </w:tc>
      </w:tr>
      <w:tr>
        <w:trPr>
          <w:trHeight w:val="203"/>
        </w:trPr>
        <w:tc>
          <w:tcPr>
            <w:tcW w:w="4320" w:type="dxa"/>
            <w:vAlign w:val="bottom"/>
          </w:tcPr>
          <w:p>
            <w:pPr>
              <w:spacing w:after="0"/>
              <w:rPr>
                <w:sz w:val="17"/>
                <w:szCs w:val="17"/>
                <w:color w:val="auto"/>
              </w:rPr>
            </w:pPr>
          </w:p>
        </w:tc>
        <w:tc>
          <w:tcPr>
            <w:tcW w:w="14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SUPPLEMENTAL DISCLOSURES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paid, net</w:t>
            </w:r>
          </w:p>
        </w:tc>
        <w:tc>
          <w:tcPr>
            <w:tcW w:w="14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w w:val="96"/>
              </w:rPr>
              <w:t>$ (310.6)</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(138.0)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paid</w:t>
            </w:r>
          </w:p>
        </w:tc>
        <w:tc>
          <w:tcPr>
            <w:tcW w:w="16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(7.0)</w:t>
            </w:r>
          </w:p>
        </w:tc>
        <w:tc>
          <w:tcPr>
            <w:tcW w:w="6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Noncash investing and financing</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 acquisitions on contracts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payable and capital leases</w:t>
            </w:r>
          </w:p>
        </w:tc>
        <w:tc>
          <w:tcPr>
            <w:tcW w:w="16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142.0</w:t>
            </w:r>
          </w:p>
        </w:tc>
        <w:tc>
          <w:tcPr>
            <w:tcW w:w="64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86.9</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Assets acquired, net of cash and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liabilities assumed in merger</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transaction</w:t>
            </w:r>
          </w:p>
        </w:tc>
        <w:tc>
          <w:tcPr>
            <w:tcW w:w="16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26.0</w:t>
            </w:r>
          </w:p>
        </w:tc>
        <w:tc>
          <w:tcPr>
            <w:tcW w:w="64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ind w:left="3380"/>
        <w:spacing w:after="0" w:line="238" w:lineRule="auto"/>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362" w:gutter="0" w:footer="0" w:header="0"/>
        </w:sectPr>
      </w:pPr>
    </w:p>
    <w:bookmarkStart w:id="5" w:name="page6"/>
    <w:bookmarkEnd w:id="5"/>
    <w:p>
      <w:pPr>
        <w:ind w:left="1280"/>
        <w:spacing w:after="0"/>
        <w:rPr>
          <w:sz w:val="20"/>
          <w:szCs w:val="20"/>
          <w:color w:val="auto"/>
        </w:rPr>
      </w:pPr>
      <w:r>
        <w:rPr>
          <w:rFonts w:ascii="Courier New" w:cs="Courier New" w:eastAsia="Courier New" w:hAnsi="Courier New"/>
          <w:sz w:val="18"/>
          <w:szCs w:val="18"/>
          <w:color w:val="auto"/>
        </w:rPr>
        <w:t>Notes to Consolidated Financial Statements</w:t>
      </w:r>
    </w:p>
    <w:p>
      <w:pPr>
        <w:ind w:left="860"/>
        <w:spacing w:after="0" w:line="238" w:lineRule="auto"/>
        <w:rPr>
          <w:sz w:val="20"/>
          <w:szCs w:val="20"/>
          <w:color w:val="auto"/>
        </w:rPr>
      </w:pPr>
      <w:r>
        <w:rPr>
          <w:rFonts w:ascii="Courier New" w:cs="Courier New" w:eastAsia="Courier New" w:hAnsi="Courier New"/>
          <w:sz w:val="18"/>
          <w:szCs w:val="18"/>
          <w:color w:val="auto"/>
        </w:rPr>
        <w:t>(All tabular dollar amounts are stated in millions)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 Interim Financial Statements</w:t>
      </w:r>
    </w:p>
    <w:p>
      <w:pPr>
        <w:spacing w:after="0" w:line="207" w:lineRule="exact"/>
        <w:rPr>
          <w:sz w:val="20"/>
          <w:szCs w:val="20"/>
          <w:color w:val="auto"/>
        </w:rPr>
      </w:pPr>
    </w:p>
    <w:p>
      <w:pPr>
        <w:ind w:right="3359" w:firstLine="211"/>
        <w:spacing w:after="0" w:line="270" w:lineRule="auto"/>
        <w:rPr>
          <w:sz w:val="20"/>
          <w:szCs w:val="20"/>
          <w:color w:val="auto"/>
        </w:rPr>
      </w:pPr>
      <w:r>
        <w:rPr>
          <w:rFonts w:ascii="Courier New" w:cs="Courier New" w:eastAsia="Courier New" w:hAnsi="Courier New"/>
          <w:sz w:val="16"/>
          <w:szCs w:val="16"/>
          <w:color w:val="auto"/>
        </w:rPr>
        <w:t>In the opinion of management, the accompanying unaudited consolidated financial statements contain all adjustments necessary to present fairly the consolidated financial position of Micron Technology, Inc., and subsidiaries (the "Company"), and their consolidated results of operations and cash flows. The results of operations for the third fiscal quarter of 1995 reflect a $29.0 million nonrecurring pretax gain resulting from the merger of Micron Computer, Inc., and Micron Custom Manufacturing Services, Inc., with ZEOS International Ltd., which was effective April 7, 1995. The third fiscal quarter of 1995 also reflects a $25.0 million pretax charge associated with various contingencies for product and process technology rights.</w:t>
      </w:r>
    </w:p>
    <w:p>
      <w:pPr>
        <w:spacing w:after="0" w:line="200" w:lineRule="exact"/>
        <w:rPr>
          <w:sz w:val="20"/>
          <w:szCs w:val="20"/>
          <w:color w:val="auto"/>
        </w:rPr>
      </w:pPr>
    </w:p>
    <w:p>
      <w:pPr>
        <w:spacing w:after="0" w:line="393"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This report on Form 10-Q for the quarter and nine months ended June 1, 1995, should be read in conjunction with the Company's Annual Report to Shareholders and/or Form 10-K for the year ended September 1, 1994.</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Receivables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8"/>
          <w:szCs w:val="18"/>
          <w:color w:val="auto"/>
        </w:rPr>
        <w:t>June 1,</w:t>
      </w:r>
      <w:r>
        <w:rPr>
          <w:sz w:val="20"/>
          <w:szCs w:val="20"/>
          <w:color w:val="auto"/>
        </w:rPr>
        <w:tab/>
      </w:r>
      <w:r>
        <w:rPr>
          <w:rFonts w:ascii="Courier New" w:cs="Courier New" w:eastAsia="Courier New" w:hAnsi="Courier New"/>
          <w:sz w:val="16"/>
          <w:szCs w:val="16"/>
          <w:color w:val="auto"/>
        </w:rPr>
        <w:t>September 1,</w:t>
      </w:r>
    </w:p>
    <w:p>
      <w:pPr>
        <w:ind w:left="100"/>
        <w:spacing w:after="0" w:line="238" w:lineRule="auto"/>
        <w:tabs>
          <w:tab w:leader="none" w:pos="176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1994</w:t>
      </w:r>
    </w:p>
    <w:p>
      <w:pPr>
        <w:spacing w:after="0" w:line="5" w:lineRule="exact"/>
        <w:rPr>
          <w:sz w:val="20"/>
          <w:szCs w:val="20"/>
          <w:color w:val="auto"/>
        </w:rPr>
      </w:pPr>
    </w:p>
    <w:p>
      <w:pPr>
        <w:sectPr>
          <w:pgSz w:w="11900" w:h="16838" w:orient="portrait"/>
          <w:cols w:equalWidth="0" w:num="2">
            <w:col w:w="3720" w:space="720"/>
            <w:col w:w="577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ind w:left="220"/>
              <w:spacing w:after="0"/>
              <w:rPr>
                <w:sz w:val="20"/>
                <w:szCs w:val="20"/>
                <w:color w:val="auto"/>
              </w:rPr>
            </w:pPr>
            <w:r>
              <w:rPr>
                <w:rFonts w:ascii="Courier New" w:cs="Courier New" w:eastAsia="Courier New" w:hAnsi="Courier New"/>
                <w:sz w:val="18"/>
                <w:szCs w:val="18"/>
                <w:color w:val="auto"/>
              </w:rPr>
              <w:t>Trade receivables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340.4</w:t>
            </w:r>
          </w:p>
        </w:tc>
        <w:tc>
          <w:tcPr>
            <w:tcW w:w="900" w:type="dxa"/>
            <w:vAlign w:val="bottom"/>
          </w:tcPr>
          <w:p>
            <w:pPr>
              <w:ind w:left="68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227.6</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14.2</w:t>
            </w:r>
          </w:p>
        </w:tc>
        <w:tc>
          <w:tcPr>
            <w:tcW w:w="9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15.9</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Allowance for returns and discounts</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w:t>
            </w:r>
          </w:p>
        </w:tc>
        <w:tc>
          <w:tcPr>
            <w:tcW w:w="9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Allowance for doubtful accounts</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w:t>
            </w:r>
          </w:p>
        </w:tc>
        <w:tc>
          <w:tcPr>
            <w:tcW w:w="9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4120" w:type="dxa"/>
            <w:vAlign w:val="bottom"/>
          </w:tcPr>
          <w:p>
            <w:pPr>
              <w:spacing w:after="0"/>
              <w:rPr>
                <w:sz w:val="17"/>
                <w:szCs w:val="17"/>
                <w:color w:val="auto"/>
              </w:rPr>
            </w:pP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342.5</w:t>
            </w:r>
          </w:p>
        </w:tc>
        <w:tc>
          <w:tcPr>
            <w:tcW w:w="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235.7</w:t>
            </w:r>
          </w:p>
        </w:tc>
      </w:tr>
      <w:tr>
        <w:trPr>
          <w:trHeight w:val="203"/>
        </w:trPr>
        <w:tc>
          <w:tcPr>
            <w:tcW w:w="4120" w:type="dxa"/>
            <w:vAlign w:val="bottom"/>
          </w:tcPr>
          <w:p>
            <w:pPr>
              <w:spacing w:after="0"/>
              <w:rPr>
                <w:sz w:val="17"/>
                <w:szCs w:val="17"/>
                <w:color w:val="auto"/>
              </w:rPr>
            </w:pP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3.   Inventories</w:t>
            </w:r>
          </w:p>
        </w:tc>
        <w:tc>
          <w:tcPr>
            <w:tcW w:w="32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June 1,</w:t>
            </w:r>
          </w:p>
        </w:tc>
        <w:tc>
          <w:tcPr>
            <w:tcW w:w="1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September 1,</w:t>
            </w:r>
          </w:p>
        </w:tc>
      </w:tr>
      <w:tr>
        <w:trPr>
          <w:trHeight w:val="203"/>
        </w:trPr>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6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Finished goods</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17.2</w:t>
            </w:r>
          </w:p>
        </w:tc>
        <w:tc>
          <w:tcPr>
            <w:tcW w:w="960" w:type="dxa"/>
            <w:vAlign w:val="bottom"/>
          </w:tcPr>
          <w:p>
            <w:pPr>
              <w:ind w:left="740"/>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5.2</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Work in progress</w:t>
            </w:r>
          </w:p>
        </w:tc>
        <w:tc>
          <w:tcPr>
            <w:tcW w:w="16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95.6</w:t>
            </w:r>
          </w:p>
        </w:tc>
        <w:tc>
          <w:tcPr>
            <w:tcW w:w="9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16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84.5</w:t>
            </w:r>
          </w:p>
        </w:tc>
        <w:tc>
          <w:tcPr>
            <w:tcW w:w="9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w:t>
            </w:r>
          </w:p>
        </w:tc>
      </w:tr>
      <w:tr>
        <w:trPr>
          <w:trHeight w:val="203"/>
        </w:trPr>
        <w:tc>
          <w:tcPr>
            <w:tcW w:w="4280" w:type="dxa"/>
            <w:vAlign w:val="bottom"/>
          </w:tcPr>
          <w:p>
            <w:pPr>
              <w:spacing w:after="0"/>
              <w:rPr>
                <w:sz w:val="17"/>
                <w:szCs w:val="17"/>
                <w:color w:val="auto"/>
              </w:rPr>
            </w:pPr>
          </w:p>
        </w:tc>
        <w:tc>
          <w:tcPr>
            <w:tcW w:w="12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197.3</w:t>
            </w:r>
          </w:p>
        </w:tc>
        <w:tc>
          <w:tcPr>
            <w:tcW w:w="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101.1</w:t>
            </w:r>
          </w:p>
        </w:tc>
      </w:tr>
      <w:tr>
        <w:trPr>
          <w:trHeight w:val="203"/>
        </w:trPr>
        <w:tc>
          <w:tcPr>
            <w:tcW w:w="4280" w:type="dxa"/>
            <w:vAlign w:val="bottom"/>
          </w:tcPr>
          <w:p>
            <w:pPr>
              <w:spacing w:after="0"/>
              <w:rPr>
                <w:sz w:val="17"/>
                <w:szCs w:val="17"/>
                <w:color w:val="auto"/>
              </w:rPr>
            </w:pPr>
          </w:p>
        </w:tc>
        <w:tc>
          <w:tcPr>
            <w:tcW w:w="12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80" w:type="dxa"/>
            <w:vAlign w:val="bottom"/>
          </w:tcPr>
          <w:p>
            <w:pPr>
              <w:spacing w:after="0"/>
              <w:rPr>
                <w:sz w:val="20"/>
                <w:szCs w:val="20"/>
                <w:color w:val="auto"/>
              </w:rPr>
            </w:pPr>
            <w:r>
              <w:rPr>
                <w:rFonts w:ascii="Courier New" w:cs="Courier New" w:eastAsia="Courier New" w:hAnsi="Courier New"/>
                <w:sz w:val="18"/>
                <w:szCs w:val="18"/>
                <w:color w:val="auto"/>
                <w:w w:val="98"/>
              </w:rPr>
              <w:t>4.   Product and process technology, net</w:t>
            </w:r>
          </w:p>
        </w:tc>
        <w:tc>
          <w:tcPr>
            <w:tcW w:w="16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June 1,</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September 1,</w:t>
            </w:r>
          </w:p>
        </w:tc>
      </w:tr>
      <w:tr>
        <w:trPr>
          <w:trHeight w:val="203"/>
        </w:trPr>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c>
          <w:tcPr>
            <w:tcW w:w="15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Product and process technology, at</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150.7</w:t>
            </w:r>
          </w:p>
        </w:tc>
        <w:tc>
          <w:tcPr>
            <w:tcW w:w="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148.6</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(108.1)</w:t>
            </w:r>
          </w:p>
        </w:tc>
        <w:tc>
          <w:tcPr>
            <w:tcW w:w="8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(100.4)</w:t>
            </w:r>
          </w:p>
        </w:tc>
      </w:tr>
      <w:tr>
        <w:trPr>
          <w:trHeight w:val="203"/>
        </w:trPr>
        <w:tc>
          <w:tcPr>
            <w:tcW w:w="4280" w:type="dxa"/>
            <w:vAlign w:val="bottom"/>
          </w:tcPr>
          <w:p>
            <w:pPr>
              <w:spacing w:after="0"/>
              <w:rPr>
                <w:sz w:val="17"/>
                <w:szCs w:val="17"/>
                <w:color w:val="auto"/>
              </w:rPr>
            </w:pPr>
          </w:p>
        </w:tc>
        <w:tc>
          <w:tcPr>
            <w:tcW w:w="12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42.6</w:t>
            </w:r>
          </w:p>
        </w:tc>
        <w:tc>
          <w:tcPr>
            <w:tcW w:w="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48.2</w:t>
            </w:r>
          </w:p>
        </w:tc>
      </w:tr>
      <w:tr>
        <w:trPr>
          <w:trHeight w:val="203"/>
        </w:trPr>
        <w:tc>
          <w:tcPr>
            <w:tcW w:w="4280" w:type="dxa"/>
            <w:vAlign w:val="bottom"/>
          </w:tcPr>
          <w:p>
            <w:pPr>
              <w:spacing w:after="0"/>
              <w:rPr>
                <w:sz w:val="17"/>
                <w:szCs w:val="17"/>
                <w:color w:val="auto"/>
              </w:rPr>
            </w:pPr>
          </w:p>
        </w:tc>
        <w:tc>
          <w:tcPr>
            <w:tcW w:w="12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80" w:type="dxa"/>
            <w:vAlign w:val="bottom"/>
          </w:tcPr>
          <w:p>
            <w:pPr>
              <w:spacing w:after="0"/>
              <w:rPr>
                <w:sz w:val="20"/>
                <w:szCs w:val="20"/>
                <w:color w:val="auto"/>
              </w:rPr>
            </w:pPr>
            <w:r>
              <w:rPr>
                <w:rFonts w:ascii="Courier New" w:cs="Courier New" w:eastAsia="Courier New" w:hAnsi="Courier New"/>
                <w:sz w:val="18"/>
                <w:szCs w:val="18"/>
                <w:color w:val="auto"/>
                <w:w w:val="98"/>
              </w:rPr>
              <w:t>5.   Property, plant, and equipment, net</w:t>
            </w:r>
          </w:p>
        </w:tc>
        <w:tc>
          <w:tcPr>
            <w:tcW w:w="16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June 1,</w:t>
            </w:r>
          </w:p>
        </w:tc>
        <w:tc>
          <w:tcPr>
            <w:tcW w:w="1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September 1,</w:t>
            </w:r>
          </w:p>
        </w:tc>
      </w:tr>
      <w:tr>
        <w:trPr>
          <w:trHeight w:val="203"/>
        </w:trPr>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6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17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21.5</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7.9</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7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346.4</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260.0</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7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1,142.5</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825.5</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17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173.0</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68.7</w:t>
            </w:r>
          </w:p>
        </w:tc>
      </w:tr>
      <w:tr>
        <w:trPr>
          <w:trHeight w:val="203"/>
        </w:trPr>
        <w:tc>
          <w:tcPr>
            <w:tcW w:w="3800" w:type="dxa"/>
            <w:vAlign w:val="bottom"/>
          </w:tcPr>
          <w:p>
            <w:pPr>
              <w:spacing w:after="0"/>
              <w:rPr>
                <w:sz w:val="17"/>
                <w:szCs w:val="17"/>
                <w:color w:val="auto"/>
              </w:rPr>
            </w:pPr>
          </w:p>
        </w:tc>
        <w:tc>
          <w:tcPr>
            <w:tcW w:w="17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rPr>
                <w:sz w:val="17"/>
                <w:szCs w:val="17"/>
                <w:color w:val="auto"/>
              </w:rPr>
            </w:pPr>
          </w:p>
        </w:tc>
        <w:tc>
          <w:tcPr>
            <w:tcW w:w="17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1,683.4</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1,162.1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 and</w:t>
            </w: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amortization</w:t>
            </w:r>
          </w:p>
        </w:tc>
        <w:tc>
          <w:tcPr>
            <w:tcW w:w="17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(583.1)</w:t>
            </w:r>
          </w:p>
        </w:tc>
        <w:tc>
          <w:tcPr>
            <w:tcW w:w="5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(498.6)</w:t>
            </w:r>
          </w:p>
        </w:tc>
      </w:tr>
      <w:tr>
        <w:trPr>
          <w:trHeight w:val="203"/>
        </w:trPr>
        <w:tc>
          <w:tcPr>
            <w:tcW w:w="3800" w:type="dxa"/>
            <w:vAlign w:val="bottom"/>
          </w:tcPr>
          <w:p>
            <w:pPr>
              <w:spacing w:after="0"/>
              <w:rPr>
                <w:sz w:val="17"/>
                <w:szCs w:val="17"/>
                <w:color w:val="auto"/>
              </w:rPr>
            </w:pPr>
          </w:p>
        </w:tc>
        <w:tc>
          <w:tcPr>
            <w:tcW w:w="17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rPr>
                <w:sz w:val="17"/>
                <w:szCs w:val="17"/>
                <w:color w:val="auto"/>
              </w:rPr>
            </w:pPr>
          </w:p>
        </w:tc>
        <w:tc>
          <w:tcPr>
            <w:tcW w:w="17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$1,100.3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663.5</w:t>
            </w:r>
          </w:p>
        </w:tc>
      </w:tr>
      <w:tr>
        <w:trPr>
          <w:trHeight w:val="203"/>
        </w:trPr>
        <w:tc>
          <w:tcPr>
            <w:tcW w:w="3800" w:type="dxa"/>
            <w:vAlign w:val="bottom"/>
          </w:tcPr>
          <w:p>
            <w:pPr>
              <w:spacing w:after="0"/>
              <w:rPr>
                <w:sz w:val="17"/>
                <w:szCs w:val="17"/>
                <w:color w:val="auto"/>
              </w:rPr>
            </w:pPr>
          </w:p>
        </w:tc>
        <w:tc>
          <w:tcPr>
            <w:tcW w:w="17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5</w:t>
            </w: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type w:val="continuous"/>
        </w:sectPr>
      </w:pPr>
    </w:p>
    <w:bookmarkStart w:id="6" w:name="page7"/>
    <w:bookmarkEnd w:id="6"/>
    <w:p>
      <w:pPr>
        <w:ind w:left="22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payable and accrued</w:t>
      </w:r>
    </w:p>
    <w:p>
      <w:pPr>
        <w:ind w:left="640"/>
        <w:spacing w:after="0"/>
        <w:tabs>
          <w:tab w:leader="none" w:pos="4420" w:val="left"/>
          <w:tab w:leader="none" w:pos="5780" w:val="left"/>
        </w:tabs>
        <w:rPr>
          <w:sz w:val="20"/>
          <w:szCs w:val="20"/>
          <w:color w:val="auto"/>
        </w:rPr>
      </w:pPr>
      <w:r>
        <w:rPr>
          <w:rFonts w:ascii="Courier New" w:cs="Courier New" w:eastAsia="Courier New" w:hAnsi="Courier New"/>
          <w:sz w:val="18"/>
          <w:szCs w:val="18"/>
          <w:color w:val="auto"/>
        </w:rPr>
        <w:t>expenses</w:t>
      </w:r>
      <w:r>
        <w:rPr>
          <w:sz w:val="20"/>
          <w:szCs w:val="20"/>
          <w:color w:val="auto"/>
        </w:rPr>
        <w:tab/>
      </w:r>
      <w:r>
        <w:rPr>
          <w:rFonts w:ascii="Courier New" w:cs="Courier New" w:eastAsia="Courier New" w:hAnsi="Courier New"/>
          <w:sz w:val="18"/>
          <w:szCs w:val="18"/>
          <w:color w:val="auto"/>
        </w:rPr>
        <w:t>June 1,</w:t>
      </w:r>
      <w:r>
        <w:rPr>
          <w:sz w:val="20"/>
          <w:szCs w:val="20"/>
          <w:color w:val="auto"/>
        </w:rPr>
        <w:tab/>
      </w:r>
      <w:r>
        <w:rPr>
          <w:rFonts w:ascii="Courier New" w:cs="Courier New" w:eastAsia="Courier New" w:hAnsi="Courier New"/>
          <w:sz w:val="16"/>
          <w:szCs w:val="16"/>
          <w:color w:val="auto"/>
        </w:rPr>
        <w:t>September 1,</w:t>
      </w:r>
    </w:p>
    <w:p>
      <w:pPr>
        <w:ind w:left="4540"/>
        <w:spacing w:after="0"/>
        <w:tabs>
          <w:tab w:leader="none" w:pos="620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ind w:left="220"/>
              <w:spacing w:after="0"/>
              <w:rPr>
                <w:sz w:val="20"/>
                <w:szCs w:val="20"/>
                <w:color w:val="auto"/>
              </w:rPr>
            </w:pPr>
            <w:r>
              <w:rPr>
                <w:rFonts w:ascii="Courier New" w:cs="Courier New" w:eastAsia="Courier New" w:hAnsi="Courier New"/>
                <w:sz w:val="18"/>
                <w:szCs w:val="18"/>
                <w:color w:val="auto"/>
              </w:rPr>
              <w:t>Accounts payable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136.4</w:t>
            </w:r>
          </w:p>
        </w:tc>
        <w:tc>
          <w:tcPr>
            <w:tcW w:w="960" w:type="dxa"/>
            <w:vAlign w:val="bottom"/>
          </w:tcPr>
          <w:p>
            <w:pPr>
              <w:ind w:left="740"/>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55.3</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Salaries, wages, and benefits</w:t>
            </w:r>
          </w:p>
        </w:tc>
        <w:tc>
          <w:tcPr>
            <w:tcW w:w="5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78.4</w:t>
            </w:r>
          </w:p>
        </w:tc>
        <w:tc>
          <w:tcPr>
            <w:tcW w:w="9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payable</w:t>
            </w:r>
          </w:p>
        </w:tc>
        <w:tc>
          <w:tcPr>
            <w:tcW w:w="5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w:t>
            </w:r>
          </w:p>
        </w:tc>
        <w:tc>
          <w:tcPr>
            <w:tcW w:w="9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Product and process technology</w:t>
            </w:r>
          </w:p>
        </w:tc>
        <w:tc>
          <w:tcPr>
            <w:tcW w:w="5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106.5</w:t>
            </w:r>
          </w:p>
        </w:tc>
        <w:tc>
          <w:tcPr>
            <w:tcW w:w="9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5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48.4</w:t>
            </w:r>
          </w:p>
        </w:tc>
        <w:tc>
          <w:tcPr>
            <w:tcW w:w="9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44.0</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5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35.7</w:t>
            </w:r>
          </w:p>
        </w:tc>
        <w:tc>
          <w:tcPr>
            <w:tcW w:w="9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w:t>
            </w:r>
          </w:p>
        </w:tc>
      </w:tr>
      <w:tr>
        <w:trPr>
          <w:trHeight w:val="203"/>
        </w:trPr>
        <w:tc>
          <w:tcPr>
            <w:tcW w:w="3860" w:type="dxa"/>
            <w:vAlign w:val="bottom"/>
          </w:tcPr>
          <w:p>
            <w:pPr>
              <w:spacing w:after="0"/>
              <w:rPr>
                <w:sz w:val="17"/>
                <w:szCs w:val="17"/>
                <w:color w:val="auto"/>
              </w:rPr>
            </w:pP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415.7</w:t>
            </w:r>
          </w:p>
        </w:tc>
        <w:tc>
          <w:tcPr>
            <w:tcW w:w="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3860" w:type="dxa"/>
            <w:vAlign w:val="bottom"/>
          </w:tcPr>
          <w:p>
            <w:pPr>
              <w:spacing w:after="0"/>
              <w:rPr>
                <w:sz w:val="17"/>
                <w:szCs w:val="17"/>
                <w:color w:val="auto"/>
              </w:rPr>
            </w:pP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60" w:type="dxa"/>
            <w:vAlign w:val="bottom"/>
          </w:tcPr>
          <w:p>
            <w:pPr>
              <w:spacing w:after="0"/>
              <w:rPr>
                <w:sz w:val="20"/>
                <w:szCs w:val="20"/>
                <w:color w:val="auto"/>
              </w:rPr>
            </w:pPr>
            <w:r>
              <w:rPr>
                <w:rFonts w:ascii="Courier New" w:cs="Courier New" w:eastAsia="Courier New" w:hAnsi="Courier New"/>
                <w:sz w:val="18"/>
                <w:szCs w:val="18"/>
                <w:color w:val="auto"/>
              </w:rPr>
              <w:t>7.   Long-term debt</w:t>
            </w:r>
          </w:p>
        </w:tc>
        <w:tc>
          <w:tcPr>
            <w:tcW w:w="58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June 1,</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September 1,</w:t>
            </w:r>
          </w:p>
        </w:tc>
      </w:tr>
      <w:tr>
        <w:trPr>
          <w:trHeight w:val="203"/>
        </w:trPr>
        <w:tc>
          <w:tcPr>
            <w:tcW w:w="3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c>
          <w:tcPr>
            <w:tcW w:w="15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1994</w:t>
            </w:r>
          </w:p>
        </w:tc>
      </w:tr>
    </w:tbl>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Notes payable in periodic installments</w:t>
      </w:r>
    </w:p>
    <w:tbl>
      <w:tblPr>
        <w:tblLayout w:type="fixed"/>
        <w:tblInd w:w="220" w:type="dxa"/>
        <w:tblCellMar>
          <w:top w:w="0" w:type="dxa"/>
          <w:left w:w="0" w:type="dxa"/>
          <w:bottom w:w="0" w:type="dxa"/>
          <w:right w:w="0" w:type="dxa"/>
        </w:tblCellMar>
      </w:tblPr>
      <w:tr>
        <w:trPr>
          <w:trHeight w:val="203"/>
        </w:trPr>
        <w:tc>
          <w:tcPr>
            <w:tcW w:w="4100" w:type="dxa"/>
            <w:vAlign w:val="bottom"/>
          </w:tcPr>
          <w:p>
            <w:pPr>
              <w:ind w:left="200"/>
              <w:spacing w:after="0"/>
              <w:rPr>
                <w:sz w:val="20"/>
                <w:szCs w:val="20"/>
                <w:color w:val="auto"/>
              </w:rPr>
            </w:pPr>
            <w:r>
              <w:rPr>
                <w:rFonts w:ascii="Courier New" w:cs="Courier New" w:eastAsia="Courier New" w:hAnsi="Courier New"/>
                <w:sz w:val="18"/>
                <w:szCs w:val="18"/>
                <w:color w:val="auto"/>
              </w:rPr>
              <w:t>through May 1999, weighted average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interest rate of 6.90% and 7.30 %,</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respectively</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94.0</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78.7</w:t>
            </w:r>
          </w:p>
        </w:tc>
      </w:tr>
      <w:tr>
        <w:trPr>
          <w:trHeight w:val="608"/>
        </w:trPr>
        <w:tc>
          <w:tcPr>
            <w:tcW w:w="4100" w:type="dxa"/>
            <w:vAlign w:val="bottom"/>
          </w:tcPr>
          <w:p>
            <w:pPr>
              <w:spacing w:after="0"/>
              <w:rPr>
                <w:sz w:val="20"/>
                <w:szCs w:val="20"/>
                <w:color w:val="auto"/>
              </w:rPr>
            </w:pPr>
            <w:r>
              <w:rPr>
                <w:rFonts w:ascii="Courier New" w:cs="Courier New" w:eastAsia="Courier New" w:hAnsi="Courier New"/>
                <w:sz w:val="18"/>
                <w:szCs w:val="18"/>
                <w:color w:val="auto"/>
                <w:w w:val="99"/>
              </w:rPr>
              <w:t>Notes payable, due at maturity ranging</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from April 1996 to December 1997,</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weighted average interest rate of</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5.90% and 5.11%, respectively</w:t>
            </w:r>
          </w:p>
        </w:tc>
        <w:tc>
          <w:tcPr>
            <w:tcW w:w="2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w:t>
            </w:r>
          </w:p>
        </w:tc>
        <w:tc>
          <w:tcPr>
            <w:tcW w:w="7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37.0</w:t>
            </w:r>
          </w:p>
        </w:tc>
      </w:tr>
      <w:tr>
        <w:trPr>
          <w:trHeight w:val="405"/>
        </w:trPr>
        <w:tc>
          <w:tcPr>
            <w:tcW w:w="4100" w:type="dxa"/>
            <w:vAlign w:val="bottom"/>
          </w:tcPr>
          <w:p>
            <w:pPr>
              <w:spacing w:after="0"/>
              <w:rPr>
                <w:sz w:val="20"/>
                <w:szCs w:val="20"/>
                <w:color w:val="auto"/>
              </w:rPr>
            </w:pPr>
            <w:r>
              <w:rPr>
                <w:rFonts w:ascii="Courier New" w:cs="Courier New" w:eastAsia="Courier New" w:hAnsi="Courier New"/>
                <w:sz w:val="18"/>
                <w:szCs w:val="18"/>
                <w:color w:val="auto"/>
              </w:rPr>
              <w:t>Noninterest bearing obligations,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$19.8 million due June 1997 and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$20.5 million due December 1997,</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original face amount of $40.3</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million and $19.8 million,</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respectively (net of discounts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based on imputed interest rates),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weighted average interest rate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 6.90% and 6.50%, respectively</w:t>
            </w:r>
          </w:p>
        </w:tc>
        <w:tc>
          <w:tcPr>
            <w:tcW w:w="2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34.6</w:t>
            </w:r>
          </w:p>
        </w:tc>
        <w:tc>
          <w:tcPr>
            <w:tcW w:w="7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w:t>
            </w:r>
          </w:p>
        </w:tc>
      </w:tr>
      <w:tr>
        <w:trPr>
          <w:trHeight w:val="405"/>
        </w:trPr>
        <w:tc>
          <w:tcPr>
            <w:tcW w:w="4100" w:type="dxa"/>
            <w:vAlign w:val="bottom"/>
          </w:tcPr>
          <w:p>
            <w:pPr>
              <w:spacing w:after="0"/>
              <w:rPr>
                <w:sz w:val="20"/>
                <w:szCs w:val="20"/>
                <w:color w:val="auto"/>
              </w:rPr>
            </w:pPr>
            <w:r>
              <w:rPr>
                <w:rFonts w:ascii="Courier New" w:cs="Courier New" w:eastAsia="Courier New" w:hAnsi="Courier New"/>
                <w:sz w:val="18"/>
                <w:szCs w:val="18"/>
                <w:color w:val="auto"/>
              </w:rPr>
              <w:t>Capitalized lease obligations payable</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in monthly installments through April</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1998, weighted average interest rate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 7.77% and 7.93%, respectively</w:t>
            </w:r>
          </w:p>
        </w:tc>
        <w:tc>
          <w:tcPr>
            <w:tcW w:w="2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9.7</w:t>
            </w:r>
          </w:p>
        </w:tc>
        <w:tc>
          <w:tcPr>
            <w:tcW w:w="7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12.4</w:t>
            </w:r>
          </w:p>
        </w:tc>
      </w:tr>
      <w:tr>
        <w:trPr>
          <w:trHeight w:val="405"/>
        </w:trPr>
        <w:tc>
          <w:tcPr>
            <w:tcW w:w="4100" w:type="dxa"/>
            <w:vAlign w:val="bottom"/>
          </w:tcPr>
          <w:p>
            <w:pPr>
              <w:spacing w:after="0"/>
              <w:rPr>
                <w:sz w:val="20"/>
                <w:szCs w:val="20"/>
                <w:color w:val="auto"/>
              </w:rPr>
            </w:pPr>
            <w:r>
              <w:rPr>
                <w:rFonts w:ascii="Courier New" w:cs="Courier New" w:eastAsia="Courier New" w:hAnsi="Courier New"/>
                <w:sz w:val="18"/>
                <w:szCs w:val="18"/>
                <w:color w:val="auto"/>
              </w:rPr>
              <w:t>Noninterest bearing obligation, paid</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 November 1994, original face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amount of $50.0 million (net of</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discount based on imputed interest</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rate of 10.25%)</w:t>
            </w:r>
          </w:p>
        </w:tc>
        <w:tc>
          <w:tcPr>
            <w:tcW w:w="2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4100" w:type="dxa"/>
            <w:vAlign w:val="bottom"/>
          </w:tcPr>
          <w:p>
            <w:pPr>
              <w:spacing w:after="0"/>
              <w:rPr>
                <w:sz w:val="17"/>
                <w:szCs w:val="17"/>
                <w:color w:val="auto"/>
              </w:rPr>
            </w:pPr>
          </w:p>
        </w:tc>
        <w:tc>
          <w:tcPr>
            <w:tcW w:w="14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188.3</w:t>
            </w:r>
          </w:p>
        </w:tc>
        <w:tc>
          <w:tcPr>
            <w:tcW w:w="7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154.5</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(25.9)</w:t>
            </w:r>
          </w:p>
        </w:tc>
        <w:tc>
          <w:tcPr>
            <w:tcW w:w="7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w:t>
            </w:r>
          </w:p>
        </w:tc>
      </w:tr>
      <w:tr>
        <w:trPr>
          <w:trHeight w:val="203"/>
        </w:trPr>
        <w:tc>
          <w:tcPr>
            <w:tcW w:w="4100" w:type="dxa"/>
            <w:vAlign w:val="bottom"/>
          </w:tcPr>
          <w:p>
            <w:pPr>
              <w:spacing w:after="0"/>
              <w:rPr>
                <w:sz w:val="17"/>
                <w:szCs w:val="17"/>
                <w:color w:val="auto"/>
              </w:rPr>
            </w:pPr>
          </w:p>
        </w:tc>
        <w:tc>
          <w:tcPr>
            <w:tcW w:w="14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spacing w:after="0"/>
              <w:rPr>
                <w:sz w:val="17"/>
                <w:szCs w:val="17"/>
                <w:color w:val="auto"/>
              </w:rPr>
            </w:pP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162.4</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124.7</w:t>
            </w:r>
          </w:p>
        </w:tc>
      </w:tr>
      <w:tr>
        <w:trPr>
          <w:trHeight w:val="203"/>
        </w:trPr>
        <w:tc>
          <w:tcPr>
            <w:tcW w:w="4100" w:type="dxa"/>
            <w:vAlign w:val="bottom"/>
          </w:tcPr>
          <w:p>
            <w:pPr>
              <w:spacing w:after="0"/>
              <w:rPr>
                <w:sz w:val="17"/>
                <w:szCs w:val="17"/>
                <w:color w:val="auto"/>
              </w:rPr>
            </w:pPr>
          </w:p>
        </w:tc>
        <w:tc>
          <w:tcPr>
            <w:tcW w:w="14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679" w:firstLine="211"/>
        <w:spacing w:after="0" w:line="236" w:lineRule="auto"/>
        <w:rPr>
          <w:sz w:val="20"/>
          <w:szCs w:val="20"/>
          <w:color w:val="auto"/>
        </w:rPr>
      </w:pPr>
      <w:r>
        <w:rPr>
          <w:rFonts w:ascii="Courier New" w:cs="Courier New" w:eastAsia="Courier New" w:hAnsi="Courier New"/>
          <w:sz w:val="18"/>
          <w:szCs w:val="18"/>
          <w:color w:val="auto"/>
        </w:rPr>
        <w:t>During the third quarter of 1995, the Company terminated its bank credit agreement which provided for borrowings of up to $120.0 million.</w:t>
      </w:r>
    </w:p>
    <w:p>
      <w:pPr>
        <w:spacing w:after="0" w:line="203"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Earnings per share is computed using the weighted average number of common and common equivalent shares outstanding. Common equivalent shares result from the assumed exercise of outstanding stock options and affect earnings per share when they have a dilutive effect. Share and per share amounts for the third quarter and first nine months of fiscal 1995 have been restated to reflect retroactively a 2 for 1 stock split effected in the form of a stock dividend to shareholders of record on May 4, 1995.</w:t>
      </w:r>
    </w:p>
    <w:p>
      <w:pPr>
        <w:spacing w:after="0" w:line="20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Income taxes</w:t>
      </w:r>
    </w:p>
    <w:p>
      <w:pPr>
        <w:sectPr>
          <w:pgSz w:w="11900" w:h="16838" w:orient="portrait"/>
          <w:cols w:equalWidth="0" w:num="1">
            <w:col w:w="10219"/>
          </w:cols>
          <w:pgMar w:left="240" w:top="717" w:right="1440" w:bottom="0" w:gutter="0" w:footer="0" w:header="0"/>
        </w:sectPr>
      </w:pPr>
    </w:p>
    <w:bookmarkStart w:id="7" w:name="page8"/>
    <w:bookmarkEnd w:id="7"/>
    <w:p>
      <w:pPr>
        <w:ind w:right="3479" w:firstLine="211"/>
        <w:spacing w:after="0" w:line="237" w:lineRule="auto"/>
        <w:rPr>
          <w:sz w:val="20"/>
          <w:szCs w:val="20"/>
          <w:color w:val="auto"/>
        </w:rPr>
      </w:pPr>
      <w:r>
        <w:rPr>
          <w:rFonts w:ascii="Courier New" w:cs="Courier New" w:eastAsia="Courier New" w:hAnsi="Courier New"/>
          <w:sz w:val="18"/>
          <w:szCs w:val="18"/>
          <w:color w:val="auto"/>
        </w:rPr>
        <w:t>During the second quarter of fiscal 1995, the Company changed its estimate of the effective income tax rate for fiscal 1995 to 37.5% from 36.0%. The effective income tax rate principally reflects the statutory corporate income tax rate and the net effect of state taxation.</w:t>
      </w:r>
    </w:p>
    <w:p>
      <w:pPr>
        <w:ind w:left="33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42" w:right="1440" w:bottom="1440" w:gutter="0" w:footer="0" w:header="0"/>
        </w:sectPr>
      </w:pPr>
    </w:p>
    <w:bookmarkStart w:id="8" w:name="page9"/>
    <w:bookmarkEnd w:id="8"/>
    <w:p>
      <w:pPr>
        <w:ind w:left="54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w:t>
      </w:r>
    </w:p>
    <w:p>
      <w:pPr>
        <w:spacing w:after="0" w:line="207" w:lineRule="exact"/>
        <w:rPr>
          <w:sz w:val="20"/>
          <w:szCs w:val="20"/>
          <w:color w:val="auto"/>
        </w:rPr>
      </w:pPr>
    </w:p>
    <w:p>
      <w:pPr>
        <w:ind w:right="3479" w:firstLine="211"/>
        <w:spacing w:after="0" w:line="236" w:lineRule="auto"/>
        <w:rPr>
          <w:sz w:val="20"/>
          <w:szCs w:val="20"/>
          <w:color w:val="auto"/>
        </w:rPr>
      </w:pPr>
      <w:r>
        <w:rPr>
          <w:rFonts w:ascii="Courier New" w:cs="Courier New" w:eastAsia="Courier New" w:hAnsi="Courier New"/>
          <w:sz w:val="18"/>
          <w:szCs w:val="18"/>
          <w:color w:val="auto"/>
        </w:rPr>
        <w:t>As of June 1, 1995, the Company had commitments extending into fiscal 1997 of approximately $614.8 million for equipment purchases and $68.8 million for the construction of buildings.</w:t>
      </w: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jc w:val="both"/>
        <w:ind w:right="3359" w:firstLine="211"/>
        <w:spacing w:after="0" w:line="268" w:lineRule="auto"/>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w:t>
      </w:r>
    </w:p>
    <w:p>
      <w:pPr>
        <w:spacing w:after="0" w:line="1"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 The Company has various product and process technology agreements expiring in the remainder of 1995. The Company is not able to predict whether these license agreements can be renewed on terms acceptable to the Company.</w:t>
      </w:r>
    </w:p>
    <w:p>
      <w:pPr>
        <w:spacing w:after="0" w:line="388" w:lineRule="exact"/>
        <w:rPr>
          <w:sz w:val="20"/>
          <w:szCs w:val="20"/>
          <w:color w:val="auto"/>
        </w:rPr>
      </w:pPr>
    </w:p>
    <w:p>
      <w:pPr>
        <w:jc w:val="both"/>
        <w:ind w:right="3479" w:firstLine="211"/>
        <w:spacing w:after="0" w:line="237" w:lineRule="auto"/>
        <w:rPr>
          <w:sz w:val="20"/>
          <w:szCs w:val="20"/>
          <w:color w:val="auto"/>
        </w:rPr>
      </w:pPr>
      <w:r>
        <w:rPr>
          <w:rFonts w:ascii="Courier New" w:cs="Courier New" w:eastAsia="Courier New" w:hAnsi="Courier New"/>
          <w:sz w:val="18"/>
          <w:szCs w:val="18"/>
          <w:color w:val="auto"/>
        </w:rPr>
        <w:t>The Company is a party to various legal actions arising out of the normal course of business, none of which is expected to have a material effect on the Company's financial position or results of operations.</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9" w:name="page10"/>
    <w:bookmarkEnd w:id="9"/>
    <w:p>
      <w:pPr>
        <w:ind w:right="409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0" w:lineRule="exact"/>
        <w:rPr>
          <w:sz w:val="20"/>
          <w:szCs w:val="20"/>
          <w:color w:val="auto"/>
        </w:rPr>
      </w:pPr>
    </w:p>
    <w:p>
      <w:pPr>
        <w:spacing w:after="0" w:line="211" w:lineRule="exact"/>
        <w:rPr>
          <w:sz w:val="20"/>
          <w:szCs w:val="20"/>
          <w:color w:val="auto"/>
        </w:rPr>
      </w:pPr>
    </w:p>
    <w:p>
      <w:pPr>
        <w:ind w:right="3359" w:firstLine="211"/>
        <w:spacing w:after="0" w:line="272" w:lineRule="auto"/>
        <w:rPr>
          <w:sz w:val="20"/>
          <w:szCs w:val="20"/>
          <w:color w:val="auto"/>
        </w:rPr>
      </w:pPr>
      <w:r>
        <w:rPr>
          <w:rFonts w:ascii="Courier New" w:cs="Courier New" w:eastAsia="Courier New" w:hAnsi="Courier New"/>
          <w:sz w:val="16"/>
          <w:szCs w:val="16"/>
          <w:color w:val="auto"/>
        </w:rPr>
        <w:t>All period references are to the Company's fiscal periods ended June 1, 1995, and June 2, 1994, unless otherwise indicated. Per share amounts for the third quarter and first nine months of 1994 have been restated to reflect a 2 for 1 stock split effected in the form of a stock dividend to shareholders of record on May 4, 1995. All tabular dollar amounts are stated in millions.</w:t>
      </w:r>
    </w:p>
    <w:p>
      <w:pPr>
        <w:spacing w:after="0" w:line="186"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Net sales for the third quarter ended June 1, 1995, were $761 million, compared to net sales of $426 million for the same quarter a year ago and $629 million for the second quarter of 1995. Net income for the third quarter of 1995 reached $220 million, or $1.02 per fully diluted share, as compared to $104 million, or $0.49 per fully diluted share, for the third quarter of 1994, and as compared to $184 million, or $0.86 per fully diluted share, for the second quarter of 1995. For the first nine months of 1995, the Company reported net income of $563 million, or $2.62 per fully diluted share, on net sales of $1,925 million as compared to net income of $259 million, or $1.23 per fully diluted share, on net sales of $1,137 million for the first nine months of 1994.</w:t>
      </w:r>
    </w:p>
    <w:p>
      <w:pPr>
        <w:spacing w:after="0" w:line="207" w:lineRule="exact"/>
        <w:rPr>
          <w:sz w:val="20"/>
          <w:szCs w:val="20"/>
          <w:color w:val="auto"/>
        </w:rPr>
      </w:pPr>
    </w:p>
    <w:p>
      <w:pPr>
        <w:ind w:right="3359" w:firstLine="211"/>
        <w:spacing w:after="0" w:line="236" w:lineRule="auto"/>
        <w:rPr>
          <w:sz w:val="20"/>
          <w:szCs w:val="20"/>
          <w:color w:val="auto"/>
        </w:rPr>
      </w:pPr>
      <w:r>
        <w:rPr>
          <w:rFonts w:ascii="Courier New" w:cs="Courier New" w:eastAsia="Courier New" w:hAnsi="Courier New"/>
          <w:sz w:val="18"/>
          <w:szCs w:val="18"/>
          <w:color w:val="auto"/>
        </w:rPr>
        <w:t>The Board of Directors declared a $0.05 per share cash dividend which was paid on June 14, 1995, to shareholders of record on June 5, 1995.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2620" w:type="dxa"/>
            <w:vAlign w:val="bottom"/>
            <w:gridSpan w:val="3"/>
          </w:tcPr>
          <w:p>
            <w:pPr>
              <w:ind w:left="1200"/>
              <w:spacing w:after="0"/>
              <w:rPr>
                <w:sz w:val="20"/>
                <w:szCs w:val="20"/>
                <w:color w:val="auto"/>
              </w:rPr>
            </w:pPr>
            <w:r>
              <w:rPr>
                <w:rFonts w:ascii="Courier New" w:cs="Courier New" w:eastAsia="Courier New" w:hAnsi="Courier New"/>
                <w:sz w:val="18"/>
                <w:szCs w:val="18"/>
                <w:color w:val="auto"/>
                <w:w w:val="99"/>
              </w:rPr>
              <w:t>Third Quarter</w:t>
            </w:r>
          </w:p>
        </w:tc>
        <w:tc>
          <w:tcPr>
            <w:tcW w:w="740" w:type="dxa"/>
            <w:vAlign w:val="bottom"/>
          </w:tcPr>
          <w:p>
            <w:pPr>
              <w:spacing w:after="0"/>
              <w:rPr>
                <w:sz w:val="17"/>
                <w:szCs w:val="17"/>
                <w:color w:val="auto"/>
              </w:rPr>
            </w:pPr>
          </w:p>
        </w:tc>
        <w:tc>
          <w:tcPr>
            <w:tcW w:w="290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1440" w:type="dxa"/>
            <w:vAlign w:val="bottom"/>
          </w:tcPr>
          <w:p>
            <w:pPr>
              <w:spacing w:after="0"/>
              <w:rPr>
                <w:sz w:val="17"/>
                <w:szCs w:val="17"/>
                <w:color w:val="auto"/>
              </w:rPr>
            </w:pPr>
          </w:p>
        </w:tc>
        <w:tc>
          <w:tcPr>
            <w:tcW w:w="22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71"/>
              </w:rPr>
              <w:t>--------------------------</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rPr>
                <w:sz w:val="17"/>
                <w:szCs w:val="17"/>
                <w:color w:val="auto"/>
              </w:rPr>
            </w:pPr>
          </w:p>
        </w:tc>
        <w:tc>
          <w:tcPr>
            <w:tcW w:w="152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1995</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Change</w:t>
            </w:r>
          </w:p>
        </w:tc>
        <w:tc>
          <w:tcPr>
            <w:tcW w:w="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1440" w:type="dxa"/>
            <w:vAlign w:val="bottom"/>
          </w:tcPr>
          <w:p>
            <w:pPr>
              <w:spacing w:after="0"/>
              <w:rPr>
                <w:sz w:val="17"/>
                <w:szCs w:val="17"/>
                <w:color w:val="auto"/>
              </w:rPr>
            </w:pPr>
          </w:p>
        </w:tc>
        <w:tc>
          <w:tcPr>
            <w:tcW w:w="22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71"/>
              </w:rPr>
              <w:t>--------------------------</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520" w:type="dxa"/>
            <w:vAlign w:val="bottom"/>
          </w:tcPr>
          <w:p>
            <w:pPr>
              <w:ind w:left="460"/>
              <w:spacing w:after="0"/>
              <w:rPr>
                <w:sz w:val="20"/>
                <w:szCs w:val="20"/>
                <w:color w:val="auto"/>
              </w:rPr>
            </w:pPr>
            <w:r>
              <w:rPr>
                <w:rFonts w:ascii="Courier New" w:cs="Courier New" w:eastAsia="Courier New" w:hAnsi="Courier New"/>
                <w:sz w:val="18"/>
                <w:szCs w:val="18"/>
                <w:color w:val="auto"/>
              </w:rPr>
              <w:t>$  761.2</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78.5%</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426.4</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$1,924.7</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69.3%</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$1,137.0</w:t>
            </w:r>
          </w:p>
        </w:tc>
      </w:tr>
    </w:tbl>
    <w:p>
      <w:pPr>
        <w:spacing w:after="0" w:line="200" w:lineRule="exact"/>
        <w:rPr>
          <w:sz w:val="20"/>
          <w:szCs w:val="20"/>
          <w:color w:val="auto"/>
        </w:rPr>
      </w:pPr>
    </w:p>
    <w:p>
      <w:pPr>
        <w:spacing w:after="0" w:line="209" w:lineRule="exact"/>
        <w:rPr>
          <w:sz w:val="20"/>
          <w:szCs w:val="20"/>
          <w:color w:val="auto"/>
        </w:rPr>
      </w:pPr>
    </w:p>
    <w:p>
      <w:pPr>
        <w:ind w:right="3359" w:firstLine="211"/>
        <w:spacing w:after="0" w:line="270" w:lineRule="auto"/>
        <w:rPr>
          <w:sz w:val="20"/>
          <w:szCs w:val="20"/>
          <w:color w:val="auto"/>
        </w:rPr>
      </w:pPr>
      <w:r>
        <w:rPr>
          <w:rFonts w:ascii="Courier New" w:cs="Courier New" w:eastAsia="Courier New" w:hAnsi="Courier New"/>
          <w:sz w:val="16"/>
          <w:szCs w:val="16"/>
          <w:color w:val="auto"/>
        </w:rPr>
        <w:t>Increased production of semiconductor memory and current favorable market conditions enabled the Company to achieve strong operating results for the third quarter and first nine months of 1995. Demand for the 4 Meg DRAM, the Company's largest volume product, remained strong through the quarter and resulted in the twelfth consecutive quarter of relatively stable pricing for DRAM products. An extended period of stable pricing represents a significant deviation above the semiconductor industry's historical long-term trend line of declining per megabit pricing. The Company is unable to predict if, when, or how quickly average selling prices per megabit may return to the historical long-term trend line. See "Certain Factors".</w:t>
      </w:r>
    </w:p>
    <w:p>
      <w:pPr>
        <w:spacing w:after="0" w:line="391" w:lineRule="exact"/>
        <w:rPr>
          <w:sz w:val="20"/>
          <w:szCs w:val="20"/>
          <w:color w:val="auto"/>
        </w:rPr>
      </w:pPr>
    </w:p>
    <w:p>
      <w:pPr>
        <w:ind w:right="3359" w:firstLine="211"/>
        <w:spacing w:after="0" w:line="271" w:lineRule="auto"/>
        <w:rPr>
          <w:sz w:val="20"/>
          <w:szCs w:val="20"/>
          <w:color w:val="auto"/>
        </w:rPr>
      </w:pPr>
      <w:r>
        <w:rPr>
          <w:rFonts w:ascii="Courier New" w:cs="Courier New" w:eastAsia="Courier New" w:hAnsi="Courier New"/>
          <w:sz w:val="16"/>
          <w:szCs w:val="16"/>
          <w:color w:val="auto"/>
        </w:rPr>
        <w:t>Megabit production of semiconductor memory in the third quarter of 1995 was approximately 67% higher than the comparable quarter of 1994, and 20% higher than the second quarter of 1995. The higher volume of memory principally resulted from the Company's ongoing transition to successive shrink versions of the 4 Meg DRAM with higher potential die per wafer and from enhanced yields for existing memory products. The level of total wafer output in the third quarter of 1995 increased only slightly when compared to both the third quarter of 1994 and the second quarter of 1995.</w:t>
      </w:r>
    </w:p>
    <w:p>
      <w:pPr>
        <w:spacing w:after="0" w:line="184" w:lineRule="exact"/>
        <w:rPr>
          <w:sz w:val="20"/>
          <w:szCs w:val="20"/>
          <w:color w:val="auto"/>
        </w:rPr>
      </w:pPr>
    </w:p>
    <w:p>
      <w:pPr>
        <w:ind w:right="3359" w:firstLine="211"/>
        <w:spacing w:after="0" w:line="270" w:lineRule="auto"/>
        <w:rPr>
          <w:sz w:val="20"/>
          <w:szCs w:val="20"/>
          <w:color w:val="auto"/>
        </w:rPr>
      </w:pPr>
      <w:r>
        <w:rPr>
          <w:rFonts w:ascii="Courier New" w:cs="Courier New" w:eastAsia="Courier New" w:hAnsi="Courier New"/>
          <w:sz w:val="16"/>
          <w:szCs w:val="16"/>
          <w:color w:val="auto"/>
        </w:rPr>
        <w:t>Sales of PC systems and custom board level products in the third quarter of 1995 accounted for approximately 15% and 3%, respectively, of total net sales, excluding the value of the Company's memory components contained in such products, compared to 3% and 5%, respectively, of total net sales during the third quarter of 1994. Approximately 25% of net sales of PC systems during the third quarter of 1995 were attributable to the acquisition of ZEOS International, Ltd. ("ZEOS"), in the merger transaction effected on April 7, 1995, which combined Micron Computer, Inc., and Micron Custom Manufacturing Services, Inc., with and into ZEOS. The Company has an approximate 79% ownership interest in the combined company, Micron Electronics, Inc.</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59"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23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Third Quarter</w:t>
            </w:r>
          </w:p>
        </w:tc>
        <w:tc>
          <w:tcPr>
            <w:tcW w:w="740" w:type="dxa"/>
            <w:vAlign w:val="bottom"/>
          </w:tcPr>
          <w:p>
            <w:pPr>
              <w:spacing w:after="0"/>
              <w:rPr>
                <w:sz w:val="17"/>
                <w:szCs w:val="17"/>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Nine Months Ended</w:t>
            </w:r>
          </w:p>
        </w:tc>
        <w:tc>
          <w:tcPr>
            <w:tcW w:w="5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Change</w:t>
            </w:r>
          </w:p>
        </w:tc>
        <w:tc>
          <w:tcPr>
            <w:tcW w:w="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w:t>
            </w:r>
          </w:p>
        </w:tc>
        <w:tc>
          <w:tcPr>
            <w:tcW w:w="4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170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Cost of goods</w:t>
            </w: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sold</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357.2</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72.6%</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849.2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47.0%</w:t>
            </w:r>
          </w:p>
        </w:tc>
        <w:tc>
          <w:tcPr>
            <w:tcW w:w="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577.7</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 %</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53.1%</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55.9%</w:t>
            </w: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49.2%</w:t>
            </w:r>
          </w:p>
        </w:tc>
      </w:tr>
    </w:tbl>
    <w:p>
      <w:pPr>
        <w:spacing w:after="0" w:line="200" w:lineRule="exact"/>
        <w:rPr>
          <w:sz w:val="20"/>
          <w:szCs w:val="20"/>
          <w:color w:val="auto"/>
        </w:rPr>
      </w:pPr>
    </w:p>
    <w:p>
      <w:pPr>
        <w:spacing w:after="0" w:line="209" w:lineRule="exact"/>
        <w:rPr>
          <w:sz w:val="20"/>
          <w:szCs w:val="20"/>
          <w:color w:val="auto"/>
        </w:rPr>
      </w:pPr>
    </w:p>
    <w:p>
      <w:pPr>
        <w:ind w:right="3359" w:firstLine="211"/>
        <w:spacing w:after="0" w:line="269" w:lineRule="auto"/>
        <w:rPr>
          <w:sz w:val="20"/>
          <w:szCs w:val="20"/>
          <w:color w:val="auto"/>
        </w:rPr>
      </w:pPr>
      <w:r>
        <w:rPr>
          <w:rFonts w:ascii="Courier New" w:cs="Courier New" w:eastAsia="Courier New" w:hAnsi="Courier New"/>
          <w:sz w:val="16"/>
          <w:szCs w:val="16"/>
          <w:color w:val="auto"/>
        </w:rPr>
        <w:t>The gross margin percentage for the third quarter of 1995 decreased slightly from the second quarter of 1995 as a result of sales of PC systems comprising a higher percentage of total net sales for the third quarter of 1995 compared to the second quarter of 1995. The gross margin percentage on sales of PC systems has historically been, and is likely to continue to be, lower than the gross margin percentage for the Company's current memory products. The gross margin percentage on sales of PC systems during the third quarter of 1995 was approximately 10%. Additionally, gross margin in the third quarter of 1995 was reduced by a $25 million pretax charge associated with contingencies for product and process technology rights. The charges for other product and process technology decreased as a percentage of net sales in the third quarter and first nine months of 1995 compared to the same periods of 1994 primarily as a result of a paid-up license that was fully amortized late in fiscal 1994. Future product and process technology charges may vary as a result of claims asserted or licenses acquired in the future. See "Certain Factors".</w:t>
      </w:r>
    </w:p>
    <w:p>
      <w:pPr>
        <w:spacing w:after="0" w:line="200" w:lineRule="exact"/>
        <w:rPr>
          <w:sz w:val="20"/>
          <w:szCs w:val="20"/>
          <w:color w:val="auto"/>
        </w:rPr>
      </w:pPr>
    </w:p>
    <w:p>
      <w:pPr>
        <w:spacing w:after="0" w:line="398"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The Company continues to limit its production of 16 Meg DRAMs in order to maximize 4 Meg DRAM production consistent with existing customer preferences. The transition from the 4 Meg DRAM to the 16 Meg DRAM may adversely impact the Company's gross margin percentage as production capacity is shifted from a relatively mature device to a next generation device. The Company is unable to predict when the market will transition to the 16 Meg DRAM as its primary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18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Third Quarter</w:t>
            </w:r>
          </w:p>
        </w:tc>
        <w:tc>
          <w:tcPr>
            <w:tcW w:w="680" w:type="dxa"/>
            <w:vAlign w:val="bottom"/>
          </w:tcPr>
          <w:p>
            <w:pPr>
              <w:spacing w:after="0"/>
              <w:rPr>
                <w:sz w:val="17"/>
                <w:szCs w:val="17"/>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Nine Months Ended</w:t>
            </w:r>
          </w:p>
        </w:tc>
        <w:tc>
          <w:tcPr>
            <w:tcW w:w="520" w:type="dxa"/>
            <w:vAlign w:val="bottom"/>
          </w:tcPr>
          <w:p>
            <w:pPr>
              <w:spacing w:after="0"/>
              <w:rPr>
                <w:sz w:val="17"/>
                <w:szCs w:val="17"/>
                <w:color w:val="auto"/>
              </w:rPr>
            </w:pPr>
          </w:p>
        </w:tc>
      </w:tr>
      <w:tr>
        <w:trPr>
          <w:trHeight w:val="203"/>
        </w:trPr>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1995</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Change</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w:t>
            </w:r>
          </w:p>
        </w:tc>
        <w:tc>
          <w:tcPr>
            <w:tcW w:w="4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Selling,</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54.4</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52.0%  $</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131.6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w:t>
            </w:r>
          </w:p>
        </w:tc>
        <w:tc>
          <w:tcPr>
            <w:tcW w:w="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103.0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 of net</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7.1%</w:t>
            </w:r>
          </w:p>
        </w:tc>
        <w:tc>
          <w:tcPr>
            <w:tcW w:w="1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w:t>
            </w: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w:t>
            </w:r>
          </w:p>
        </w:tc>
      </w:tr>
    </w:tbl>
    <w:p>
      <w:pPr>
        <w:spacing w:after="0" w:line="200" w:lineRule="exact"/>
        <w:rPr>
          <w:sz w:val="20"/>
          <w:szCs w:val="20"/>
          <w:color w:val="auto"/>
        </w:rPr>
      </w:pPr>
    </w:p>
    <w:p>
      <w:pPr>
        <w:spacing w:after="0" w:line="209"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The higher level of selling, general, and administrative expenses during the third quarter of 1995 as compared to the third quarter of 1994 resulted primarily from a higher level of personnel costs associated with the Company's profit sharing programs and increased number of administrative employees, and to a lesser extent, increased PC system advertising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24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Third Quarter</w:t>
            </w:r>
          </w:p>
        </w:tc>
        <w:tc>
          <w:tcPr>
            <w:tcW w:w="680" w:type="dxa"/>
            <w:vAlign w:val="bottom"/>
          </w:tcPr>
          <w:p>
            <w:pPr>
              <w:spacing w:after="0"/>
              <w:rPr>
                <w:sz w:val="17"/>
                <w:szCs w:val="17"/>
                <w:color w:val="auto"/>
              </w:rPr>
            </w:pPr>
          </w:p>
        </w:tc>
        <w:tc>
          <w:tcPr>
            <w:tcW w:w="242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9"/>
              </w:rPr>
              <w:t>Nine Months Ended</w:t>
            </w:r>
          </w:p>
        </w:tc>
        <w:tc>
          <w:tcPr>
            <w:tcW w:w="4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w:t>
            </w:r>
          </w:p>
        </w:tc>
        <w:tc>
          <w:tcPr>
            <w:tcW w:w="680" w:type="dxa"/>
            <w:vAlign w:val="bottom"/>
          </w:tcPr>
          <w:p>
            <w:pPr>
              <w:spacing w:after="0"/>
              <w:rPr>
                <w:sz w:val="17"/>
                <w:szCs w:val="17"/>
                <w:color w:val="auto"/>
              </w:rPr>
            </w:pPr>
          </w:p>
        </w:tc>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Change</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1640" w:type="dxa"/>
            <w:vAlign w:val="bottom"/>
          </w:tcPr>
          <w:p>
            <w:pPr>
              <w:spacing w:after="0"/>
              <w:rPr>
                <w:sz w:val="17"/>
                <w:szCs w:val="17"/>
                <w:color w:val="auto"/>
              </w:rPr>
            </w:pP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w:t>
            </w:r>
          </w:p>
        </w:tc>
        <w:tc>
          <w:tcPr>
            <w:tcW w:w="680" w:type="dxa"/>
            <w:vAlign w:val="bottom"/>
          </w:tcPr>
          <w:p>
            <w:pPr>
              <w:spacing w:after="0"/>
              <w:rPr>
                <w:sz w:val="17"/>
                <w:szCs w:val="17"/>
                <w:color w:val="auto"/>
              </w:rPr>
            </w:pPr>
          </w:p>
        </w:tc>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Research and</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development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33.6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46.7%   $</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89.5</w:t>
            </w:r>
          </w:p>
        </w:tc>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60.1%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55.9</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 of net</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w:t>
            </w:r>
          </w:p>
        </w:tc>
        <w:tc>
          <w:tcPr>
            <w:tcW w:w="11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w:t>
            </w:r>
          </w:p>
        </w:tc>
        <w:tc>
          <w:tcPr>
            <w:tcW w:w="13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bl>
    <w:p>
      <w:pPr>
        <w:spacing w:after="0" w:line="200" w:lineRule="exact"/>
        <w:rPr>
          <w:sz w:val="20"/>
          <w:szCs w:val="20"/>
          <w:color w:val="auto"/>
        </w:rPr>
      </w:pPr>
    </w:p>
    <w:p>
      <w:pPr>
        <w:spacing w:after="0" w:line="209" w:lineRule="exact"/>
        <w:rPr>
          <w:sz w:val="20"/>
          <w:szCs w:val="20"/>
          <w:color w:val="auto"/>
        </w:rPr>
      </w:pPr>
    </w:p>
    <w:p>
      <w:pPr>
        <w:ind w:right="3899" w:firstLine="211"/>
        <w:spacing w:after="0" w:line="290" w:lineRule="auto"/>
        <w:rPr>
          <w:sz w:val="20"/>
          <w:szCs w:val="20"/>
          <w:color w:val="auto"/>
        </w:rPr>
      </w:pPr>
      <w:r>
        <w:rPr>
          <w:rFonts w:ascii="Courier New" w:cs="Courier New" w:eastAsia="Courier New" w:hAnsi="Courier New"/>
          <w:sz w:val="16"/>
          <w:szCs w:val="16"/>
          <w:color w:val="auto"/>
        </w:rPr>
        <w:t>Research and development expenses, vary primarily with the number of wafers and personnel dedicated to new product and</w:t>
      </w:r>
    </w:p>
    <w:p>
      <w:pPr>
        <w:sectPr>
          <w:pgSz w:w="11900" w:h="16838" w:orient="portrait"/>
          <w:cols w:equalWidth="0" w:num="1">
            <w:col w:w="10219"/>
          </w:cols>
          <w:pgMar w:left="240" w:top="919" w:right="1440" w:bottom="0" w:gutter="0" w:footer="0" w:header="0"/>
        </w:sectPr>
      </w:pPr>
    </w:p>
    <w:bookmarkStart w:id="11" w:name="page12"/>
    <w:bookmarkEnd w:id="11"/>
    <w:p>
      <w:pPr>
        <w:ind w:right="3479"/>
        <w:spacing w:after="0" w:line="268" w:lineRule="auto"/>
        <w:rPr>
          <w:sz w:val="20"/>
          <w:szCs w:val="20"/>
          <w:color w:val="auto"/>
        </w:rPr>
      </w:pPr>
      <w:r>
        <w:rPr>
          <w:rFonts w:ascii="Courier New" w:cs="Courier New" w:eastAsia="Courier New" w:hAnsi="Courier New"/>
          <w:sz w:val="16"/>
          <w:szCs w:val="16"/>
          <w:color w:val="auto"/>
        </w:rPr>
        <w:t>process development. Efforts in the third quarter of 1995 were focused primarily on further development of 16 Meg DRAM shrinks,</w:t>
      </w:r>
    </w:p>
    <w:p>
      <w:pPr>
        <w:ind w:right="2839"/>
        <w:spacing w:after="0" w:line="272" w:lineRule="auto"/>
        <w:rPr>
          <w:sz w:val="20"/>
          <w:szCs w:val="20"/>
          <w:color w:val="auto"/>
        </w:rPr>
      </w:pPr>
      <w:r>
        <w:rPr>
          <w:rFonts w:ascii="Courier New" w:cs="Courier New" w:eastAsia="Courier New" w:hAnsi="Courier New"/>
          <w:sz w:val="16"/>
          <w:szCs w:val="16"/>
          <w:color w:val="auto"/>
        </w:rPr>
        <w:t>4 Meg DRAM shrinks, and the 32K x 36 synchronous SRAM, and design and development of the 64 Meg and 256 Meg DRAMs. In addition to such efforts, research and development efforts in the remainder of 1995 are expected to be focused on design and development of new technologies, including radio frequency identification products, nonvolatile semiconductor memory devices, and field emission flat panel displays.</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42"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2580" w:type="dxa"/>
            <w:vAlign w:val="bottom"/>
            <w:gridSpan w:val="3"/>
          </w:tcPr>
          <w:p>
            <w:pPr>
              <w:ind w:left="1100"/>
              <w:spacing w:after="0"/>
              <w:rPr>
                <w:sz w:val="20"/>
                <w:szCs w:val="20"/>
                <w:color w:val="auto"/>
              </w:rPr>
            </w:pPr>
            <w:r>
              <w:rPr>
                <w:rFonts w:ascii="Courier New" w:cs="Courier New" w:eastAsia="Courier New" w:hAnsi="Courier New"/>
                <w:sz w:val="18"/>
                <w:szCs w:val="18"/>
                <w:color w:val="auto"/>
              </w:rPr>
              <w:t>Third Quarter</w:t>
            </w:r>
          </w:p>
        </w:tc>
        <w:tc>
          <w:tcPr>
            <w:tcW w:w="680" w:type="dxa"/>
            <w:vAlign w:val="bottom"/>
          </w:tcPr>
          <w:p>
            <w:pPr>
              <w:spacing w:after="0"/>
              <w:rPr>
                <w:sz w:val="17"/>
                <w:szCs w:val="17"/>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Nine Months Ended</w:t>
            </w:r>
          </w:p>
        </w:tc>
        <w:tc>
          <w:tcPr>
            <w:tcW w:w="5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2160" w:type="dxa"/>
            <w:vAlign w:val="bottom"/>
            <w:gridSpan w:val="2"/>
          </w:tcPr>
          <w:p>
            <w:pPr>
              <w:ind w:left="360"/>
              <w:spacing w:after="0"/>
              <w:rPr>
                <w:sz w:val="20"/>
                <w:szCs w:val="20"/>
                <w:color w:val="auto"/>
              </w:rPr>
            </w:pPr>
            <w:r>
              <w:rPr>
                <w:rFonts w:ascii="Courier New" w:cs="Courier New" w:eastAsia="Courier New" w:hAnsi="Courier New"/>
                <w:sz w:val="16"/>
                <w:szCs w:val="16"/>
                <w:color w:val="auto"/>
                <w:w w:val="71"/>
              </w:rPr>
              <w:t>--------------------------</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142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1995</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Change</w:t>
            </w:r>
          </w:p>
        </w:tc>
        <w:tc>
          <w:tcPr>
            <w:tcW w:w="4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w:t>
            </w:r>
          </w:p>
        </w:tc>
        <w:tc>
          <w:tcPr>
            <w:tcW w:w="4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1540" w:type="dxa"/>
            <w:vAlign w:val="bottom"/>
          </w:tcPr>
          <w:p>
            <w:pPr>
              <w:spacing w:after="0"/>
              <w:rPr>
                <w:sz w:val="17"/>
                <w:szCs w:val="17"/>
                <w:color w:val="auto"/>
              </w:rPr>
            </w:pPr>
          </w:p>
        </w:tc>
        <w:tc>
          <w:tcPr>
            <w:tcW w:w="2160" w:type="dxa"/>
            <w:vAlign w:val="bottom"/>
            <w:gridSpan w:val="2"/>
          </w:tcPr>
          <w:p>
            <w:pPr>
              <w:ind w:left="360"/>
              <w:spacing w:after="0"/>
              <w:rPr>
                <w:sz w:val="20"/>
                <w:szCs w:val="20"/>
                <w:color w:val="auto"/>
              </w:rPr>
            </w:pPr>
            <w:r>
              <w:rPr>
                <w:rFonts w:ascii="Courier New" w:cs="Courier New" w:eastAsia="Courier New" w:hAnsi="Courier New"/>
                <w:sz w:val="16"/>
                <w:szCs w:val="16"/>
                <w:color w:val="auto"/>
                <w:w w:val="71"/>
              </w:rPr>
              <w:t>--------------------------</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Income tax</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  132.2</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337.8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w:t>
            </w:r>
          </w:p>
        </w:tc>
        <w:tc>
          <w:tcPr>
            <w:tcW w:w="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145.5</w:t>
            </w:r>
          </w:p>
        </w:tc>
      </w:tr>
    </w:tbl>
    <w:p>
      <w:pPr>
        <w:spacing w:after="0" w:line="200" w:lineRule="exact"/>
        <w:rPr>
          <w:sz w:val="20"/>
          <w:szCs w:val="20"/>
          <w:color w:val="auto"/>
        </w:rPr>
      </w:pPr>
    </w:p>
    <w:p>
      <w:pPr>
        <w:spacing w:after="0" w:line="209" w:lineRule="exact"/>
        <w:rPr>
          <w:sz w:val="20"/>
          <w:szCs w:val="20"/>
          <w:color w:val="auto"/>
        </w:rPr>
      </w:pPr>
    </w:p>
    <w:p>
      <w:pPr>
        <w:jc w:val="both"/>
        <w:ind w:right="3899" w:firstLine="211"/>
        <w:spacing w:after="0" w:line="236" w:lineRule="auto"/>
        <w:rPr>
          <w:sz w:val="20"/>
          <w:szCs w:val="20"/>
          <w:color w:val="auto"/>
        </w:rPr>
      </w:pPr>
      <w:r>
        <w:rPr>
          <w:rFonts w:ascii="Courier New" w:cs="Courier New" w:eastAsia="Courier New" w:hAnsi="Courier New"/>
          <w:sz w:val="18"/>
          <w:szCs w:val="18"/>
          <w:color w:val="auto"/>
        </w:rPr>
        <w:t>During the second quarter of 1995, the Company changed its estimate of the effective income tax rate for fiscal 1995 to 37.5% from 36.0%.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The Company had cash and liquid investments of approximately $624 million as of June 1, 1995, representing an increase of approximately $191 million during the first nine months of 1995. The Company's principal sources of liquidity during the first nine months of 1995 were cash flows from operations of $694 million, equipment financing of $142 million, issuance of long-term debt of $60 million, $14 million from cash acquired in the merger transaction, and $14 million from the issuance of common stock in connection with the Company's employee stock purchase and stock option plans. The principal uses of funds in the first nine months of 1995 were $594 million for property, plant, and equipment, $116 million for payments on equipment contracts, $27 million for payments on long-term debt, and $10 million for payment of cash dividends on common stock.</w:t>
      </w:r>
    </w:p>
    <w:p>
      <w:pPr>
        <w:spacing w:after="0" w:line="208" w:lineRule="exact"/>
        <w:rPr>
          <w:sz w:val="20"/>
          <w:szCs w:val="20"/>
          <w:color w:val="auto"/>
        </w:rPr>
      </w:pPr>
    </w:p>
    <w:p>
      <w:pPr>
        <w:ind w:right="3479" w:firstLine="211"/>
        <w:spacing w:after="0" w:line="269" w:lineRule="auto"/>
        <w:rPr>
          <w:sz w:val="20"/>
          <w:szCs w:val="20"/>
          <w:color w:val="auto"/>
        </w:rPr>
      </w:pPr>
      <w:r>
        <w:rPr>
          <w:rFonts w:ascii="Courier New" w:cs="Courier New" w:eastAsia="Courier New" w:hAnsi="Courier New"/>
          <w:sz w:val="16"/>
          <w:szCs w:val="16"/>
          <w:color w:val="auto"/>
        </w:rPr>
        <w:t>As of June 1, 1995, the Company had contractual commitments, extending into fiscal 1997, of approximately $615 million for equipment purchases and approximately $69 million for the construction of buildings. Expansion of the Boise manufacturing site is continuing with substantial conversion of Fab III to 8-inch wafer processing capabilities targeted for the end of calendar 1995 and Fab I/II conversion targeted for the end of fiscal 1996. Initial occupancy has begun on the Test and Assembly facility with final occupancy targeted for the end of the calendar year. The new research and development fab is nearly ready for occupancy and the central implant facility is complete with an additional expansion begun. In addition, initial construction on the manufacturing complex located in Lehi, Utah is targeted to begin this summer. Capital expenditures associated with construction and equipment for the Utah complex are expected to exceed $1.5 billion. Completion of this long-term expansion project could take up to four years and will proceed in stages as future market conditions allow.</w:t>
      </w:r>
    </w:p>
    <w:p>
      <w:pPr>
        <w:spacing w:after="0" w:line="395"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During the third quarter of 1995, the Company terminated its bank credit agreement which provided for borrowings of up to $120 million. There were no borrowings under the agreement during 1995.</w:t>
      </w:r>
    </w:p>
    <w:p>
      <w:pPr>
        <w:spacing w:after="0" w:line="207" w:lineRule="exact"/>
        <w:rPr>
          <w:sz w:val="20"/>
          <w:szCs w:val="20"/>
          <w:color w:val="auto"/>
        </w:rPr>
      </w:pPr>
    </w:p>
    <w:p>
      <w:pPr>
        <w:ind w:right="3359" w:firstLine="211"/>
        <w:spacing w:after="0" w:line="270" w:lineRule="auto"/>
        <w:rPr>
          <w:sz w:val="20"/>
          <w:szCs w:val="20"/>
          <w:color w:val="auto"/>
        </w:rPr>
      </w:pPr>
      <w:r>
        <w:rPr>
          <w:rFonts w:ascii="Courier New" w:cs="Courier New" w:eastAsia="Courier New" w:hAnsi="Courier New"/>
          <w:sz w:val="16"/>
          <w:szCs w:val="16"/>
          <w:color w:val="auto"/>
        </w:rPr>
        <w:t>The Company believes continuing investments in manufacturing technology, facilities and capital equipment, research and development, and product and process technology are necessary to support future growth, achieve operating efficiencies, and maintain product quality. Although the Company has recently been able to fund its liquidity needs principally through cash flows from operations and equipment financings, external sources of cash have been required historically to supplement the Company's cash flows from operations to fund such investments. In order to fund the Company's current capital development program as scheduled, the Company may be required to pursue external sources of liquidity. There can be no assurance that external funds will be available to fund the Company's ongoing operations or capital development on terms acceptable to the Company.</w:t>
      </w: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97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Certain Factors</w:t>
      </w:r>
    </w:p>
    <w:p>
      <w:pPr>
        <w:spacing w:after="0" w:line="207"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Demand for semiconductor memory products has grown, fueled primarily by growth in the personal computer industry. Many of the Company's competitors are adding new facilities designed to process 8-inch wafers, which have approximately 84% greater usable surface area than the 6-inch wafer currently used by the Company. Excess supply as a result of increased semiconductor manufacturing capacity, adverse market conditions, or currency fluctuation resulting in a strengthening dollar against the yen, could result in downward pricing pressure. A decline in the current favorable product pricing would have a material adverse effect on the Company's results of operations.</w:t>
      </w:r>
    </w:p>
    <w:p>
      <w:pPr>
        <w:spacing w:after="0" w:line="209" w:lineRule="exact"/>
        <w:rPr>
          <w:sz w:val="20"/>
          <w:szCs w:val="20"/>
          <w:color w:val="auto"/>
        </w:rPr>
      </w:pPr>
    </w:p>
    <w:p>
      <w:pPr>
        <w:ind w:right="3359" w:firstLine="211"/>
        <w:spacing w:after="0" w:line="270" w:lineRule="auto"/>
        <w:rPr>
          <w:sz w:val="20"/>
          <w:szCs w:val="20"/>
          <w:color w:val="auto"/>
        </w:rPr>
      </w:pPr>
      <w:r>
        <w:rPr>
          <w:rFonts w:ascii="Courier New" w:cs="Courier New" w:eastAsia="Courier New" w:hAnsi="Courier New"/>
          <w:sz w:val="16"/>
          <w:szCs w:val="16"/>
          <w:color w:val="auto"/>
        </w:rPr>
        <w:t>The manufacture of the Company's semiconductor memory products is a complex process and involves a number of precise steps, including wafer fabrication, assembly in a variety of packages, burn-in, and final test. From time to time, the Company has experienced volatility in its manufacturing yields, as it is not unusual to encounter difficulties in ramping shrink versions of existing devices or new generation devices to commercial volumes. The Company's net sales and operating results are highly dependent on increasing yields at an acceptable rate and to an acceptable level, of which there can be no assurance. Future results of operations may be adversely impacted if the Company is unable to transition to future generation products in a timely fashion or at gross margin rates comparable to the Company's current primary memory products.</w:t>
      </w:r>
    </w:p>
    <w:p>
      <w:pPr>
        <w:spacing w:after="0" w:line="388" w:lineRule="exact"/>
        <w:rPr>
          <w:sz w:val="20"/>
          <w:szCs w:val="20"/>
          <w:color w:val="auto"/>
        </w:rPr>
      </w:pPr>
    </w:p>
    <w:p>
      <w:pPr>
        <w:jc w:val="both"/>
        <w:ind w:right="3359" w:firstLine="211"/>
        <w:spacing w:after="0" w:line="268" w:lineRule="auto"/>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w:t>
      </w:r>
    </w:p>
    <w:p>
      <w:pPr>
        <w:spacing w:after="0" w:line="1"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 The Company has various product and process technology agreements expiring in the remainder of 1995. The Company is not able to predict whether these license agreements can be renewed on terms acceptable to the Company.</w:t>
      </w:r>
    </w:p>
    <w:p>
      <w:pPr>
        <w:spacing w:after="0" w:line="200" w:lineRule="exact"/>
        <w:rPr>
          <w:sz w:val="20"/>
          <w:szCs w:val="20"/>
          <w:color w:val="auto"/>
        </w:rPr>
      </w:pPr>
    </w:p>
    <w:p>
      <w:pPr>
        <w:spacing w:after="0" w:line="38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4" w:name="page15"/>
    <w:bookmarkEnd w:id="14"/>
    <w:p>
      <w:pPr>
        <w:ind w:left="2120"/>
        <w:spacing w:after="0"/>
        <w:tabs>
          <w:tab w:leader="none" w:pos="31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The following are filed as a part of this report:</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Description</w:t>
            </w:r>
          </w:p>
        </w:tc>
        <w:tc>
          <w:tcPr>
            <w:tcW w:w="3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Exhibit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Number</w:t>
            </w:r>
          </w:p>
        </w:tc>
      </w:tr>
      <w:tr>
        <w:trPr>
          <w:trHeight w:val="405"/>
        </w:trPr>
        <w:tc>
          <w:tcPr>
            <w:tcW w:w="9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11</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w w:val="99"/>
              </w:rPr>
              <w:t>Computation</w:t>
            </w:r>
          </w:p>
        </w:tc>
        <w:tc>
          <w:tcPr>
            <w:tcW w:w="3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per share earnings for the</w:t>
            </w:r>
          </w:p>
        </w:tc>
        <w:tc>
          <w:tcPr>
            <w:tcW w:w="90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quarter and</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nine</w:t>
            </w:r>
          </w:p>
        </w:tc>
        <w:tc>
          <w:tcPr>
            <w:tcW w:w="2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month periods ended June</w:t>
            </w:r>
          </w:p>
        </w:tc>
        <w:tc>
          <w:tcPr>
            <w:tcW w:w="9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1, 1995 and</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w:t>
            </w:r>
          </w:p>
        </w:tc>
        <w:tc>
          <w:tcPr>
            <w:tcW w:w="2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2, 1994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 &amp; 15</w:t>
            </w:r>
          </w:p>
        </w:tc>
      </w:tr>
    </w:tbl>
    <w:p>
      <w:pPr>
        <w:spacing w:after="0" w:line="200" w:lineRule="exact"/>
        <w:rPr>
          <w:sz w:val="20"/>
          <w:szCs w:val="20"/>
          <w:color w:val="auto"/>
        </w:rPr>
      </w:pPr>
    </w:p>
    <w:p>
      <w:pPr>
        <w:spacing w:after="0" w:line="209" w:lineRule="exact"/>
        <w:rPr>
          <w:sz w:val="20"/>
          <w:szCs w:val="20"/>
          <w:color w:val="auto"/>
        </w:rPr>
      </w:pPr>
    </w:p>
    <w:p>
      <w:pPr>
        <w:ind w:right="3359" w:firstLine="8"/>
        <w:spacing w:after="0" w:line="237"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filed a report on Form 8-K dated April 3, 1995, announcing the approval by the Company's Board of Directors of a 2 for 1 stock split effected in the form of a stock dividend, and a $0.05 per share cash dividend for payment on June 14, 1995, to shareholders of record on June 5,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5" w:name="page16"/>
    <w:bookmarkEnd w:id="15"/>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3479" w:firstLine="211"/>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20,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Wilbur G. Stover,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Wilbur G. Stover, Jr.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Finance, and Chief Financial Officer</w:t>
      </w:r>
    </w:p>
    <w:p>
      <w:pPr>
        <w:spacing w:after="0" w:line="238" w:lineRule="auto"/>
        <w:rPr>
          <w:sz w:val="20"/>
          <w:szCs w:val="20"/>
          <w:color w:val="auto"/>
        </w:rPr>
      </w:pPr>
      <w:r>
        <w:rPr>
          <w:rFonts w:ascii="Courier New" w:cs="Courier New" w:eastAsia="Courier New" w:hAnsi="Courier New"/>
          <w:sz w:val="18"/>
          <w:szCs w:val="18"/>
          <w:color w:val="auto"/>
        </w:rPr>
        <w:t>(Principal Financial and Accounting</w:t>
      </w: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3">
            <w:col w:w="640" w:space="220"/>
            <w:col w:w="1580" w:space="720"/>
            <w:col w:w="7059"/>
          </w:cols>
          <w:pgMar w:left="24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514" w:right="1440" w:bottom="1440" w:gutter="0" w:footer="0" w:header="0"/>
          <w:type w:val="continuous"/>
        </w:sectPr>
      </w:pPr>
    </w:p>
    <w:bookmarkStart w:id="16" w:name="page17"/>
    <w:bookmarkEnd w:id="16"/>
    <w:tbl>
      <w:tblPr>
        <w:tblLayout w:type="fixed"/>
        <w:tblInd w:w="86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Exhibit</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11</w:t>
            </w:r>
          </w:p>
        </w:tc>
      </w:tr>
      <w:tr>
        <w:trPr>
          <w:trHeight w:val="405"/>
        </w:trPr>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MICRON</w:t>
            </w:r>
          </w:p>
        </w:tc>
        <w:tc>
          <w:tcPr>
            <w:tcW w:w="31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TECHNOLOGY, INC.</w:t>
            </w:r>
          </w:p>
        </w:tc>
      </w:tr>
      <w:tr>
        <w:trPr>
          <w:trHeight w:val="405"/>
        </w:trPr>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Computation</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of Per</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Share Amounts</w:t>
            </w:r>
          </w:p>
        </w:tc>
      </w:tr>
      <w:tr>
        <w:trPr>
          <w:trHeight w:val="203"/>
        </w:trPr>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(Amounts in millions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except</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for per share amounts)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tabs>
          <w:tab w:leader="none" w:pos="6300" w:val="left"/>
        </w:tabs>
        <w:rPr>
          <w:sz w:val="20"/>
          <w:szCs w:val="20"/>
          <w:color w:val="auto"/>
        </w:rPr>
      </w:pPr>
      <w:r>
        <w:rPr>
          <w:rFonts w:ascii="Courier New" w:cs="Courier New" w:eastAsia="Courier New" w:hAnsi="Courier New"/>
          <w:sz w:val="18"/>
          <w:szCs w:val="18"/>
          <w:color w:val="auto"/>
        </w:rPr>
        <w:t>June 1,</w:t>
      </w:r>
      <w:r>
        <w:rPr>
          <w:sz w:val="20"/>
          <w:szCs w:val="20"/>
          <w:color w:val="auto"/>
        </w:rPr>
        <w:tab/>
      </w:r>
      <w:r>
        <w:rPr>
          <w:rFonts w:ascii="Courier New" w:cs="Courier New" w:eastAsia="Courier New" w:hAnsi="Courier New"/>
          <w:sz w:val="16"/>
          <w:szCs w:val="16"/>
          <w:color w:val="auto"/>
        </w:rPr>
        <w:t>June 2,</w:t>
      </w:r>
    </w:p>
    <w:p>
      <w:pPr>
        <w:spacing w:after="0"/>
        <w:tabs>
          <w:tab w:leader="none" w:pos="4520" w:val="left"/>
          <w:tab w:leader="none" w:pos="6420" w:val="left"/>
        </w:tabs>
        <w:rPr>
          <w:sz w:val="20"/>
          <w:szCs w:val="20"/>
          <w:color w:val="auto"/>
        </w:rPr>
      </w:pPr>
      <w:r>
        <w:rPr>
          <w:rFonts w:ascii="Courier New" w:cs="Courier New" w:eastAsia="Courier New" w:hAnsi="Courier New"/>
          <w:sz w:val="18"/>
          <w:szCs w:val="18"/>
          <w:color w:val="auto"/>
        </w:rPr>
        <w:t>Quarter Ended</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6"/>
          <w:szCs w:val="16"/>
          <w:color w:val="auto"/>
        </w:rPr>
        <w:t>1994</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PRIMARY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outstanding</w:t>
            </w: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205.6</w:t>
            </w:r>
          </w:p>
        </w:tc>
        <w:tc>
          <w:tcPr>
            <w:tcW w:w="7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203.2</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options using average market</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price</w:t>
            </w: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9.5</w:t>
            </w:r>
          </w:p>
        </w:tc>
        <w:tc>
          <w:tcPr>
            <w:tcW w:w="7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4280" w:type="dxa"/>
            <w:vAlign w:val="bottom"/>
          </w:tcPr>
          <w:p>
            <w:pPr>
              <w:spacing w:after="0"/>
              <w:rPr>
                <w:sz w:val="17"/>
                <w:szCs w:val="17"/>
                <w:color w:val="auto"/>
              </w:rPr>
            </w:pPr>
          </w:p>
        </w:tc>
        <w:tc>
          <w:tcPr>
            <w:tcW w:w="14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215.1</w:t>
            </w:r>
          </w:p>
        </w:tc>
        <w:tc>
          <w:tcPr>
            <w:tcW w:w="7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211.3</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220.2</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104.3</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Per share amount</w:t>
            </w:r>
          </w:p>
        </w:tc>
        <w:tc>
          <w:tcPr>
            <w:tcW w:w="260" w:type="dxa"/>
            <w:vAlign w:val="bottom"/>
          </w:tcPr>
          <w:p>
            <w:pPr>
              <w:spacing w:after="0"/>
              <w:rPr>
                <w:sz w:val="24"/>
                <w:szCs w:val="24"/>
                <w:color w:val="auto"/>
              </w:rPr>
            </w:pP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$1.02</w:t>
            </w:r>
          </w:p>
        </w:tc>
        <w:tc>
          <w:tcPr>
            <w:tcW w:w="7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$0.49</w:t>
            </w:r>
          </w:p>
        </w:tc>
      </w:t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8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260" w:type="dxa"/>
            <w:vAlign w:val="bottom"/>
          </w:tcPr>
          <w:p>
            <w:pPr>
              <w:spacing w:after="0"/>
              <w:rPr>
                <w:sz w:val="24"/>
                <w:szCs w:val="24"/>
                <w:color w:val="auto"/>
              </w:rPr>
            </w:pP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205.6</w:t>
            </w:r>
          </w:p>
        </w:tc>
        <w:tc>
          <w:tcPr>
            <w:tcW w:w="7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203.2</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Stock options using greater of average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or ending market price</w:t>
            </w: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10.2</w:t>
            </w:r>
          </w:p>
        </w:tc>
        <w:tc>
          <w:tcPr>
            <w:tcW w:w="7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4280" w:type="dxa"/>
            <w:vAlign w:val="bottom"/>
          </w:tcPr>
          <w:p>
            <w:pPr>
              <w:spacing w:after="0"/>
              <w:rPr>
                <w:sz w:val="17"/>
                <w:szCs w:val="17"/>
                <w:color w:val="auto"/>
              </w:rPr>
            </w:pPr>
          </w:p>
        </w:tc>
        <w:tc>
          <w:tcPr>
            <w:tcW w:w="14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215.8</w:t>
            </w:r>
          </w:p>
        </w:tc>
        <w:tc>
          <w:tcPr>
            <w:tcW w:w="7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211.4</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220.2</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104.3</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Per share amount</w:t>
            </w:r>
          </w:p>
        </w:tc>
        <w:tc>
          <w:tcPr>
            <w:tcW w:w="260" w:type="dxa"/>
            <w:vAlign w:val="bottom"/>
          </w:tcPr>
          <w:p>
            <w:pPr>
              <w:spacing w:after="0"/>
              <w:rPr>
                <w:sz w:val="24"/>
                <w:szCs w:val="24"/>
                <w:color w:val="auto"/>
              </w:rPr>
            </w:pP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$1.02</w:t>
            </w:r>
          </w:p>
        </w:tc>
        <w:tc>
          <w:tcPr>
            <w:tcW w:w="7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$0.49</w:t>
            </w:r>
          </w:p>
        </w:tc>
      </w:t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37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Computation of Per Share Amounts</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(Amounts in millions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40"/>
        <w:spacing w:after="0"/>
        <w:tabs>
          <w:tab w:leader="none" w:pos="6300" w:val="left"/>
        </w:tabs>
        <w:rPr>
          <w:sz w:val="20"/>
          <w:szCs w:val="20"/>
          <w:color w:val="auto"/>
        </w:rPr>
      </w:pPr>
      <w:r>
        <w:rPr>
          <w:rFonts w:ascii="Courier New" w:cs="Courier New" w:eastAsia="Courier New" w:hAnsi="Courier New"/>
          <w:sz w:val="18"/>
          <w:szCs w:val="18"/>
          <w:color w:val="auto"/>
        </w:rPr>
        <w:t>June 1,</w:t>
      </w:r>
      <w:r>
        <w:rPr>
          <w:sz w:val="20"/>
          <w:szCs w:val="20"/>
          <w:color w:val="auto"/>
        </w:rPr>
        <w:tab/>
      </w:r>
      <w:r>
        <w:rPr>
          <w:rFonts w:ascii="Courier New" w:cs="Courier New" w:eastAsia="Courier New" w:hAnsi="Courier New"/>
          <w:sz w:val="16"/>
          <w:szCs w:val="16"/>
          <w:color w:val="auto"/>
        </w:rPr>
        <w:t>June 2,</w:t>
      </w:r>
    </w:p>
    <w:p>
      <w:pPr>
        <w:spacing w:after="0"/>
        <w:tabs>
          <w:tab w:leader="none" w:pos="4620" w:val="left"/>
          <w:tab w:leader="none" w:pos="6420" w:val="left"/>
        </w:tabs>
        <w:rPr>
          <w:sz w:val="20"/>
          <w:szCs w:val="20"/>
          <w:color w:val="auto"/>
        </w:rPr>
      </w:pPr>
      <w:r>
        <w:rPr>
          <w:rFonts w:ascii="Courier New" w:cs="Courier New" w:eastAsia="Courier New" w:hAnsi="Courier New"/>
          <w:sz w:val="18"/>
          <w:szCs w:val="18"/>
          <w:color w:val="auto"/>
        </w:rPr>
        <w:t>Nine Months Ended</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6"/>
          <w:szCs w:val="16"/>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PRIMARY</w:t>
            </w:r>
          </w:p>
        </w:tc>
        <w:tc>
          <w:tcPr>
            <w:tcW w:w="3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40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Weighted average shares</w:t>
            </w:r>
          </w:p>
        </w:tc>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outstanding</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204.8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202.0</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w:t>
            </w:r>
          </w:p>
        </w:tc>
        <w:tc>
          <w:tcPr>
            <w:tcW w:w="3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options using average market</w:t>
            </w: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price</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7.9</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8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3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212.7</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208.2</w:t>
            </w:r>
          </w:p>
        </w:tc>
      </w:tr>
    </w:tbl>
    <w:p>
      <w:pPr>
        <w:sectPr>
          <w:pgSz w:w="11900" w:h="16838" w:orient="portrait"/>
          <w:cols w:equalWidth="0" w:num="1">
            <w:col w:w="10219"/>
          </w:cols>
          <w:pgMar w:left="240" w:top="339" w:right="1440"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563.0</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258.6</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Per share amount</w:t>
            </w:r>
          </w:p>
        </w:tc>
        <w:tc>
          <w:tcPr>
            <w:tcW w:w="260" w:type="dxa"/>
            <w:vAlign w:val="bottom"/>
          </w:tcPr>
          <w:p>
            <w:pPr>
              <w:spacing w:after="0"/>
              <w:rPr>
                <w:sz w:val="24"/>
                <w:szCs w:val="24"/>
                <w:color w:val="auto"/>
              </w:rPr>
            </w:pP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$2.65</w:t>
            </w:r>
          </w:p>
        </w:tc>
        <w:tc>
          <w:tcPr>
            <w:tcW w:w="7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$1.24</w:t>
            </w:r>
          </w:p>
        </w:tc>
      </w:t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8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260" w:type="dxa"/>
            <w:vAlign w:val="bottom"/>
          </w:tcPr>
          <w:p>
            <w:pPr>
              <w:spacing w:after="0"/>
              <w:rPr>
                <w:sz w:val="24"/>
                <w:szCs w:val="24"/>
                <w:color w:val="auto"/>
              </w:rPr>
            </w:pP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204.8</w:t>
            </w:r>
          </w:p>
        </w:tc>
        <w:tc>
          <w:tcPr>
            <w:tcW w:w="7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202.0</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Stock options using greater of average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or ending market price</w:t>
            </w: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9.9</w:t>
            </w:r>
          </w:p>
        </w:tc>
        <w:tc>
          <w:tcPr>
            <w:tcW w:w="7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4280" w:type="dxa"/>
            <w:vAlign w:val="bottom"/>
          </w:tcPr>
          <w:p>
            <w:pPr>
              <w:spacing w:after="0"/>
              <w:rPr>
                <w:sz w:val="17"/>
                <w:szCs w:val="17"/>
                <w:color w:val="auto"/>
              </w:rPr>
            </w:pPr>
          </w:p>
        </w:tc>
        <w:tc>
          <w:tcPr>
            <w:tcW w:w="14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214.7</w:t>
            </w:r>
          </w:p>
        </w:tc>
        <w:tc>
          <w:tcPr>
            <w:tcW w:w="7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209.8</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563.0</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258.6</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Per share amount</w:t>
            </w:r>
          </w:p>
        </w:tc>
        <w:tc>
          <w:tcPr>
            <w:tcW w:w="260" w:type="dxa"/>
            <w:vAlign w:val="bottom"/>
          </w:tcPr>
          <w:p>
            <w:pPr>
              <w:spacing w:after="0"/>
              <w:rPr>
                <w:sz w:val="24"/>
                <w:szCs w:val="24"/>
                <w:color w:val="auto"/>
              </w:rPr>
            </w:pP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$2.62</w:t>
            </w:r>
          </w:p>
        </w:tc>
        <w:tc>
          <w:tcPr>
            <w:tcW w:w="7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$1.23</w:t>
            </w:r>
          </w:p>
        </w:tc>
      </w:t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39" w:right="1440" w:bottom="1440" w:gutter="0" w:footer="0" w:header="0"/>
        </w:sectPr>
      </w:pPr>
    </w:p>
    <w:bookmarkStart w:id="18" w:name="page19"/>
    <w:bookmarkEnd w:id="18"/>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599" w:firstLine="527"/>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the accompanying financial statements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AUG-31-1995</w:t>
      </w:r>
    </w:p>
    <w:p>
      <w:pPr>
        <w:ind w:left="3340"/>
        <w:spacing w:after="0"/>
        <w:rPr>
          <w:sz w:val="20"/>
          <w:szCs w:val="20"/>
          <w:color w:val="auto"/>
        </w:rPr>
      </w:pPr>
      <w:r>
        <w:rPr>
          <w:rFonts w:ascii="Courier New" w:cs="Courier New" w:eastAsia="Courier New" w:hAnsi="Courier New"/>
          <w:sz w:val="18"/>
          <w:szCs w:val="18"/>
          <w:color w:val="auto"/>
        </w:rPr>
        <w:t>JUN-1-1995</w:t>
      </w:r>
    </w:p>
    <w:p>
      <w:pPr>
        <w:jc w:val="center"/>
        <w:ind w:right="439"/>
        <w:spacing w:after="0" w:line="237" w:lineRule="auto"/>
        <w:rPr>
          <w:sz w:val="20"/>
          <w:szCs w:val="20"/>
          <w:color w:val="auto"/>
        </w:rPr>
      </w:pPr>
      <w:r>
        <w:rPr>
          <w:rFonts w:ascii="Courier New" w:cs="Courier New" w:eastAsia="Courier New" w:hAnsi="Courier New"/>
          <w:sz w:val="18"/>
          <w:szCs w:val="18"/>
          <w:color w:val="auto"/>
        </w:rPr>
        <w:t>118</w:t>
      </w:r>
    </w:p>
    <w:p>
      <w:pPr>
        <w:ind w:left="4080"/>
        <w:spacing w:after="0" w:line="238" w:lineRule="auto"/>
        <w:rPr>
          <w:sz w:val="20"/>
          <w:szCs w:val="20"/>
          <w:color w:val="auto"/>
        </w:rPr>
      </w:pPr>
      <w:r>
        <w:rPr>
          <w:rFonts w:ascii="Courier New" w:cs="Courier New" w:eastAsia="Courier New" w:hAnsi="Courier New"/>
          <w:sz w:val="18"/>
          <w:szCs w:val="18"/>
          <w:color w:val="auto"/>
        </w:rPr>
        <w:t>506</w:t>
      </w:r>
    </w:p>
    <w:p>
      <w:pPr>
        <w:ind w:left="3980"/>
        <w:spacing w:after="0"/>
        <w:rPr>
          <w:sz w:val="20"/>
          <w:szCs w:val="20"/>
          <w:color w:val="auto"/>
        </w:rPr>
      </w:pPr>
      <w:r>
        <w:rPr>
          <w:rFonts w:ascii="Courier New" w:cs="Courier New" w:eastAsia="Courier New" w:hAnsi="Courier New"/>
          <w:sz w:val="18"/>
          <w:szCs w:val="18"/>
          <w:color w:val="auto"/>
        </w:rPr>
        <w:t>355</w:t>
      </w:r>
    </w:p>
    <w:p>
      <w:pPr>
        <w:ind w:left="4180"/>
        <w:spacing w:after="0" w:line="237" w:lineRule="auto"/>
        <w:rPr>
          <w:sz w:val="20"/>
          <w:szCs w:val="20"/>
          <w:color w:val="auto"/>
        </w:rPr>
      </w:pPr>
      <w:r>
        <w:rPr>
          <w:rFonts w:ascii="Courier New" w:cs="Courier New" w:eastAsia="Courier New" w:hAnsi="Courier New"/>
          <w:sz w:val="18"/>
          <w:szCs w:val="18"/>
          <w:color w:val="auto"/>
        </w:rPr>
        <w:t>12</w:t>
      </w:r>
    </w:p>
    <w:p>
      <w:pPr>
        <w:ind w:left="4180"/>
        <w:spacing w:after="0"/>
        <w:rPr>
          <w:sz w:val="20"/>
          <w:szCs w:val="20"/>
          <w:color w:val="auto"/>
        </w:rPr>
      </w:pPr>
      <w:r>
        <w:rPr>
          <w:rFonts w:ascii="Courier New" w:cs="Courier New" w:eastAsia="Courier New" w:hAnsi="Courier New"/>
          <w:sz w:val="18"/>
          <w:szCs w:val="18"/>
          <w:color w:val="auto"/>
        </w:rPr>
        <w:t>197</w:t>
      </w:r>
    </w:p>
    <w:p>
      <w:pPr>
        <w:ind w:left="3440"/>
        <w:spacing w:after="0" w:line="237" w:lineRule="auto"/>
        <w:rPr>
          <w:sz w:val="20"/>
          <w:szCs w:val="20"/>
          <w:color w:val="auto"/>
        </w:rPr>
      </w:pPr>
      <w:r>
        <w:rPr>
          <w:rFonts w:ascii="Courier New" w:cs="Courier New" w:eastAsia="Courier New" w:hAnsi="Courier New"/>
          <w:sz w:val="18"/>
          <w:szCs w:val="18"/>
          <w:color w:val="auto"/>
        </w:rPr>
        <w:t>1,206</w:t>
      </w:r>
    </w:p>
    <w:p>
      <w:pPr>
        <w:ind w:left="4500"/>
        <w:spacing w:after="0"/>
        <w:rPr>
          <w:sz w:val="20"/>
          <w:szCs w:val="20"/>
          <w:color w:val="auto"/>
        </w:rPr>
      </w:pPr>
      <w:r>
        <w:rPr>
          <w:rFonts w:ascii="Courier New" w:cs="Courier New" w:eastAsia="Courier New" w:hAnsi="Courier New"/>
          <w:sz w:val="18"/>
          <w:szCs w:val="18"/>
          <w:color w:val="auto"/>
        </w:rPr>
        <w:t>1,683</w:t>
      </w:r>
    </w:p>
    <w:p>
      <w:pPr>
        <w:ind w:left="3860"/>
        <w:spacing w:after="0" w:line="237" w:lineRule="auto"/>
        <w:rPr>
          <w:sz w:val="20"/>
          <w:szCs w:val="20"/>
          <w:color w:val="auto"/>
        </w:rPr>
      </w:pPr>
      <w:r>
        <w:rPr>
          <w:rFonts w:ascii="Courier New" w:cs="Courier New" w:eastAsia="Courier New" w:hAnsi="Courier New"/>
          <w:sz w:val="18"/>
          <w:szCs w:val="18"/>
          <w:color w:val="auto"/>
        </w:rPr>
        <w:t>583</w:t>
      </w:r>
    </w:p>
    <w:p>
      <w:pPr>
        <w:ind w:left="3660"/>
        <w:spacing w:after="0" w:line="238" w:lineRule="auto"/>
        <w:rPr>
          <w:sz w:val="20"/>
          <w:szCs w:val="20"/>
          <w:color w:val="auto"/>
        </w:rPr>
      </w:pPr>
      <w:r>
        <w:rPr>
          <w:rFonts w:ascii="Courier New" w:cs="Courier New" w:eastAsia="Courier New" w:hAnsi="Courier New"/>
          <w:sz w:val="18"/>
          <w:szCs w:val="18"/>
          <w:color w:val="auto"/>
        </w:rPr>
        <w:t>2,404</w:t>
      </w:r>
    </w:p>
    <w:p>
      <w:pPr>
        <w:ind w:left="3120"/>
        <w:spacing w:after="0"/>
        <w:rPr>
          <w:sz w:val="20"/>
          <w:szCs w:val="20"/>
          <w:color w:val="auto"/>
        </w:rPr>
      </w:pPr>
      <w:r>
        <w:rPr>
          <w:rFonts w:ascii="Courier New" w:cs="Courier New" w:eastAsia="Courier New" w:hAnsi="Courier New"/>
          <w:sz w:val="18"/>
          <w:szCs w:val="18"/>
          <w:color w:val="auto"/>
        </w:rPr>
        <w:t>512</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21</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080"/>
        <w:spacing w:after="0" w:line="237" w:lineRule="auto"/>
        <w:rPr>
          <w:sz w:val="20"/>
          <w:szCs w:val="20"/>
          <w:color w:val="auto"/>
        </w:rPr>
      </w:pPr>
      <w:r>
        <w:rPr>
          <w:rFonts w:ascii="Courier New" w:cs="Courier New" w:eastAsia="Courier New" w:hAnsi="Courier New"/>
          <w:sz w:val="18"/>
          <w:szCs w:val="18"/>
          <w:color w:val="auto"/>
        </w:rPr>
        <w:t>1,597</w:t>
      </w:r>
    </w:p>
    <w:p>
      <w:pPr>
        <w:ind w:left="2180"/>
        <w:spacing w:after="0" w:line="238" w:lineRule="auto"/>
        <w:rPr>
          <w:sz w:val="20"/>
          <w:szCs w:val="20"/>
          <w:color w:val="auto"/>
        </w:rPr>
      </w:pPr>
      <w:r>
        <w:rPr>
          <w:rFonts w:ascii="Courier New" w:cs="Courier New" w:eastAsia="Courier New" w:hAnsi="Courier New"/>
          <w:sz w:val="18"/>
          <w:szCs w:val="18"/>
          <w:color w:val="auto"/>
        </w:rPr>
        <w:t>2,404</w:t>
      </w:r>
    </w:p>
    <w:p>
      <w:pPr>
        <w:ind w:left="4400"/>
        <w:spacing w:after="0"/>
        <w:rPr>
          <w:sz w:val="20"/>
          <w:szCs w:val="20"/>
          <w:color w:val="auto"/>
        </w:rPr>
      </w:pPr>
      <w:r>
        <w:rPr>
          <w:rFonts w:ascii="Courier New" w:cs="Courier New" w:eastAsia="Courier New" w:hAnsi="Courier New"/>
          <w:sz w:val="18"/>
          <w:szCs w:val="18"/>
          <w:color w:val="auto"/>
        </w:rPr>
        <w:t>1,925</w:t>
      </w:r>
    </w:p>
    <w:p>
      <w:pPr>
        <w:ind w:left="3440"/>
        <w:spacing w:after="0" w:line="237" w:lineRule="auto"/>
        <w:rPr>
          <w:sz w:val="20"/>
          <w:szCs w:val="20"/>
          <w:color w:val="auto"/>
        </w:rPr>
      </w:pPr>
      <w:r>
        <w:rPr>
          <w:rFonts w:ascii="Courier New" w:cs="Courier New" w:eastAsia="Courier New" w:hAnsi="Courier New"/>
          <w:sz w:val="18"/>
          <w:szCs w:val="18"/>
          <w:color w:val="auto"/>
        </w:rPr>
        <w:t>1,925</w:t>
      </w:r>
    </w:p>
    <w:p>
      <w:pPr>
        <w:jc w:val="center"/>
        <w:ind w:right="239"/>
        <w:spacing w:after="0"/>
        <w:rPr>
          <w:sz w:val="20"/>
          <w:szCs w:val="20"/>
          <w:color w:val="auto"/>
        </w:rPr>
      </w:pPr>
      <w:r>
        <w:rPr>
          <w:rFonts w:ascii="Courier New" w:cs="Courier New" w:eastAsia="Courier New" w:hAnsi="Courier New"/>
          <w:sz w:val="18"/>
          <w:szCs w:val="18"/>
          <w:color w:val="auto"/>
        </w:rPr>
        <w:t>849</w:t>
      </w:r>
    </w:p>
    <w:p>
      <w:pPr>
        <w:ind w:left="3980"/>
        <w:spacing w:after="0" w:line="237" w:lineRule="auto"/>
        <w:rPr>
          <w:sz w:val="20"/>
          <w:szCs w:val="20"/>
          <w:color w:val="auto"/>
        </w:rPr>
      </w:pPr>
      <w:r>
        <w:rPr>
          <w:rFonts w:ascii="Courier New" w:cs="Courier New" w:eastAsia="Courier New" w:hAnsi="Courier New"/>
          <w:sz w:val="18"/>
          <w:szCs w:val="18"/>
          <w:color w:val="auto"/>
        </w:rPr>
        <w:t>849</w:t>
      </w:r>
    </w:p>
    <w:p>
      <w:pPr>
        <w:jc w:val="right"/>
        <w:ind w:right="6199"/>
        <w:spacing w:after="0"/>
        <w:rPr>
          <w:sz w:val="20"/>
          <w:szCs w:val="20"/>
          <w:color w:val="auto"/>
        </w:rPr>
      </w:pPr>
      <w:r>
        <w:rPr>
          <w:rFonts w:ascii="Courier New" w:cs="Courier New" w:eastAsia="Courier New" w:hAnsi="Courier New"/>
          <w:sz w:val="18"/>
          <w:szCs w:val="18"/>
          <w:color w:val="auto"/>
        </w:rPr>
        <w:t>221</w:t>
      </w:r>
    </w:p>
    <w:p>
      <w:pPr>
        <w:jc w:val="right"/>
        <w:ind w:right="6199"/>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(17)</w:t>
      </w:r>
    </w:p>
    <w:p>
      <w:pPr>
        <w:ind w:left="3760"/>
        <w:spacing w:after="0" w:line="237" w:lineRule="auto"/>
        <w:rPr>
          <w:sz w:val="20"/>
          <w:szCs w:val="20"/>
          <w:color w:val="auto"/>
        </w:rPr>
      </w:pPr>
      <w:r>
        <w:rPr>
          <w:rFonts w:ascii="Courier New" w:cs="Courier New" w:eastAsia="Courier New" w:hAnsi="Courier New"/>
          <w:sz w:val="18"/>
          <w:szCs w:val="18"/>
          <w:color w:val="auto"/>
        </w:rPr>
        <w:t>352</w:t>
      </w:r>
    </w:p>
    <w:p>
      <w:pPr>
        <w:ind w:left="4080"/>
        <w:spacing w:after="0" w:line="238" w:lineRule="auto"/>
        <w:rPr>
          <w:sz w:val="20"/>
          <w:szCs w:val="20"/>
          <w:color w:val="auto"/>
        </w:rPr>
      </w:pPr>
      <w:r>
        <w:rPr>
          <w:rFonts w:ascii="Courier New" w:cs="Courier New" w:eastAsia="Courier New" w:hAnsi="Courier New"/>
          <w:sz w:val="18"/>
          <w:szCs w:val="18"/>
          <w:color w:val="auto"/>
        </w:rPr>
        <w:t>132</w:t>
      </w:r>
    </w:p>
    <w:p>
      <w:pPr>
        <w:ind w:left="3540"/>
        <w:spacing w:after="0"/>
        <w:rPr>
          <w:sz w:val="20"/>
          <w:szCs w:val="20"/>
          <w:color w:val="auto"/>
        </w:rPr>
      </w:pPr>
      <w:r>
        <w:rPr>
          <w:rFonts w:ascii="Courier New" w:cs="Courier New" w:eastAsia="Courier New" w:hAnsi="Courier New"/>
          <w:sz w:val="18"/>
          <w:szCs w:val="18"/>
          <w:color w:val="auto"/>
        </w:rPr>
        <w:t>0</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4080"/>
        <w:spacing w:after="0"/>
        <w:rPr>
          <w:sz w:val="20"/>
          <w:szCs w:val="20"/>
          <w:color w:val="auto"/>
        </w:rPr>
      </w:pPr>
      <w:r>
        <w:rPr>
          <w:rFonts w:ascii="Courier New" w:cs="Courier New" w:eastAsia="Courier New" w:hAnsi="Courier New"/>
          <w:sz w:val="18"/>
          <w:szCs w:val="18"/>
          <w:color w:val="auto"/>
        </w:rPr>
        <w:t>563</w:t>
      </w:r>
    </w:p>
    <w:p>
      <w:pPr>
        <w:ind w:left="3860"/>
        <w:spacing w:after="0" w:line="237" w:lineRule="auto"/>
        <w:rPr>
          <w:sz w:val="20"/>
          <w:szCs w:val="20"/>
          <w:color w:val="auto"/>
        </w:rPr>
      </w:pPr>
      <w:r>
        <w:rPr>
          <w:rFonts w:ascii="Courier New" w:cs="Courier New" w:eastAsia="Courier New" w:hAnsi="Courier New"/>
          <w:sz w:val="18"/>
          <w:szCs w:val="18"/>
          <w:color w:val="auto"/>
        </w:rPr>
        <w:t>2.65</w:t>
      </w:r>
    </w:p>
    <w:p>
      <w:pPr>
        <w:ind w:left="3860"/>
        <w:spacing w:after="0" w:line="238" w:lineRule="auto"/>
        <w:rPr>
          <w:sz w:val="20"/>
          <w:szCs w:val="20"/>
          <w:color w:val="auto"/>
        </w:rPr>
      </w:pPr>
      <w:r>
        <w:rPr>
          <w:rFonts w:ascii="Courier New" w:cs="Courier New" w:eastAsia="Courier New" w:hAnsi="Courier New"/>
          <w:sz w:val="18"/>
          <w:szCs w:val="18"/>
          <w:color w:val="auto"/>
        </w:rPr>
        <w:t>2.62</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6"/>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8"/>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2019-12-13T13:15:33Z</dcterms:created>
  <dcterms:modified xsi:type="dcterms:W3CDTF">2019-12-13T13:15:33Z</dcterms:modified>
</cp:coreProperties>
</file>