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9"/>
        <w:spacing w:after="0"/>
        <w:rPr>
          <w:sz w:val="20"/>
          <w:szCs w:val="20"/>
          <w:color w:val="auto"/>
        </w:rPr>
      </w:pPr>
      <w:r>
        <w:rPr>
          <w:rFonts w:ascii="Courier New" w:cs="Courier New" w:eastAsia="Courier New" w:hAnsi="Courier New"/>
          <w:sz w:val="17"/>
          <w:szCs w:val="17"/>
          <w:color w:val="auto"/>
        </w:rPr>
        <w:t>FORM 10-Q/A</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3040" w:right="2459" w:hanging="2614"/>
        <w:spacing w:after="0" w:line="257" w:lineRule="auto"/>
        <w:tabs>
          <w:tab w:leader="none" w:pos="84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For the quarterly period ended November 28, 1996</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[_] TRANSITION REPORT PURSUANT TO SECTION 13 OR 15(d) OF THE SECURITIES</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EXCHANGE ACT OF 1934</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Commission File Number: 1-10658</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State or other jurisdiction of incorporation or organization: Delaware</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Internal Revenue Service -- Employer Identification No. 75-1618004</w:t>
      </w:r>
    </w:p>
    <w:p>
      <w:pPr>
        <w:spacing w:after="0" w:line="200" w:lineRule="exact"/>
        <w:rPr>
          <w:sz w:val="24"/>
          <w:szCs w:val="24"/>
          <w:color w:val="auto"/>
        </w:rPr>
      </w:pPr>
    </w:p>
    <w:p>
      <w:pPr>
        <w:spacing w:after="0" w:line="21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8000 S. Federal Way, Boise, Idaho 83706-9632</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(208) 368-4000</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Indicate by check mark whether the registrant (1) has filed all reports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required to be filed by Section 13 or 15(d) of the Securities Exchange Act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1934 during the preceding 12 months (or for such shorter period that the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 such</w:t>
      </w:r>
    </w:p>
    <w:p>
      <w:pPr>
        <w:spacing w:after="0" w:line="9" w:lineRule="exact"/>
        <w:rPr>
          <w:sz w:val="24"/>
          <w:szCs w:val="24"/>
          <w:color w:val="auto"/>
        </w:rPr>
      </w:pPr>
    </w:p>
    <w:p>
      <w:pPr>
        <w:spacing w:after="0"/>
        <w:tabs>
          <w:tab w:leader="none" w:pos="4600" w:val="left"/>
          <w:tab w:leader="none" w:pos="5220" w:val="left"/>
          <w:tab w:leader="none" w:pos="6160" w:val="left"/>
        </w:tabs>
        <w:rPr>
          <w:sz w:val="20"/>
          <w:szCs w:val="20"/>
          <w:color w:val="auto"/>
        </w:rPr>
      </w:pPr>
      <w:r>
        <w:rPr>
          <w:rFonts w:ascii="Courier New" w:cs="Courier New" w:eastAsia="Courier New" w:hAnsi="Courier New"/>
          <w:sz w:val="17"/>
          <w:szCs w:val="17"/>
          <w:color w:val="auto"/>
        </w:rPr>
        <w:t>filing requirements for the past 90 days.</w:t>
      </w:r>
      <w:r>
        <w:rPr>
          <w:sz w:val="20"/>
          <w:szCs w:val="20"/>
          <w:color w:val="auto"/>
        </w:rPr>
        <w:tab/>
      </w: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No</w:t>
      </w:r>
    </w:p>
    <w:p>
      <w:pPr>
        <w:spacing w:after="0" w:line="9" w:lineRule="exact"/>
        <w:rPr>
          <w:sz w:val="24"/>
          <w:szCs w:val="24"/>
          <w:color w:val="auto"/>
        </w:rPr>
      </w:pPr>
    </w:p>
    <w:p>
      <w:pPr>
        <w:ind w:left="5040"/>
        <w:spacing w:after="0"/>
        <w:tabs>
          <w:tab w:leader="none" w:pos="6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4"/>
          <w:szCs w:val="24"/>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The number of outstanding shares of the registrant's Common Stock as of December 18, 1996 was 209,537,615.</w:t>
      </w:r>
    </w:p>
    <w:p>
      <w:pPr>
        <w:sectPr>
          <w:pgSz w:w="11900" w:h="16838" w:orient="portrait"/>
          <w:cols w:equalWidth="0" w:num="1">
            <w:col w:w="10219"/>
          </w:cols>
          <w:pgMar w:left="240" w:top="652" w:right="1440" w:bottom="1440" w:gutter="0" w:footer="0" w:header="0"/>
        </w:sectPr>
      </w:pPr>
    </w:p>
    <w:bookmarkStart w:id="1" w:name="page2"/>
    <w:bookmarkEnd w:id="1"/>
    <w:p>
      <w:pPr>
        <w:ind w:left="2620"/>
        <w:spacing w:after="0"/>
        <w:rPr>
          <w:sz w:val="20"/>
          <w:szCs w:val="20"/>
          <w:color w:val="auto"/>
        </w:rPr>
      </w:pPr>
      <w:r>
        <w:rPr>
          <w:rFonts w:ascii="Courier New" w:cs="Courier New" w:eastAsia="Courier New" w:hAnsi="Courier New"/>
          <w:sz w:val="17"/>
          <w:szCs w:val="17"/>
          <w:color w:val="auto"/>
        </w:rPr>
        <w:t>Part 1. FINANCIAL INFORMATION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Balance Sheets</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(Dollars in millions, except for par value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tabs>
          <w:tab w:leader="none" w:pos="7320" w:val="left"/>
        </w:tabs>
        <w:rPr>
          <w:sz w:val="20"/>
          <w:szCs w:val="20"/>
          <w:color w:val="auto"/>
        </w:rPr>
      </w:pPr>
      <w:r>
        <w:rPr>
          <w:rFonts w:ascii="Courier New" w:cs="Courier New" w:eastAsia="Courier New" w:hAnsi="Courier New"/>
          <w:sz w:val="17"/>
          <w:szCs w:val="17"/>
          <w:color w:val="auto"/>
        </w:rPr>
        <w:t>November 28,</w:t>
      </w:r>
      <w:r>
        <w:rPr>
          <w:sz w:val="20"/>
          <w:szCs w:val="20"/>
          <w:color w:val="auto"/>
        </w:rPr>
        <w:tab/>
      </w:r>
      <w:r>
        <w:rPr>
          <w:rFonts w:ascii="Courier New" w:cs="Courier New" w:eastAsia="Courier New" w:hAnsi="Courier New"/>
          <w:sz w:val="17"/>
          <w:szCs w:val="17"/>
          <w:color w:val="auto"/>
        </w:rPr>
        <w:t>August 29,</w:t>
      </w:r>
    </w:p>
    <w:p>
      <w:pPr>
        <w:spacing w:after="0" w:line="9" w:lineRule="exact"/>
        <w:rPr>
          <w:sz w:val="20"/>
          <w:szCs w:val="20"/>
          <w:color w:val="auto"/>
        </w:rPr>
      </w:pPr>
    </w:p>
    <w:p>
      <w:pPr>
        <w:spacing w:after="0"/>
        <w:tabs>
          <w:tab w:leader="none" w:pos="5440" w:val="left"/>
          <w:tab w:leader="none" w:pos="7520" w:val="left"/>
        </w:tabs>
        <w:rPr>
          <w:sz w:val="20"/>
          <w:szCs w:val="20"/>
          <w:color w:val="auto"/>
        </w:rPr>
      </w:pPr>
      <w:r>
        <w:rPr>
          <w:rFonts w:ascii="Courier New" w:cs="Courier New" w:eastAsia="Courier New" w:hAnsi="Courier New"/>
          <w:sz w:val="17"/>
          <w:szCs w:val="17"/>
          <w:color w:val="auto"/>
        </w:rPr>
        <w:t>As of</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1996</w:t>
      </w:r>
    </w:p>
    <w:p>
      <w:pPr>
        <w:spacing w:after="0" w:line="9"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Cash and equivalents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222.3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276.1</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Liquid investments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5.5</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10.7</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Receivables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315.3</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347.4</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304.1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251.4</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14.1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48.8</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65.0</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910.1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964.0</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Product and process technology, net</w:t>
            </w:r>
          </w:p>
        </w:tc>
        <w:tc>
          <w:tcPr>
            <w:tcW w:w="520" w:type="dxa"/>
            <w:vAlign w:val="bottom"/>
          </w:tcPr>
          <w:p>
            <w:pPr>
              <w:spacing w:after="0"/>
              <w:rPr>
                <w:sz w:val="24"/>
                <w:szCs w:val="24"/>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42.6</w:t>
            </w: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43.2</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2,740.1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2,708.1</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27.9</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36.2</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Total assets</w:t>
            </w: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$3,720.7</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$3,751.5</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expenses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427.0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423.7</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Short-term debt</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90.0</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Deferred income</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10.1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Equipment purchase contracts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63.5</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67.8</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103.8</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75.2</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604.4</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664.5</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520" w:type="dxa"/>
            <w:vAlign w:val="bottom"/>
          </w:tcPr>
          <w:p>
            <w:pPr>
              <w:spacing w:after="0"/>
              <w:rPr>
                <w:sz w:val="24"/>
                <w:szCs w:val="24"/>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305.6</w:t>
            </w: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314.6</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163.4</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157.4</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Non-current product and process technology</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43.2</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43.5</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18.6</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15.7</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Total liabilities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1,135.2</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1,195.7</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Minority interests</w:t>
            </w:r>
          </w:p>
        </w:tc>
        <w:tc>
          <w:tcPr>
            <w:tcW w:w="520" w:type="dxa"/>
            <w:vAlign w:val="bottom"/>
          </w:tcPr>
          <w:p>
            <w:pPr>
              <w:spacing w:after="0"/>
              <w:rPr>
                <w:sz w:val="24"/>
                <w:szCs w:val="24"/>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57.3</w:t>
            </w: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53.8</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Common stock, $0.10 par value, authorized</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1.0 billion shares, issued and outstanding</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209.3 million and 208.8 million shares,</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respectively</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20.9</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20.9</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Additional capital</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440.2</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434.7</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Retained earnings</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2,067.1</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2,046.4</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Total shareholders' equity</w:t>
            </w:r>
          </w:p>
        </w:tc>
        <w:tc>
          <w:tcPr>
            <w:tcW w:w="52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2,528.2</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2,502.0</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$3,720.7</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$3,751.5</w:t>
            </w:r>
          </w:p>
        </w:tc>
      </w:tr>
      <w:tr>
        <w:trPr>
          <w:trHeight w:val="201"/>
        </w:trPr>
        <w:tc>
          <w:tcPr>
            <w:tcW w:w="5140" w:type="dxa"/>
            <w:vAlign w:val="bottom"/>
          </w:tcPr>
          <w:p>
            <w:pPr>
              <w:spacing w:after="0"/>
              <w:rPr>
                <w:sz w:val="17"/>
                <w:szCs w:val="17"/>
                <w:color w:val="auto"/>
              </w:rPr>
            </w:pPr>
          </w:p>
        </w:tc>
        <w:tc>
          <w:tcPr>
            <w:tcW w:w="18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19" w:right="1440" w:bottom="1440" w:gutter="0" w:footer="0" w:header="0"/>
        </w:sectPr>
      </w:pPr>
    </w:p>
    <w:bookmarkStart w:id="2" w:name="page3"/>
    <w:bookmarkEnd w:id="2"/>
    <w:p>
      <w:pPr>
        <w:jc w:val="center"/>
        <w:ind w:right="193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(Amounts in millions, except for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3840" w:type="dxa"/>
            <w:vAlign w:val="bottom"/>
          </w:tcPr>
          <w:p>
            <w:pPr>
              <w:ind w:left="680"/>
              <w:spacing w:after="0"/>
              <w:rPr>
                <w:sz w:val="20"/>
                <w:szCs w:val="20"/>
                <w:color w:val="auto"/>
              </w:rPr>
            </w:pPr>
            <w:r>
              <w:rPr>
                <w:rFonts w:ascii="Courier New" w:cs="Courier New" w:eastAsia="Courier New" w:hAnsi="Courier New"/>
                <w:sz w:val="17"/>
                <w:szCs w:val="17"/>
                <w:color w:val="auto"/>
              </w:rPr>
              <w:t>(Unaudited)</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007"/>
        </w:trPr>
        <w:tc>
          <w:tcPr>
            <w:tcW w:w="2880" w:type="dxa"/>
            <w:vAlign w:val="bottom"/>
          </w:tcPr>
          <w:p>
            <w:pPr>
              <w:spacing w:after="0"/>
              <w:rPr>
                <w:sz w:val="24"/>
                <w:szCs w:val="24"/>
                <w:color w:val="auto"/>
              </w:rPr>
            </w:pPr>
          </w:p>
        </w:tc>
        <w:tc>
          <w:tcPr>
            <w:tcW w:w="3840" w:type="dxa"/>
            <w:vAlign w:val="bottom"/>
          </w:tcPr>
          <w:p>
            <w:pPr>
              <w:jc w:val="center"/>
              <w:ind w:left="1653"/>
              <w:spacing w:after="0"/>
              <w:rPr>
                <w:sz w:val="20"/>
                <w:szCs w:val="20"/>
                <w:color w:val="auto"/>
              </w:rPr>
            </w:pPr>
            <w:r>
              <w:rPr>
                <w:rFonts w:ascii="Courier New" w:cs="Courier New" w:eastAsia="Courier New" w:hAnsi="Courier New"/>
                <w:sz w:val="17"/>
                <w:szCs w:val="17"/>
                <w:color w:val="auto"/>
              </w:rPr>
              <w:t>November 28,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November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For the quarter ended</w:t>
            </w:r>
          </w:p>
        </w:tc>
        <w:tc>
          <w:tcPr>
            <w:tcW w:w="38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1996</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$ 728.1</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$ 1,185.8</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Cost of goods sold</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572.9</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538.1</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Selling, general and administrative</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66.6</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72.7</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Research and development</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47.2</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46.6</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ind w:left="960"/>
              <w:spacing w:after="0"/>
              <w:rPr>
                <w:sz w:val="20"/>
                <w:szCs w:val="20"/>
                <w:color w:val="auto"/>
              </w:rPr>
            </w:pPr>
            <w:r>
              <w:rPr>
                <w:rFonts w:ascii="Courier New" w:cs="Courier New" w:eastAsia="Courier New" w:hAnsi="Courier New"/>
                <w:sz w:val="17"/>
                <w:szCs w:val="17"/>
                <w:color w:val="auto"/>
              </w:rPr>
              <w:t>Total costs and expenses</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686.7</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657.4</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41.4</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528.4</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Interest expense (income), net</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2.1</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Income before income taxes and</w:t>
            </w: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minority interests</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39.3</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536.8</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Income tax provision</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15.6</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204.6</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Minority interests</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3.1</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  20.6</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328.5</w:t>
            </w:r>
          </w:p>
        </w:tc>
      </w:tr>
      <w:tr>
        <w:trPr>
          <w:trHeight w:val="201"/>
        </w:trPr>
        <w:tc>
          <w:tcPr>
            <w:tcW w:w="5140" w:type="dxa"/>
            <w:vAlign w:val="bottom"/>
          </w:tcPr>
          <w:p>
            <w:pPr>
              <w:spacing w:after="0"/>
              <w:rPr>
                <w:sz w:val="17"/>
                <w:szCs w:val="17"/>
                <w:color w:val="auto"/>
              </w:rPr>
            </w:pP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Primary</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$0.10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Fully diluted</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0.10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Number of shares used in per share calculations:</w:t>
            </w: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Primary</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214.0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217.2</w:t>
            </w:r>
          </w:p>
        </w:tc>
      </w:tr>
      <w:tr>
        <w:trPr>
          <w:trHeight w:val="201"/>
        </w:trPr>
        <w:tc>
          <w:tcPr>
            <w:tcW w:w="5140" w:type="dxa"/>
            <w:vAlign w:val="bottom"/>
          </w:tcPr>
          <w:p>
            <w:pPr>
              <w:ind w:left="420"/>
              <w:spacing w:after="0"/>
              <w:rPr>
                <w:sz w:val="20"/>
                <w:szCs w:val="20"/>
                <w:color w:val="auto"/>
              </w:rPr>
            </w:pPr>
            <w:r>
              <w:rPr>
                <w:rFonts w:ascii="Courier New" w:cs="Courier New" w:eastAsia="Courier New" w:hAnsi="Courier New"/>
                <w:sz w:val="17"/>
                <w:szCs w:val="17"/>
                <w:color w:val="auto"/>
              </w:rPr>
              <w:t>Fully diluted</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214.5</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217.2</w:t>
            </w:r>
          </w:p>
        </w:tc>
      </w:tr>
      <w:tr>
        <w:trPr>
          <w:trHeight w:val="403"/>
        </w:trPr>
        <w:tc>
          <w:tcPr>
            <w:tcW w:w="5140" w:type="dxa"/>
            <w:vAlign w:val="bottom"/>
          </w:tcPr>
          <w:p>
            <w:pPr>
              <w:spacing w:after="0"/>
              <w:rPr>
                <w:sz w:val="20"/>
                <w:szCs w:val="20"/>
                <w:color w:val="auto"/>
              </w:rPr>
            </w:pPr>
            <w:r>
              <w:rPr>
                <w:rFonts w:ascii="Courier New" w:cs="Courier New" w:eastAsia="Courier New" w:hAnsi="Courier New"/>
                <w:sz w:val="17"/>
                <w:szCs w:val="17"/>
                <w:color w:val="auto"/>
              </w:rPr>
              <w:t>Cash dividend declared per share</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3" w:name="page4"/>
    <w:bookmarkEnd w:id="3"/>
    <w:p>
      <w:pPr>
        <w:jc w:val="center"/>
        <w:ind w:right="3240"/>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9"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60"/>
        <w:spacing w:after="0"/>
        <w:tabs>
          <w:tab w:leader="none" w:pos="10040" w:val="left"/>
        </w:tabs>
        <w:rPr>
          <w:sz w:val="20"/>
          <w:szCs w:val="20"/>
          <w:color w:val="auto"/>
        </w:rPr>
      </w:pPr>
      <w:r>
        <w:rPr>
          <w:rFonts w:ascii="Courier New" w:cs="Courier New" w:eastAsia="Courier New" w:hAnsi="Courier New"/>
          <w:sz w:val="17"/>
          <w:szCs w:val="17"/>
          <w:color w:val="auto"/>
        </w:rPr>
        <w:t>November 28,</w:t>
      </w:r>
      <w:r>
        <w:rPr>
          <w:sz w:val="20"/>
          <w:szCs w:val="20"/>
          <w:color w:val="auto"/>
        </w:rPr>
        <w:tab/>
      </w:r>
      <w:r>
        <w:rPr>
          <w:rFonts w:ascii="Courier New" w:cs="Courier New" w:eastAsia="Courier New" w:hAnsi="Courier New"/>
          <w:sz w:val="17"/>
          <w:szCs w:val="17"/>
          <w:color w:val="auto"/>
        </w:rPr>
        <w:t>November 30,</w:t>
      </w:r>
    </w:p>
    <w:p>
      <w:pPr>
        <w:spacing w:after="0" w:line="9" w:lineRule="exact"/>
        <w:rPr>
          <w:sz w:val="20"/>
          <w:szCs w:val="20"/>
          <w:color w:val="auto"/>
        </w:rPr>
      </w:pPr>
    </w:p>
    <w:p>
      <w:pPr>
        <w:spacing w:after="0"/>
        <w:tabs>
          <w:tab w:leader="none" w:pos="8160" w:val="left"/>
          <w:tab w:leader="none" w:pos="10360" w:val="left"/>
        </w:tabs>
        <w:rPr>
          <w:sz w:val="20"/>
          <w:szCs w:val="20"/>
          <w:color w:val="auto"/>
        </w:rPr>
      </w:pPr>
      <w:r>
        <w:rPr>
          <w:rFonts w:ascii="Courier New" w:cs="Courier New" w:eastAsia="Courier New" w:hAnsi="Courier New"/>
          <w:sz w:val="17"/>
          <w:szCs w:val="17"/>
          <w:color w:val="auto"/>
        </w:rPr>
        <w:t>For the quarter ended</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20.6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328.5</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 by</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660" w:type="dxa"/>
            <w:vAlign w:val="bottom"/>
          </w:tcPr>
          <w:p>
            <w:pPr>
              <w:ind w:left="840"/>
              <w:spacing w:after="0"/>
              <w:rPr>
                <w:sz w:val="20"/>
                <w:szCs w:val="20"/>
                <w:color w:val="auto"/>
              </w:rPr>
            </w:pPr>
            <w:r>
              <w:rPr>
                <w:rFonts w:ascii="Courier New" w:cs="Courier New" w:eastAsia="Courier New" w:hAnsi="Courier New"/>
                <w:sz w:val="17"/>
                <w:szCs w:val="17"/>
                <w:color w:val="auto"/>
              </w:rPr>
              <w:t>operating activities: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110.3</w:t>
            </w:r>
          </w:p>
        </w:tc>
        <w:tc>
          <w:tcPr>
            <w:tcW w:w="78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78.4</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Decrease (increase) in receivables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32.0</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(121.2)</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Increase in inventories</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(52.7)</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(61.4)</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Increase in accounts payable and accrued expenses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3.4</w:t>
            </w:r>
          </w:p>
        </w:tc>
        <w:tc>
          <w:tcPr>
            <w:tcW w:w="78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304.6</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Increase in deferred income taxes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22.1</w:t>
            </w:r>
          </w:p>
        </w:tc>
        <w:tc>
          <w:tcPr>
            <w:tcW w:w="78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11.4</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Gain on sale of investment</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(10.1)</w:t>
            </w:r>
          </w:p>
        </w:tc>
        <w:tc>
          <w:tcPr>
            <w:tcW w:w="78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ind w:left="1680"/>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22.3</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(4.9)</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147.9</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535.4</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6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Expenditures for property, plant and equipment</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(84.6)</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(426.7)</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Purchase of available-for-sale and held-to-maturity securities</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(2.1)</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(184.5)</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Proceeds from sales and maturities of securities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19.4</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179.1</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Proceeds from sale of equipment</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1.8</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(2.1)</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cash used for investing activities</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(67.6)</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(436.0)</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6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Proceeds from issuance of long-term debt</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37.6</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repayments on borrowings on lines of credit</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(90.0)</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Payments on equipment purchase contracts</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(66.8)</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(55.1)</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Repayments of long-term debt</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(18.3)</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Proceeds from issuance of common stock</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4.2</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cash used for financing activities</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(134.1)</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(54.7)</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66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equivalents</w:t>
            </w:r>
          </w:p>
        </w:tc>
        <w:tc>
          <w:tcPr>
            <w:tcW w:w="460" w:type="dxa"/>
            <w:vAlign w:val="bottom"/>
          </w:tcPr>
          <w:p>
            <w:pPr>
              <w:spacing w:after="0"/>
              <w:rPr>
                <w:sz w:val="24"/>
                <w:szCs w:val="24"/>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(53.8)</w:t>
            </w:r>
          </w:p>
        </w:tc>
        <w:tc>
          <w:tcPr>
            <w:tcW w:w="78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44.7</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Cash and equivalents at beginning of period</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276.1</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128.1</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Cash and equivalents at end of period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222.3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172.8</w:t>
            </w:r>
          </w:p>
        </w:tc>
      </w:tr>
      <w:tr>
        <w:trPr>
          <w:trHeight w:val="201"/>
        </w:trPr>
        <w:tc>
          <w:tcPr>
            <w:tcW w:w="7660" w:type="dxa"/>
            <w:vAlign w:val="bottom"/>
          </w:tcPr>
          <w:p>
            <w:pPr>
              <w:spacing w:after="0"/>
              <w:rPr>
                <w:sz w:val="17"/>
                <w:szCs w:val="17"/>
                <w:color w:val="auto"/>
              </w:rPr>
            </w:pPr>
          </w:p>
        </w:tc>
        <w:tc>
          <w:tcPr>
            <w:tcW w:w="188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660" w:type="dxa"/>
            <w:vAlign w:val="bottom"/>
          </w:tcPr>
          <w:p>
            <w:pPr>
              <w:spacing w:after="0"/>
              <w:rPr>
                <w:sz w:val="20"/>
                <w:szCs w:val="20"/>
                <w:color w:val="auto"/>
              </w:rPr>
            </w:pPr>
            <w:r>
              <w:rPr>
                <w:rFonts w:ascii="Courier New" w:cs="Courier New" w:eastAsia="Courier New" w:hAnsi="Courier New"/>
                <w:sz w:val="17"/>
                <w:szCs w:val="17"/>
                <w:color w:val="auto"/>
              </w:rPr>
              <w:t>SUPPLEMENTAL DISCLOSURES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Income taxes refunded (paid), net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38.4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(44.1)</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Interest paid</w:t>
            </w:r>
          </w:p>
        </w:tc>
        <w:tc>
          <w:tcPr>
            <w:tcW w:w="460" w:type="dxa"/>
            <w:vAlign w:val="bottom"/>
          </w:tcPr>
          <w:p>
            <w:pPr>
              <w:spacing w:after="0"/>
              <w:rPr>
                <w:sz w:val="17"/>
                <w:szCs w:val="17"/>
                <w:color w:val="auto"/>
              </w:rPr>
            </w:pP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(7.9)</w:t>
            </w:r>
          </w:p>
        </w:tc>
        <w:tc>
          <w:tcPr>
            <w:tcW w:w="7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1"/>
        </w:trPr>
        <w:tc>
          <w:tcPr>
            <w:tcW w:w="7660" w:type="dxa"/>
            <w:vAlign w:val="bottom"/>
          </w:tcPr>
          <w:p>
            <w:pPr>
              <w:spacing w:after="0"/>
              <w:rPr>
                <w:sz w:val="20"/>
                <w:szCs w:val="20"/>
                <w:color w:val="auto"/>
              </w:rPr>
            </w:pPr>
            <w:r>
              <w:rPr>
                <w:rFonts w:ascii="Courier New" w:cs="Courier New" w:eastAsia="Courier New" w:hAnsi="Courier New"/>
                <w:sz w:val="17"/>
                <w:szCs w:val="17"/>
                <w:color w:val="auto"/>
              </w:rPr>
              <w:t>Noncash investing and financing activities: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660" w:type="dxa"/>
            <w:vAlign w:val="bottom"/>
          </w:tcPr>
          <w:p>
            <w:pPr>
              <w:ind w:left="840"/>
              <w:spacing w:after="0"/>
              <w:rPr>
                <w:sz w:val="20"/>
                <w:szCs w:val="20"/>
                <w:color w:val="auto"/>
              </w:rPr>
            </w:pPr>
            <w:r>
              <w:rPr>
                <w:rFonts w:ascii="Courier New" w:cs="Courier New" w:eastAsia="Courier New" w:hAnsi="Courier New"/>
                <w:sz w:val="17"/>
                <w:szCs w:val="17"/>
                <w:color w:val="auto"/>
              </w:rPr>
              <w:t>Equipment acquisitions on contracts payable and capital leases</w:t>
            </w:r>
          </w:p>
        </w:tc>
        <w:tc>
          <w:tcPr>
            <w:tcW w:w="460" w:type="dxa"/>
            <w:vAlign w:val="bottom"/>
          </w:tcPr>
          <w:p>
            <w:pPr>
              <w:spacing w:after="0"/>
              <w:rPr>
                <w:sz w:val="17"/>
                <w:szCs w:val="17"/>
                <w:color w:val="auto"/>
              </w:rPr>
            </w:pPr>
          </w:p>
        </w:tc>
        <w:tc>
          <w:tcPr>
            <w:tcW w:w="14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62.5</w:t>
            </w:r>
          </w:p>
        </w:tc>
        <w:tc>
          <w:tcPr>
            <w:tcW w:w="78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90.8</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719" w:right="139" w:bottom="1440" w:gutter="0" w:footer="0" w:header="0"/>
        </w:sectPr>
      </w:pPr>
    </w:p>
    <w:bookmarkStart w:id="4" w:name="page5"/>
    <w:bookmarkEnd w:id="4"/>
    <w:p>
      <w:pPr>
        <w:ind w:left="1480" w:right="3399" w:firstLine="419"/>
        <w:spacing w:after="0" w:line="257" w:lineRule="auto"/>
        <w:rPr>
          <w:sz w:val="20"/>
          <w:szCs w:val="20"/>
          <w:color w:val="auto"/>
        </w:rPr>
      </w:pPr>
      <w:r>
        <w:rPr>
          <w:rFonts w:ascii="Courier New" w:cs="Courier New" w:eastAsia="Courier New" w:hAnsi="Courier New"/>
          <w:sz w:val="17"/>
          <w:szCs w:val="17"/>
          <w:color w:val="auto"/>
        </w:rPr>
        <w:t>Notes to Consolidated Financial Statements (All tabular dollar amounts are stated in millions)</w:t>
      </w:r>
    </w:p>
    <w:p>
      <w:pPr>
        <w:spacing w:after="0" w:line="393" w:lineRule="exact"/>
        <w:rPr>
          <w:sz w:val="20"/>
          <w:szCs w:val="20"/>
          <w:color w:val="auto"/>
        </w:rPr>
      </w:pPr>
    </w:p>
    <w:p>
      <w:pPr>
        <w:ind w:left="540" w:hanging="533"/>
        <w:spacing w:after="0"/>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Interim Financial Statements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197"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This report on Form 10-Q for the quarter ended November 28, 1996, should be read in conjunction with the Company's Annual Report to Shareholders and/or Form 10-K for the year ended August 29, 1996.</w:t>
      </w:r>
    </w:p>
    <w:p>
      <w:pPr>
        <w:sectPr>
          <w:pgSz w:w="11900" w:h="16838" w:orient="portrait"/>
          <w:cols w:equalWidth="0" w:num="1">
            <w:col w:w="10219"/>
          </w:cols>
          <w:pgMar w:left="240" w:top="9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28,</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August 29,</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1996</w:t>
      </w:r>
    </w:p>
    <w:p>
      <w:pPr>
        <w:spacing w:after="0" w:line="200" w:lineRule="exact"/>
        <w:rPr>
          <w:sz w:val="20"/>
          <w:szCs w:val="20"/>
          <w:color w:val="auto"/>
        </w:rPr>
      </w:pPr>
    </w:p>
    <w:p>
      <w:pPr>
        <w:sectPr>
          <w:pgSz w:w="11900" w:h="16838" w:orient="portrait"/>
          <w:cols w:equalWidth="0" w:num="3">
            <w:col w:w="4420" w:space="720"/>
            <w:col w:w="1480" w:space="720"/>
            <w:col w:w="2879"/>
          </w:cols>
          <w:pgMar w:left="240" w:top="921"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Trade receivables</w:t>
            </w:r>
          </w:p>
        </w:tc>
        <w:tc>
          <w:tcPr>
            <w:tcW w:w="1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296.0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288.2</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Income taxes receivable</w:t>
            </w:r>
          </w:p>
        </w:tc>
        <w:tc>
          <w:tcPr>
            <w:tcW w:w="100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22.8</w:t>
            </w:r>
          </w:p>
        </w:tc>
        <w:tc>
          <w:tcPr>
            <w:tcW w:w="74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69.1</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Other</w:t>
            </w:r>
          </w:p>
        </w:tc>
        <w:tc>
          <w:tcPr>
            <w:tcW w:w="100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17.8</w:t>
            </w:r>
          </w:p>
        </w:tc>
        <w:tc>
          <w:tcPr>
            <w:tcW w:w="74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17.6</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Allowance for returns and discounts</w:t>
            </w:r>
          </w:p>
        </w:tc>
        <w:tc>
          <w:tcPr>
            <w:tcW w:w="1000" w:type="dxa"/>
            <w:vAlign w:val="bottom"/>
          </w:tcPr>
          <w:p>
            <w:pPr>
              <w:spacing w:after="0"/>
              <w:rPr>
                <w:sz w:val="17"/>
                <w:szCs w:val="17"/>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w:t>
            </w: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Allowance for doubtful accounts</w:t>
            </w:r>
          </w:p>
        </w:tc>
        <w:tc>
          <w:tcPr>
            <w:tcW w:w="1000" w:type="dxa"/>
            <w:vAlign w:val="bottom"/>
          </w:tcPr>
          <w:p>
            <w:pPr>
              <w:spacing w:after="0"/>
              <w:rPr>
                <w:sz w:val="17"/>
                <w:szCs w:val="17"/>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(7.7)</w:t>
            </w: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201"/>
        </w:trPr>
        <w:tc>
          <w:tcPr>
            <w:tcW w:w="4660" w:type="dxa"/>
            <w:vAlign w:val="bottom"/>
          </w:tcPr>
          <w:p>
            <w:pPr>
              <w:spacing w:after="0"/>
              <w:rPr>
                <w:sz w:val="17"/>
                <w:szCs w:val="17"/>
                <w:color w:val="auto"/>
              </w:rPr>
            </w:pPr>
          </w:p>
        </w:tc>
        <w:tc>
          <w:tcPr>
            <w:tcW w:w="220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315.3</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347.4</w:t>
            </w:r>
          </w:p>
        </w:tc>
      </w:tr>
      <w:tr>
        <w:trPr>
          <w:trHeight w:val="201"/>
        </w:trPr>
        <w:tc>
          <w:tcPr>
            <w:tcW w:w="4660" w:type="dxa"/>
            <w:vAlign w:val="bottom"/>
          </w:tcPr>
          <w:p>
            <w:pPr>
              <w:spacing w:after="0"/>
              <w:rPr>
                <w:sz w:val="17"/>
                <w:szCs w:val="17"/>
                <w:color w:val="auto"/>
              </w:rPr>
            </w:pPr>
          </w:p>
        </w:tc>
        <w:tc>
          <w:tcPr>
            <w:tcW w:w="220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660" w:type="dxa"/>
            <w:vAlign w:val="bottom"/>
          </w:tcPr>
          <w:p>
            <w:pPr>
              <w:spacing w:after="0"/>
              <w:rPr>
                <w:sz w:val="24"/>
                <w:szCs w:val="24"/>
                <w:color w:val="auto"/>
              </w:rPr>
            </w:pPr>
          </w:p>
        </w:tc>
        <w:tc>
          <w:tcPr>
            <w:tcW w:w="220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November 28,</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August 29,</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3.   Inventories</w:t>
            </w:r>
          </w:p>
        </w:tc>
        <w:tc>
          <w:tcPr>
            <w:tcW w:w="22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1996</w:t>
            </w:r>
          </w:p>
        </w:tc>
        <w:tc>
          <w:tcPr>
            <w:tcW w:w="7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Finished goods</w:t>
            </w:r>
          </w:p>
        </w:tc>
        <w:tc>
          <w:tcPr>
            <w:tcW w:w="1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42.5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54.3</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Work in progress</w:t>
            </w:r>
          </w:p>
        </w:tc>
        <w:tc>
          <w:tcPr>
            <w:tcW w:w="100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128.1</w:t>
            </w:r>
          </w:p>
        </w:tc>
        <w:tc>
          <w:tcPr>
            <w:tcW w:w="74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112.8</w:t>
            </w:r>
          </w:p>
        </w:tc>
      </w:tr>
      <w:tr>
        <w:trPr>
          <w:trHeight w:val="201"/>
        </w:trPr>
        <w:tc>
          <w:tcPr>
            <w:tcW w:w="4660" w:type="dxa"/>
            <w:vAlign w:val="bottom"/>
          </w:tcPr>
          <w:p>
            <w:pPr>
              <w:ind w:left="540"/>
              <w:spacing w:after="0"/>
              <w:rPr>
                <w:sz w:val="20"/>
                <w:szCs w:val="20"/>
                <w:color w:val="auto"/>
              </w:rPr>
            </w:pPr>
            <w:r>
              <w:rPr>
                <w:rFonts w:ascii="Courier New" w:cs="Courier New" w:eastAsia="Courier New" w:hAnsi="Courier New"/>
                <w:sz w:val="17"/>
                <w:szCs w:val="17"/>
                <w:color w:val="auto"/>
              </w:rPr>
              <w:t>Raw materials and supplies</w:t>
            </w:r>
          </w:p>
        </w:tc>
        <w:tc>
          <w:tcPr>
            <w:tcW w:w="100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133.5</w:t>
            </w:r>
          </w:p>
        </w:tc>
        <w:tc>
          <w:tcPr>
            <w:tcW w:w="74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84.3</w:t>
            </w:r>
          </w:p>
        </w:tc>
      </w:tr>
      <w:tr>
        <w:trPr>
          <w:trHeight w:val="201"/>
        </w:trPr>
        <w:tc>
          <w:tcPr>
            <w:tcW w:w="4660" w:type="dxa"/>
            <w:vAlign w:val="bottom"/>
          </w:tcPr>
          <w:p>
            <w:pPr>
              <w:spacing w:after="0"/>
              <w:rPr>
                <w:sz w:val="17"/>
                <w:szCs w:val="17"/>
                <w:color w:val="auto"/>
              </w:rPr>
            </w:pPr>
          </w:p>
        </w:tc>
        <w:tc>
          <w:tcPr>
            <w:tcW w:w="220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304.1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251.4</w:t>
            </w:r>
          </w:p>
        </w:tc>
      </w:tr>
      <w:tr>
        <w:trPr>
          <w:trHeight w:val="201"/>
        </w:trPr>
        <w:tc>
          <w:tcPr>
            <w:tcW w:w="4660" w:type="dxa"/>
            <w:vAlign w:val="bottom"/>
          </w:tcPr>
          <w:p>
            <w:pPr>
              <w:spacing w:after="0"/>
              <w:rPr>
                <w:sz w:val="17"/>
                <w:szCs w:val="17"/>
                <w:color w:val="auto"/>
              </w:rPr>
            </w:pPr>
          </w:p>
        </w:tc>
        <w:tc>
          <w:tcPr>
            <w:tcW w:w="220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660" w:type="dxa"/>
            <w:vAlign w:val="bottom"/>
          </w:tcPr>
          <w:p>
            <w:pPr>
              <w:spacing w:after="0"/>
              <w:rPr>
                <w:sz w:val="24"/>
                <w:szCs w:val="24"/>
                <w:color w:val="auto"/>
              </w:rPr>
            </w:pPr>
          </w:p>
        </w:tc>
        <w:tc>
          <w:tcPr>
            <w:tcW w:w="220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November 28,</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August 29,</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4.   Product and process technology, net</w:t>
            </w:r>
          </w:p>
        </w:tc>
        <w:tc>
          <w:tcPr>
            <w:tcW w:w="22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1996</w:t>
            </w:r>
          </w:p>
        </w:tc>
        <w:tc>
          <w:tcPr>
            <w:tcW w:w="7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ind w:left="540"/>
              <w:spacing w:after="0"/>
              <w:rPr>
                <w:sz w:val="20"/>
                <w:szCs w:val="20"/>
                <w:color w:val="auto"/>
              </w:rPr>
            </w:pPr>
            <w:r>
              <w:rPr>
                <w:rFonts w:ascii="Courier New" w:cs="Courier New" w:eastAsia="Courier New" w:hAnsi="Courier New"/>
                <w:sz w:val="17"/>
                <w:szCs w:val="17"/>
                <w:color w:val="auto"/>
              </w:rPr>
              <w:t>Product and process technology, at cost</w:t>
            </w:r>
          </w:p>
        </w:tc>
        <w:tc>
          <w:tcPr>
            <w:tcW w:w="740" w:type="dxa"/>
            <w:vAlign w:val="bottom"/>
          </w:tcPr>
          <w:p>
            <w:pPr>
              <w:ind w:left="58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169.7</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167.5</w:t>
            </w:r>
          </w:p>
        </w:tc>
      </w:tr>
      <w:tr>
        <w:trPr>
          <w:trHeight w:val="201"/>
        </w:trPr>
        <w:tc>
          <w:tcPr>
            <w:tcW w:w="4880" w:type="dxa"/>
            <w:vAlign w:val="bottom"/>
          </w:tcPr>
          <w:p>
            <w:pPr>
              <w:ind w:left="540"/>
              <w:spacing w:after="0"/>
              <w:rPr>
                <w:sz w:val="20"/>
                <w:szCs w:val="20"/>
                <w:color w:val="auto"/>
              </w:rPr>
            </w:pPr>
            <w:r>
              <w:rPr>
                <w:rFonts w:ascii="Courier New" w:cs="Courier New" w:eastAsia="Courier New" w:hAnsi="Courier New"/>
                <w:sz w:val="17"/>
                <w:szCs w:val="17"/>
                <w:color w:val="auto"/>
              </w:rPr>
              <w:t>Less accumulated amortization</w:t>
            </w:r>
          </w:p>
        </w:tc>
        <w:tc>
          <w:tcPr>
            <w:tcW w:w="740" w:type="dxa"/>
            <w:vAlign w:val="bottom"/>
          </w:tcPr>
          <w:p>
            <w:pPr>
              <w:spacing w:after="0"/>
              <w:rPr>
                <w:sz w:val="17"/>
                <w:szCs w:val="17"/>
                <w:color w:val="auto"/>
              </w:rPr>
            </w:pPr>
          </w:p>
        </w:tc>
        <w:tc>
          <w:tcPr>
            <w:tcW w:w="1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(127.1)</w:t>
            </w: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(124.3)</w:t>
            </w:r>
          </w:p>
        </w:tc>
      </w:tr>
      <w:tr>
        <w:trPr>
          <w:trHeight w:val="201"/>
        </w:trPr>
        <w:tc>
          <w:tcPr>
            <w:tcW w:w="4880" w:type="dxa"/>
            <w:vAlign w:val="bottom"/>
          </w:tcPr>
          <w:p>
            <w:pPr>
              <w:spacing w:after="0"/>
              <w:rPr>
                <w:sz w:val="17"/>
                <w:szCs w:val="17"/>
                <w:color w:val="auto"/>
              </w:rPr>
            </w:pPr>
          </w:p>
        </w:tc>
        <w:tc>
          <w:tcPr>
            <w:tcW w:w="198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80" w:type="dxa"/>
            <w:vAlign w:val="bottom"/>
          </w:tcPr>
          <w:p>
            <w:pPr>
              <w:spacing w:after="0"/>
              <w:rPr>
                <w:sz w:val="17"/>
                <w:szCs w:val="17"/>
                <w:color w:val="auto"/>
              </w:rPr>
            </w:pPr>
          </w:p>
        </w:tc>
        <w:tc>
          <w:tcPr>
            <w:tcW w:w="740" w:type="dxa"/>
            <w:vAlign w:val="bottom"/>
          </w:tcPr>
          <w:p>
            <w:pPr>
              <w:ind w:left="58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42.6</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43.2</w:t>
            </w:r>
          </w:p>
        </w:tc>
      </w:tr>
      <w:tr>
        <w:trPr>
          <w:trHeight w:val="201"/>
        </w:trPr>
        <w:tc>
          <w:tcPr>
            <w:tcW w:w="4880" w:type="dxa"/>
            <w:vAlign w:val="bottom"/>
          </w:tcPr>
          <w:p>
            <w:pPr>
              <w:spacing w:after="0"/>
              <w:rPr>
                <w:sz w:val="17"/>
                <w:szCs w:val="17"/>
                <w:color w:val="auto"/>
              </w:rPr>
            </w:pPr>
          </w:p>
        </w:tc>
        <w:tc>
          <w:tcPr>
            <w:tcW w:w="198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880" w:type="dxa"/>
            <w:vAlign w:val="bottom"/>
          </w:tcPr>
          <w:p>
            <w:pPr>
              <w:spacing w:after="0"/>
              <w:rPr>
                <w:sz w:val="24"/>
                <w:szCs w:val="24"/>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November 28,</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August 29,</w:t>
            </w:r>
          </w:p>
        </w:tc>
      </w:tr>
      <w:tr>
        <w:trPr>
          <w:trHeight w:val="201"/>
        </w:trPr>
        <w:tc>
          <w:tcPr>
            <w:tcW w:w="4880" w:type="dxa"/>
            <w:vAlign w:val="bottom"/>
          </w:tcPr>
          <w:p>
            <w:pPr>
              <w:spacing w:after="0"/>
              <w:rPr>
                <w:sz w:val="20"/>
                <w:szCs w:val="20"/>
                <w:color w:val="auto"/>
              </w:rPr>
            </w:pPr>
            <w:r>
              <w:rPr>
                <w:rFonts w:ascii="Courier New" w:cs="Courier New" w:eastAsia="Courier New" w:hAnsi="Courier New"/>
                <w:sz w:val="17"/>
                <w:szCs w:val="17"/>
                <w:color w:val="auto"/>
              </w:rPr>
              <w:t>5.   Property, plant and equipment, net</w:t>
            </w:r>
          </w:p>
        </w:tc>
        <w:tc>
          <w:tcPr>
            <w:tcW w:w="198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1996</w:t>
            </w:r>
          </w:p>
        </w:tc>
        <w:tc>
          <w:tcPr>
            <w:tcW w:w="7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418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37.2</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37.3</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754.2</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674.4</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2,175.3</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2,073.4</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Construction in progress</w:t>
            </w: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677.3</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753.9</w:t>
            </w:r>
          </w:p>
        </w:tc>
      </w:tr>
      <w:tr>
        <w:trPr>
          <w:trHeight w:val="201"/>
        </w:trPr>
        <w:tc>
          <w:tcPr>
            <w:tcW w:w="4180" w:type="dxa"/>
            <w:vAlign w:val="bottom"/>
          </w:tcPr>
          <w:p>
            <w:pPr>
              <w:spacing w:after="0"/>
              <w:rPr>
                <w:sz w:val="17"/>
                <w:szCs w:val="17"/>
                <w:color w:val="auto"/>
              </w:rPr>
            </w:pP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17"/>
                <w:szCs w:val="17"/>
                <w:color w:val="auto"/>
              </w:rPr>
            </w:pP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3,644.0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3,539.0</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 and</w:t>
            </w:r>
          </w:p>
        </w:tc>
        <w:tc>
          <w:tcPr>
            <w:tcW w:w="2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2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(903.9)</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(830.9)</w:t>
            </w:r>
          </w:p>
        </w:tc>
      </w:tr>
      <w:tr>
        <w:trPr>
          <w:trHeight w:val="201"/>
        </w:trPr>
        <w:tc>
          <w:tcPr>
            <w:tcW w:w="4180" w:type="dxa"/>
            <w:vAlign w:val="bottom"/>
          </w:tcPr>
          <w:p>
            <w:pPr>
              <w:spacing w:after="0"/>
              <w:rPr>
                <w:sz w:val="17"/>
                <w:szCs w:val="17"/>
                <w:color w:val="auto"/>
              </w:rPr>
            </w:pP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17"/>
                <w:szCs w:val="17"/>
                <w:color w:val="auto"/>
              </w:rPr>
            </w:pP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$2,740.1</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$2,708.1</w:t>
            </w:r>
          </w:p>
        </w:tc>
      </w:tr>
      <w:tr>
        <w:trPr>
          <w:trHeight w:val="201"/>
        </w:trPr>
        <w:tc>
          <w:tcPr>
            <w:tcW w:w="4180" w:type="dxa"/>
            <w:vAlign w:val="bottom"/>
          </w:tcPr>
          <w:p>
            <w:pPr>
              <w:spacing w:after="0"/>
              <w:rPr>
                <w:sz w:val="17"/>
                <w:szCs w:val="17"/>
                <w:color w:val="auto"/>
              </w:rPr>
            </w:pPr>
          </w:p>
        </w:tc>
        <w:tc>
          <w:tcPr>
            <w:tcW w:w="2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As of November 28, 1996, property, plant and equipment included unamortized costs of $623 million for the Company's semiconductor memory manufacturing facility in Lehi, Utah, of which $585 million has not been placed in service and</w:t>
      </w:r>
    </w:p>
    <w:p>
      <w:pPr>
        <w:sectPr>
          <w:pgSz w:w="11900" w:h="16838" w:orient="portrait"/>
          <w:cols w:equalWidth="0" w:num="1">
            <w:col w:w="10219"/>
          </w:cols>
          <w:pgMar w:left="240" w:top="921"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is not being depreciated.</w:t>
      </w:r>
    </w:p>
    <w:p>
      <w:pPr>
        <w:spacing w:after="0" w:line="210"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Accounts payable and accrued expenses</w:t>
      </w:r>
    </w:p>
    <w:p>
      <w:pPr>
        <w:spacing w:after="0" w:line="210" w:lineRule="exact"/>
        <w:rPr>
          <w:sz w:val="20"/>
          <w:szCs w:val="20"/>
          <w:color w:val="auto"/>
        </w:rPr>
      </w:pPr>
    </w:p>
    <w:p>
      <w:pPr>
        <w:jc w:val="center"/>
        <w:ind w:left="1680"/>
        <w:spacing w:after="0"/>
        <w:tabs>
          <w:tab w:leader="none" w:pos="1140" w:val="left"/>
        </w:tabs>
        <w:rPr>
          <w:sz w:val="20"/>
          <w:szCs w:val="20"/>
          <w:color w:val="auto"/>
        </w:rPr>
      </w:pPr>
      <w:r>
        <w:rPr>
          <w:rFonts w:ascii="Courier New" w:cs="Courier New" w:eastAsia="Courier New" w:hAnsi="Courier New"/>
          <w:sz w:val="17"/>
          <w:szCs w:val="17"/>
          <w:color w:val="auto"/>
        </w:rPr>
        <w:t>November 28,</w:t>
      </w:r>
      <w:r>
        <w:rPr>
          <w:sz w:val="20"/>
          <w:szCs w:val="20"/>
          <w:color w:val="auto"/>
        </w:rPr>
        <w:tab/>
      </w:r>
      <w:r>
        <w:rPr>
          <w:rFonts w:ascii="Courier New" w:cs="Courier New" w:eastAsia="Courier New" w:hAnsi="Courier New"/>
          <w:sz w:val="17"/>
          <w:szCs w:val="17"/>
          <w:color w:val="auto"/>
        </w:rPr>
        <w:t>August 29,</w:t>
      </w:r>
    </w:p>
    <w:p>
      <w:pPr>
        <w:spacing w:after="0" w:line="9" w:lineRule="exact"/>
        <w:rPr>
          <w:sz w:val="20"/>
          <w:szCs w:val="20"/>
          <w:color w:val="auto"/>
        </w:rPr>
      </w:pPr>
    </w:p>
    <w:p>
      <w:pPr>
        <w:jc w:val="center"/>
        <w:ind w:left="2420"/>
        <w:spacing w:after="0"/>
        <w:tabs>
          <w:tab w:leader="none" w:pos="1760" w:val="left"/>
        </w:tabs>
        <w:rPr>
          <w:sz w:val="20"/>
          <w:szCs w:val="20"/>
          <w:color w:val="auto"/>
        </w:rPr>
      </w:pP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$ 235.0</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$ 232.4</w:t>
            </w:r>
          </w:p>
        </w:tc>
      </w:tr>
      <w:tr>
        <w:trPr>
          <w:trHeight w:val="201"/>
        </w:trPr>
        <w:tc>
          <w:tcPr>
            <w:tcW w:w="4620" w:type="dxa"/>
            <w:vAlign w:val="bottom"/>
          </w:tcPr>
          <w:p>
            <w:pPr>
              <w:ind w:left="320"/>
              <w:spacing w:after="0"/>
              <w:rPr>
                <w:sz w:val="20"/>
                <w:szCs w:val="20"/>
                <w:color w:val="auto"/>
              </w:rPr>
            </w:pPr>
            <w:r>
              <w:rPr>
                <w:rFonts w:ascii="Courier New" w:cs="Courier New" w:eastAsia="Courier New" w:hAnsi="Courier New"/>
                <w:sz w:val="17"/>
                <w:szCs w:val="17"/>
                <w:color w:val="auto"/>
              </w:rPr>
              <w:t>Salaries, wages and benefits</w:t>
            </w: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60.6</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67.3</w:t>
            </w:r>
          </w:p>
        </w:tc>
      </w:tr>
      <w:tr>
        <w:trPr>
          <w:trHeight w:val="201"/>
        </w:trPr>
        <w:tc>
          <w:tcPr>
            <w:tcW w:w="4620" w:type="dxa"/>
            <w:vAlign w:val="bottom"/>
          </w:tcPr>
          <w:p>
            <w:pPr>
              <w:ind w:left="320"/>
              <w:spacing w:after="0"/>
              <w:rPr>
                <w:sz w:val="20"/>
                <w:szCs w:val="20"/>
                <w:color w:val="auto"/>
              </w:rPr>
            </w:pPr>
            <w:r>
              <w:rPr>
                <w:rFonts w:ascii="Courier New" w:cs="Courier New" w:eastAsia="Courier New" w:hAnsi="Courier New"/>
                <w:sz w:val="17"/>
                <w:szCs w:val="17"/>
                <w:color w:val="auto"/>
              </w:rPr>
              <w:t>Products and process technology payable</w:t>
            </w: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61.6</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39.7</w:t>
            </w:r>
          </w:p>
        </w:tc>
      </w:tr>
      <w:tr>
        <w:trPr>
          <w:trHeight w:val="201"/>
        </w:trPr>
        <w:tc>
          <w:tcPr>
            <w:tcW w:w="462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payable</w:t>
            </w: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7.2</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22.7</w:t>
            </w:r>
          </w:p>
        </w:tc>
      </w:tr>
      <w:tr>
        <w:trPr>
          <w:trHeight w:val="201"/>
        </w:trPr>
        <w:tc>
          <w:tcPr>
            <w:tcW w:w="46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62.6</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61.6</w:t>
            </w:r>
          </w:p>
        </w:tc>
      </w:tr>
      <w:tr>
        <w:trPr>
          <w:trHeight w:val="201"/>
        </w:trPr>
        <w:tc>
          <w:tcPr>
            <w:tcW w:w="4620" w:type="dxa"/>
            <w:vAlign w:val="bottom"/>
          </w:tcPr>
          <w:p>
            <w:pPr>
              <w:spacing w:after="0"/>
              <w:rPr>
                <w:sz w:val="17"/>
                <w:szCs w:val="17"/>
                <w:color w:val="auto"/>
              </w:rPr>
            </w:pP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20" w:type="dxa"/>
            <w:vAlign w:val="bottom"/>
          </w:tcPr>
          <w:p>
            <w:pPr>
              <w:spacing w:after="0"/>
              <w:rPr>
                <w:sz w:val="17"/>
                <w:szCs w:val="17"/>
                <w:color w:val="auto"/>
              </w:rPr>
            </w:pP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$ 427.0</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$ 423.7</w:t>
            </w:r>
          </w:p>
        </w:tc>
      </w:tr>
      <w:tr>
        <w:trPr>
          <w:trHeight w:val="201"/>
        </w:trPr>
        <w:tc>
          <w:tcPr>
            <w:tcW w:w="4620" w:type="dxa"/>
            <w:vAlign w:val="bottom"/>
          </w:tcPr>
          <w:p>
            <w:pPr>
              <w:spacing w:after="0"/>
              <w:rPr>
                <w:sz w:val="17"/>
                <w:szCs w:val="17"/>
                <w:color w:val="auto"/>
              </w:rPr>
            </w:pPr>
          </w:p>
        </w:tc>
        <w:tc>
          <w:tcPr>
            <w:tcW w:w="20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806"/>
        </w:trPr>
        <w:tc>
          <w:tcPr>
            <w:tcW w:w="4620" w:type="dxa"/>
            <w:vAlign w:val="bottom"/>
          </w:tcPr>
          <w:p>
            <w:pPr>
              <w:spacing w:after="0"/>
              <w:rPr>
                <w:sz w:val="20"/>
                <w:szCs w:val="20"/>
                <w:color w:val="auto"/>
              </w:rPr>
            </w:pPr>
            <w:r>
              <w:rPr>
                <w:rFonts w:ascii="Courier New" w:cs="Courier New" w:eastAsia="Courier New" w:hAnsi="Courier New"/>
                <w:sz w:val="17"/>
                <w:szCs w:val="17"/>
                <w:color w:val="auto"/>
              </w:rPr>
              <w:t>7. Long-term debt</w:t>
            </w:r>
          </w:p>
        </w:tc>
        <w:tc>
          <w:tcPr>
            <w:tcW w:w="20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November 28,</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August 29,</w:t>
            </w:r>
          </w:p>
        </w:tc>
      </w:tr>
      <w:tr>
        <w:trPr>
          <w:trHeight w:val="201"/>
        </w:trPr>
        <w:tc>
          <w:tcPr>
            <w:tcW w:w="4620" w:type="dxa"/>
            <w:vAlign w:val="bottom"/>
          </w:tcPr>
          <w:p>
            <w:pPr>
              <w:spacing w:after="0"/>
              <w:rPr>
                <w:sz w:val="17"/>
                <w:szCs w:val="17"/>
                <w:color w:val="auto"/>
              </w:rPr>
            </w:pPr>
          </w:p>
        </w:tc>
        <w:tc>
          <w:tcPr>
            <w:tcW w:w="20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1996</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720" w:type="dxa"/>
            <w:vAlign w:val="bottom"/>
          </w:tcPr>
          <w:p>
            <w:pPr>
              <w:spacing w:after="0"/>
              <w:rPr>
                <w:sz w:val="20"/>
                <w:szCs w:val="20"/>
                <w:color w:val="auto"/>
              </w:rPr>
            </w:pPr>
            <w:r>
              <w:rPr>
                <w:rFonts w:ascii="Courier New" w:cs="Courier New" w:eastAsia="Courier New" w:hAnsi="Courier New"/>
                <w:sz w:val="17"/>
                <w:szCs w:val="17"/>
                <w:color w:val="auto"/>
              </w:rPr>
              <w:t>Notes payable in periodic installments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through July 2015, weighted average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interest rate of 7.31% and 7.28%,</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respectively</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$ 343.3</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$ 322.0</w:t>
            </w:r>
          </w:p>
        </w:tc>
      </w:tr>
      <w:tr>
        <w:trPr>
          <w:trHeight w:val="40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Capitalized lease obligations payable in</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monthly installments through August</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2002, weighted average interest rate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of 7.72%</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42.8</w:t>
            </w:r>
          </w:p>
        </w:tc>
      </w:tr>
      <w:tr>
        <w:trPr>
          <w:trHeight w:val="403"/>
        </w:trPr>
        <w:tc>
          <w:tcPr>
            <w:tcW w:w="4720" w:type="dxa"/>
            <w:vAlign w:val="bottom"/>
          </w:tcPr>
          <w:p>
            <w:pPr>
              <w:spacing w:after="0"/>
              <w:rPr>
                <w:sz w:val="20"/>
                <w:szCs w:val="20"/>
                <w:color w:val="auto"/>
              </w:rPr>
            </w:pPr>
            <w:r>
              <w:rPr>
                <w:rFonts w:ascii="Courier New" w:cs="Courier New" w:eastAsia="Courier New" w:hAnsi="Courier New"/>
                <w:sz w:val="17"/>
                <w:szCs w:val="17"/>
                <w:color w:val="auto"/>
              </w:rPr>
              <w:t>Noninterest bearing obligations, $3 million</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due October 1997 and $20.5 million due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December 1997, weighted average imputed</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interest rate of 7.17%</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21.9</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21.6</w:t>
            </w:r>
          </w:p>
        </w:tc>
      </w:tr>
      <w:tr>
        <w:trPr>
          <w:trHeight w:val="403"/>
        </w:trPr>
        <w:tc>
          <w:tcPr>
            <w:tcW w:w="4720" w:type="dxa"/>
            <w:vAlign w:val="bottom"/>
          </w:tcPr>
          <w:p>
            <w:pPr>
              <w:spacing w:after="0"/>
              <w:rPr>
                <w:sz w:val="20"/>
                <w:szCs w:val="20"/>
                <w:color w:val="auto"/>
              </w:rPr>
            </w:pPr>
            <w:r>
              <w:rPr>
                <w:rFonts w:ascii="Courier New" w:cs="Courier New" w:eastAsia="Courier New" w:hAnsi="Courier New"/>
                <w:sz w:val="17"/>
                <w:szCs w:val="17"/>
                <w:color w:val="auto"/>
              </w:rPr>
              <w:t>Note payable, due June 1998, weighted average</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62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interest rate of 5.14% and 5.30%, respectively  3.0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w:t>
            </w:r>
          </w:p>
        </w:tc>
      </w:tr>
      <w:tr>
        <w:trPr>
          <w:trHeight w:val="40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0.4</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w:t>
            </w:r>
          </w:p>
        </w:tc>
      </w:tr>
      <w:tr>
        <w:trPr>
          <w:trHeight w:val="201"/>
        </w:trPr>
        <w:tc>
          <w:tcPr>
            <w:tcW w:w="472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409.4</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389.8</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Less current portion</w:t>
            </w:r>
          </w:p>
        </w:tc>
        <w:tc>
          <w:tcPr>
            <w:tcW w:w="15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(103.8)</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(75.2)</w:t>
            </w:r>
          </w:p>
        </w:tc>
      </w:tr>
      <w:tr>
        <w:trPr>
          <w:trHeight w:val="201"/>
        </w:trPr>
        <w:tc>
          <w:tcPr>
            <w:tcW w:w="472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$ 305.6</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$ 314.6</w:t>
            </w:r>
          </w:p>
        </w:tc>
      </w:tr>
      <w:tr>
        <w:trPr>
          <w:trHeight w:val="201"/>
        </w:trPr>
        <w:tc>
          <w:tcPr>
            <w:tcW w:w="472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Earnings per share</w:t>
      </w:r>
    </w:p>
    <w:p>
      <w:pPr>
        <w:spacing w:after="0" w:line="210" w:lineRule="exact"/>
        <w:rPr>
          <w:sz w:val="20"/>
          <w:szCs w:val="20"/>
          <w:color w:val="auto"/>
        </w:rPr>
      </w:pPr>
    </w:p>
    <w:p>
      <w:pPr>
        <w:ind w:right="1939" w:firstLine="314"/>
        <w:spacing w:after="0" w:line="253" w:lineRule="auto"/>
        <w:rPr>
          <w:sz w:val="20"/>
          <w:szCs w:val="20"/>
          <w:color w:val="auto"/>
        </w:rPr>
      </w:pPr>
      <w:r>
        <w:rPr>
          <w:rFonts w:ascii="Courier New" w:cs="Courier New" w:eastAsia="Courier New" w:hAnsi="Courier New"/>
          <w:sz w:val="17"/>
          <w:szCs w:val="17"/>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Income taxes</w:t>
      </w:r>
    </w:p>
    <w:p>
      <w:pPr>
        <w:spacing w:after="0" w:line="210"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The estimated effective income tax rate for fiscal 1997 is 39.6%. The effective income tax rate principally reflects the statutory corporate income tax rate and the net effect of state taxation. The Company has not recognized a deferred tax liability for the difference between the book basis and tax basis of the common stock of its domestic subsidiaries (such difference relates primarily to unremitted earnings) to the extent the Company expects these basis differences to not be subject to tax at the parent level.</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86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ind w:left="540" w:hanging="533"/>
        <w:spacing w:after="0"/>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As of November 28, 1996, the Company had commitments extending into fiscal 1998 of approximately $148 million for equipment purchase and $24 million for the construction of buildings.</w:t>
      </w:r>
    </w:p>
    <w:p>
      <w:pPr>
        <w:spacing w:after="0" w:line="396" w:lineRule="exact"/>
        <w:rPr>
          <w:sz w:val="20"/>
          <w:szCs w:val="20"/>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is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w:t>
      </w:r>
    </w:p>
    <w:p>
      <w:pPr>
        <w:spacing w:after="0" w:line="9" w:lineRule="exact"/>
        <w:rPr>
          <w:sz w:val="20"/>
          <w:szCs w:val="20"/>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Operations.</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following discussion contains trend information and other forward</w:t>
      </w:r>
    </w:p>
    <w:p>
      <w:pPr>
        <w:spacing w:after="0" w:line="9" w:lineRule="exact"/>
        <w:rPr>
          <w:sz w:val="20"/>
          <w:szCs w:val="20"/>
          <w:color w:val="auto"/>
        </w:rPr>
      </w:pPr>
    </w:p>
    <w:p>
      <w:pPr>
        <w:spacing w:after="0"/>
        <w:tabs>
          <w:tab w:leader="none" w:pos="7320" w:val="left"/>
        </w:tabs>
        <w:rPr>
          <w:sz w:val="20"/>
          <w:szCs w:val="20"/>
          <w:color w:val="auto"/>
        </w:rPr>
      </w:pPr>
      <w:r>
        <w:rPr>
          <w:rFonts w:ascii="Courier New" w:cs="Courier New" w:eastAsia="Courier New" w:hAnsi="Courier New"/>
          <w:sz w:val="17"/>
          <w:szCs w:val="17"/>
          <w:color w:val="auto"/>
        </w:rPr>
        <w:t>looking statements that involve a number of risks and uncertainties.</w:t>
        <w:tab/>
        <w:t>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actual results could differ materially from the Company's historical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and those discussed in the forward looking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that could cause actual results to differ materially are included, but</w:t>
      </w:r>
    </w:p>
    <w:p>
      <w:pPr>
        <w:spacing w:after="0" w:line="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7"/>
          <w:szCs w:val="17"/>
          <w:color w:val="auto"/>
        </w:rPr>
        <w:t>are not limited to, those identified in "Certain Factors."</w:t>
        <w:tab/>
        <w:t>All period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references are to the Company's fiscal periods ended November 28, 1996,</w:t>
      </w:r>
    </w:p>
    <w:p>
      <w:pPr>
        <w:spacing w:after="0" w:line="9" w:lineRule="exact"/>
        <w:rPr>
          <w:sz w:val="20"/>
          <w:szCs w:val="20"/>
          <w:color w:val="auto"/>
        </w:rPr>
      </w:pPr>
    </w:p>
    <w:p>
      <w:pPr>
        <w:spacing w:after="0"/>
        <w:tabs>
          <w:tab w:leader="none" w:pos="7100" w:val="left"/>
        </w:tabs>
        <w:rPr>
          <w:sz w:val="20"/>
          <w:szCs w:val="20"/>
          <w:color w:val="auto"/>
        </w:rPr>
      </w:pPr>
      <w:r>
        <w:rPr>
          <w:rFonts w:ascii="Courier New" w:cs="Courier New" w:eastAsia="Courier New" w:hAnsi="Courier New"/>
          <w:sz w:val="17"/>
          <w:szCs w:val="17"/>
          <w:color w:val="auto"/>
        </w:rPr>
        <w:t>August 29, 1996, or November 30, 1995, unless otherwise indicated.</w:t>
        <w:tab/>
        <w:t>All tabular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amounts are stated in millions.</w:t>
      </w:r>
    </w:p>
    <w:p>
      <w:pPr>
        <w:spacing w:after="0" w:line="210" w:lineRule="exact"/>
        <w:rPr>
          <w:sz w:val="20"/>
          <w:szCs w:val="20"/>
          <w:color w:val="auto"/>
        </w:rPr>
      </w:pPr>
    </w:p>
    <w:p>
      <w:pPr>
        <w:ind w:right="1939" w:firstLine="838"/>
        <w:spacing w:after="0" w:line="252" w:lineRule="auto"/>
        <w:rPr>
          <w:sz w:val="20"/>
          <w:szCs w:val="20"/>
          <w:color w:val="auto"/>
        </w:rPr>
      </w:pPr>
      <w:r>
        <w:rPr>
          <w:rFonts w:ascii="Courier New" w:cs="Courier New" w:eastAsia="Courier New" w:hAnsi="Courier New"/>
          <w:sz w:val="17"/>
          <w:szCs w:val="17"/>
          <w:color w:val="auto"/>
        </w:rPr>
        <w:t>Micron Technology, Inc., and its subsidiaries (hereinafter referred to collectively as the "Company" or "MTI") design, develop, manufacture and market semiconductor memory products, primarily DRAM. Through its approximately 79% owned subsidiary, Micron Electronics, Inc. ("MEI"), the Company also develops, markets, manufactures, and supports PC systems, and operates a contract manufacturing and component recovery business.</w:t>
      </w:r>
    </w:p>
    <w:p>
      <w:pPr>
        <w:spacing w:after="0" w:line="197" w:lineRule="exact"/>
        <w:rPr>
          <w:sz w:val="20"/>
          <w:szCs w:val="20"/>
          <w:color w:val="auto"/>
        </w:rPr>
      </w:pPr>
    </w:p>
    <w:p>
      <w:pPr>
        <w:ind w:right="1839" w:firstLine="838"/>
        <w:spacing w:after="0" w:line="251" w:lineRule="auto"/>
        <w:rPr>
          <w:sz w:val="20"/>
          <w:szCs w:val="20"/>
          <w:color w:val="auto"/>
        </w:rPr>
      </w:pPr>
      <w:r>
        <w:rPr>
          <w:rFonts w:ascii="Courier New" w:cs="Courier New" w:eastAsia="Courier New" w:hAnsi="Courier New"/>
          <w:sz w:val="17"/>
          <w:szCs w:val="17"/>
          <w:color w:val="auto"/>
        </w:rPr>
        <w:t>Net income for the first quarter of fiscal 1997 was $21 million, or $0.10 per fully diluted share, on net sales of $728 million. For the first quarter of fiscal 1996 net income was $328 million, or $1.51 per fully diluted share, on net sales of $1,186 million. For the fourth quarter of fiscal 1996, net income was $19 million, or $0.09 per fully diluted share, on net sales of $700 million. Results of operations for the first quarter of fiscal 1997 included a $6 million after-tax gain on the sale of an investment. Fully diluted earnings per share for the quarter benefited by $0.03 from the after-tax gain.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1839" w:firstLine="838"/>
        <w:spacing w:after="0" w:line="252" w:lineRule="auto"/>
        <w:rPr>
          <w:sz w:val="20"/>
          <w:szCs w:val="20"/>
          <w:color w:val="auto"/>
        </w:rPr>
      </w:pPr>
      <w:r>
        <w:rPr>
          <w:rFonts w:ascii="Courier New" w:cs="Courier New" w:eastAsia="Courier New" w:hAnsi="Courier New"/>
          <w:sz w:val="17"/>
          <w:szCs w:val="17"/>
          <w:color w:val="auto"/>
        </w:rPr>
        <w:t>The following table presents the Company's net sales by related products or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contracts, and licensing fees.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gridSpan w:val="2"/>
          </w:tcPr>
          <w:p>
            <w:pPr>
              <w:jc w:val="right"/>
              <w:ind w:right="1113"/>
              <w:spacing w:after="0"/>
              <w:rPr>
                <w:sz w:val="20"/>
                <w:szCs w:val="20"/>
                <w:color w:val="auto"/>
              </w:rPr>
            </w:pPr>
            <w:r>
              <w:rPr>
                <w:rFonts w:ascii="Courier New" w:cs="Courier New" w:eastAsia="Courier New" w:hAnsi="Courier New"/>
                <w:sz w:val="17"/>
                <w:szCs w:val="17"/>
                <w:color w:val="auto"/>
              </w:rPr>
              <w:t>First Quarter</w:t>
            </w:r>
          </w:p>
        </w:tc>
        <w:tc>
          <w:tcPr>
            <w:tcW w:w="680" w:type="dxa"/>
            <w:vAlign w:val="bottom"/>
          </w:tcPr>
          <w:p>
            <w:pPr>
              <w:spacing w:after="0"/>
              <w:rPr>
                <w:sz w:val="17"/>
                <w:szCs w:val="17"/>
                <w:color w:val="auto"/>
              </w:rPr>
            </w:pPr>
          </w:p>
        </w:tc>
      </w:tr>
      <w:tr>
        <w:trPr>
          <w:trHeight w:val="201"/>
        </w:trPr>
        <w:tc>
          <w:tcPr>
            <w:tcW w:w="3620" w:type="dxa"/>
            <w:vAlign w:val="bottom"/>
          </w:tcPr>
          <w:p>
            <w:pPr>
              <w:spacing w:after="0"/>
              <w:rPr>
                <w:sz w:val="17"/>
                <w:szCs w:val="17"/>
                <w:color w:val="auto"/>
              </w:rPr>
            </w:pPr>
          </w:p>
        </w:tc>
        <w:tc>
          <w:tcPr>
            <w:tcW w:w="570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620" w:type="dxa"/>
            <w:vAlign w:val="bottom"/>
          </w:tcPr>
          <w:p>
            <w:pPr>
              <w:spacing w:after="0"/>
              <w:rPr>
                <w:sz w:val="17"/>
                <w:szCs w:val="17"/>
                <w:color w:val="auto"/>
              </w:rPr>
            </w:pPr>
          </w:p>
        </w:tc>
        <w:tc>
          <w:tcPr>
            <w:tcW w:w="1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1997</w:t>
            </w:r>
          </w:p>
        </w:tc>
        <w:tc>
          <w:tcPr>
            <w:tcW w:w="560" w:type="dxa"/>
            <w:vAlign w:val="bottom"/>
          </w:tcPr>
          <w:p>
            <w:pPr>
              <w:spacing w:after="0"/>
              <w:rPr>
                <w:sz w:val="17"/>
                <w:szCs w:val="17"/>
                <w:color w:val="auto"/>
              </w:rPr>
            </w:pPr>
          </w:p>
        </w:tc>
        <w:tc>
          <w:tcPr>
            <w:tcW w:w="1100" w:type="dxa"/>
            <w:vAlign w:val="bottom"/>
          </w:tcPr>
          <w:p>
            <w:pPr>
              <w:ind w:left="280"/>
              <w:spacing w:after="0"/>
              <w:rPr>
                <w:sz w:val="20"/>
                <w:szCs w:val="20"/>
                <w:color w:val="auto"/>
              </w:rPr>
            </w:pPr>
            <w:r>
              <w:rPr>
                <w:rFonts w:ascii="Courier New" w:cs="Courier New" w:eastAsia="Courier New" w:hAnsi="Courier New"/>
                <w:sz w:val="17"/>
                <w:szCs w:val="17"/>
                <w:color w:val="auto"/>
                <w:w w:val="97"/>
              </w:rPr>
              <w:t>% Change</w:t>
            </w:r>
          </w:p>
        </w:tc>
        <w:tc>
          <w:tcPr>
            <w:tcW w:w="1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1996</w:t>
            </w:r>
          </w:p>
        </w:tc>
        <w:tc>
          <w:tcPr>
            <w:tcW w:w="680" w:type="dxa"/>
            <w:vAlign w:val="bottom"/>
          </w:tcPr>
          <w:p>
            <w:pPr>
              <w:spacing w:after="0"/>
              <w:rPr>
                <w:sz w:val="17"/>
                <w:szCs w:val="17"/>
                <w:color w:val="auto"/>
              </w:rPr>
            </w:pPr>
          </w:p>
        </w:tc>
      </w:tr>
      <w:tr>
        <w:trPr>
          <w:trHeight w:val="201"/>
        </w:trPr>
        <w:tc>
          <w:tcPr>
            <w:tcW w:w="3620" w:type="dxa"/>
            <w:vAlign w:val="bottom"/>
          </w:tcPr>
          <w:p>
            <w:pPr>
              <w:spacing w:after="0"/>
              <w:rPr>
                <w:sz w:val="17"/>
                <w:szCs w:val="17"/>
                <w:color w:val="auto"/>
              </w:rPr>
            </w:pPr>
          </w:p>
        </w:tc>
        <w:tc>
          <w:tcPr>
            <w:tcW w:w="570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620" w:type="dxa"/>
            <w:vAlign w:val="bottom"/>
          </w:tcPr>
          <w:p>
            <w:pPr>
              <w:spacing w:after="0"/>
              <w:rPr>
                <w:sz w:val="17"/>
                <w:szCs w:val="17"/>
                <w:color w:val="auto"/>
              </w:rPr>
            </w:pP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Net sales</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7"/>
                <w:szCs w:val="17"/>
                <w:color w:val="auto"/>
              </w:rPr>
            </w:pPr>
          </w:p>
        </w:tc>
        <w:tc>
          <w:tcPr>
            <w:tcW w:w="15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Net sales</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620" w:type="dxa"/>
            <w:vAlign w:val="bottom"/>
          </w:tcPr>
          <w:p>
            <w:pPr>
              <w:spacing w:after="0"/>
              <w:rPr>
                <w:sz w:val="20"/>
                <w:szCs w:val="20"/>
                <w:color w:val="auto"/>
              </w:rPr>
            </w:pPr>
            <w:r>
              <w:rPr>
                <w:rFonts w:ascii="Courier New" w:cs="Courier New" w:eastAsia="Courier New" w:hAnsi="Courier New"/>
                <w:sz w:val="17"/>
                <w:szCs w:val="17"/>
                <w:color w:val="auto"/>
              </w:rPr>
              <w:t>Semiconductor memory products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$342.2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47.0</w:t>
            </w:r>
          </w:p>
        </w:tc>
        <w:tc>
          <w:tcPr>
            <w:tcW w:w="1100" w:type="dxa"/>
            <w:vAlign w:val="bottom"/>
          </w:tcPr>
          <w:p>
            <w:pPr>
              <w:spacing w:after="0"/>
              <w:rPr>
                <w:sz w:val="24"/>
                <w:szCs w:val="24"/>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884.5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74.6</w:t>
            </w:r>
          </w:p>
        </w:tc>
      </w:tr>
      <w:tr>
        <w:trPr>
          <w:trHeight w:val="201"/>
        </w:trPr>
        <w:tc>
          <w:tcPr>
            <w:tcW w:w="3620" w:type="dxa"/>
            <w:vAlign w:val="bottom"/>
          </w:tcPr>
          <w:p>
            <w:pPr>
              <w:spacing w:after="0"/>
              <w:rPr>
                <w:sz w:val="20"/>
                <w:szCs w:val="20"/>
                <w:color w:val="auto"/>
              </w:rPr>
            </w:pPr>
            <w:r>
              <w:rPr>
                <w:rFonts w:ascii="Courier New" w:cs="Courier New" w:eastAsia="Courier New" w:hAnsi="Courier New"/>
                <w:sz w:val="17"/>
                <w:szCs w:val="17"/>
                <w:color w:val="auto"/>
              </w:rPr>
              <w:t>Personal computer systems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333.8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45.8</w:t>
            </w:r>
          </w:p>
        </w:tc>
        <w:tc>
          <w:tcPr>
            <w:tcW w:w="110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219.1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201"/>
        </w:trPr>
        <w:tc>
          <w:tcPr>
            <w:tcW w:w="36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c>
          <w:tcPr>
            <w:tcW w:w="110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82.2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201"/>
        </w:trPr>
        <w:tc>
          <w:tcPr>
            <w:tcW w:w="362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7"/>
                <w:szCs w:val="17"/>
                <w:color w:val="auto"/>
              </w:rPr>
            </w:pPr>
          </w:p>
        </w:tc>
        <w:tc>
          <w:tcPr>
            <w:tcW w:w="2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620" w:type="dxa"/>
            <w:vAlign w:val="bottom"/>
          </w:tcPr>
          <w:p>
            <w:pPr>
              <w:ind w:left="840"/>
              <w:spacing w:after="0"/>
              <w:rPr>
                <w:sz w:val="20"/>
                <w:szCs w:val="20"/>
                <w:color w:val="auto"/>
              </w:rPr>
            </w:pPr>
            <w:r>
              <w:rPr>
                <w:rFonts w:ascii="Courier New" w:cs="Courier New" w:eastAsia="Courier New" w:hAnsi="Courier New"/>
                <w:sz w:val="17"/>
                <w:szCs w:val="17"/>
                <w:color w:val="auto"/>
              </w:rPr>
              <w:t>Total net sales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$728.1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100.0</w:t>
            </w:r>
          </w:p>
        </w:tc>
        <w:tc>
          <w:tcPr>
            <w:tcW w:w="1100" w:type="dxa"/>
            <w:vAlign w:val="bottom"/>
          </w:tcPr>
          <w:p>
            <w:pPr>
              <w:ind w:left="280"/>
              <w:spacing w:after="0"/>
              <w:rPr>
                <w:sz w:val="20"/>
                <w:szCs w:val="20"/>
                <w:color w:val="auto"/>
              </w:rPr>
            </w:pPr>
            <w:r>
              <w:rPr>
                <w:rFonts w:ascii="Courier New" w:cs="Courier New" w:eastAsia="Courier New" w:hAnsi="Courier New"/>
                <w:sz w:val="17"/>
                <w:szCs w:val="17"/>
                <w:color w:val="auto"/>
              </w:rPr>
              <w:t>(38.6%)</w:t>
            </w: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$1,185.8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1"/>
        </w:trPr>
        <w:tc>
          <w:tcPr>
            <w:tcW w:w="362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7"/>
                <w:szCs w:val="17"/>
                <w:color w:val="auto"/>
              </w:rPr>
            </w:pPr>
          </w:p>
        </w:tc>
        <w:tc>
          <w:tcPr>
            <w:tcW w:w="2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1839" w:firstLine="838"/>
        <w:spacing w:after="0" w:line="251" w:lineRule="auto"/>
        <w:rPr>
          <w:sz w:val="20"/>
          <w:szCs w:val="20"/>
          <w:color w:val="auto"/>
        </w:rPr>
      </w:pPr>
      <w:r>
        <w:rPr>
          <w:rFonts w:ascii="Courier New" w:cs="Courier New" w:eastAsia="Courier New" w:hAnsi="Courier New"/>
          <w:sz w:val="17"/>
          <w:szCs w:val="17"/>
          <w:color w:val="auto"/>
        </w:rPr>
        <w:t>Net sales of semiconductor memory products for the first quarter of fiscal 1997 decreased by 61% as compared to the first quarter of fiscal 1996, primarily due to the sharp decline in average selling prices which was partially offset by increased production of semiconductor memory products. Average selling prices per megabit of memory declined approximately 84% from the first quarter of fiscal 1996 to the first quarter of fiscal 1997. Average selling prices in the first quarter of fiscal 1997 were approximately 22% lower than in the fourth quarter of fiscal 1996. Average selling prices for the Company's semiconductor memory products at the end of the first quarter of fiscal 1997 had declined approximately 10% from average selling prices for semiconductor memory products for the first quarter of fiscal 1997. The Company's principal memory product in the first quarter of fiscal 1997 was the 16 Meg DRAM, which comprised approximately 54% of the net sales of semiconductor memory. Total megabits produced in the first quarter of fiscal 1997 more than doubled the megabits produced in the first quarter of fiscal 1996 and represented a 48% increase in production over the fourth quarter of fiscal 1996. These increases were principally due to the conversion of all fabs to 8-inch wafer processing, transition to the 16 Meg DRAM as the Company's principal memory product, ongoing transitions to successive shrink versions of existing memory products, and enhanced yields on existing memory products.</w:t>
      </w:r>
    </w:p>
    <w:p>
      <w:pPr>
        <w:sectPr>
          <w:pgSz w:w="11900" w:h="16838" w:orient="portrait"/>
          <w:cols w:equalWidth="0" w:num="1">
            <w:col w:w="10219"/>
          </w:cols>
          <w:pgMar w:left="240" w:top="719" w:right="1440" w:bottom="0" w:gutter="0" w:footer="0" w:header="0"/>
        </w:sectPr>
      </w:pPr>
    </w:p>
    <w:bookmarkStart w:id="9" w:name="page10"/>
    <w:bookmarkEnd w:id="9"/>
    <w:p>
      <w:pPr>
        <w:ind w:right="1839" w:firstLine="838"/>
        <w:spacing w:after="0" w:line="251" w:lineRule="auto"/>
        <w:rPr>
          <w:sz w:val="20"/>
          <w:szCs w:val="20"/>
          <w:color w:val="auto"/>
        </w:rPr>
      </w:pPr>
      <w:r>
        <w:rPr>
          <w:rFonts w:ascii="Courier New" w:cs="Courier New" w:eastAsia="Courier New" w:hAnsi="Courier New"/>
          <w:sz w:val="17"/>
          <w:szCs w:val="17"/>
          <w:color w:val="auto"/>
        </w:rPr>
        <w:t>Net sales of PC systems for the first quarter of fiscal 1997, less the value of the Company's semiconductor memory products included therein, increased by approximately 52% as compared to the first quarter of fiscal 1996. Unit sales of PC systems in the first quarter of fiscal 1997 were approximately 22% higher than in the first quarter of fiscal 1996 principally due to an increase in sales of desktop systems to governmental entities and introduction of the Micron Millenia TransPort(TM) notebook systems in the third quarter of fiscal 1996. Due to the Company's historical position as a high-end PC system provider, shortages of Pentium(R) Pro microprocessors and certain high-performance disk drives hampered PC system sales in the first quarter of fiscal 1997. Unit sales of PC systems were relatively flat from the fourth quarter of fiscal 1996 to the first quarter of fiscal 1997.</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4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First Quarter</w:t>
            </w:r>
          </w:p>
        </w:tc>
        <w:tc>
          <w:tcPr>
            <w:tcW w:w="880" w:type="dxa"/>
            <w:vAlign w:val="bottom"/>
          </w:tcPr>
          <w:p>
            <w:pPr>
              <w:spacing w:after="0"/>
              <w:rPr>
                <w:sz w:val="17"/>
                <w:szCs w:val="17"/>
                <w:color w:val="auto"/>
              </w:rPr>
            </w:pPr>
          </w:p>
        </w:tc>
      </w:tr>
      <w:tr>
        <w:trPr>
          <w:trHeight w:val="201"/>
        </w:trPr>
        <w:tc>
          <w:tcPr>
            <w:tcW w:w="3680" w:type="dxa"/>
            <w:vAlign w:val="bottom"/>
          </w:tcPr>
          <w:p>
            <w:pPr>
              <w:spacing w:after="0"/>
              <w:rPr>
                <w:sz w:val="17"/>
                <w:szCs w:val="17"/>
                <w:color w:val="auto"/>
              </w:rPr>
            </w:pPr>
          </w:p>
        </w:tc>
        <w:tc>
          <w:tcPr>
            <w:tcW w:w="4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6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480" w:type="dxa"/>
            <w:vAlign w:val="bottom"/>
          </w:tcPr>
          <w:p>
            <w:pPr>
              <w:ind w:left="480"/>
              <w:spacing w:after="0"/>
              <w:rPr>
                <w:sz w:val="20"/>
                <w:szCs w:val="20"/>
                <w:color w:val="auto"/>
              </w:rPr>
            </w:pPr>
            <w:r>
              <w:rPr>
                <w:rFonts w:ascii="Courier New" w:cs="Courier New" w:eastAsia="Courier New" w:hAnsi="Courier New"/>
                <w:sz w:val="17"/>
                <w:szCs w:val="17"/>
                <w:color w:val="auto"/>
              </w:rPr>
              <w:t>Change</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3680" w:type="dxa"/>
            <w:vAlign w:val="bottom"/>
          </w:tcPr>
          <w:p>
            <w:pPr>
              <w:spacing w:after="0"/>
              <w:rPr>
                <w:sz w:val="17"/>
                <w:szCs w:val="17"/>
                <w:color w:val="auto"/>
              </w:rPr>
            </w:pPr>
          </w:p>
        </w:tc>
        <w:tc>
          <w:tcPr>
            <w:tcW w:w="4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Gross margin</w:t>
            </w: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$155.2</w:t>
            </w:r>
          </w:p>
        </w:tc>
        <w:tc>
          <w:tcPr>
            <w:tcW w:w="1480" w:type="dxa"/>
            <w:vAlign w:val="bottom"/>
          </w:tcPr>
          <w:p>
            <w:pPr>
              <w:ind w:left="480"/>
              <w:spacing w:after="0"/>
              <w:rPr>
                <w:sz w:val="20"/>
                <w:szCs w:val="20"/>
                <w:color w:val="auto"/>
              </w:rPr>
            </w:pPr>
            <w:r>
              <w:rPr>
                <w:rFonts w:ascii="Courier New" w:cs="Courier New" w:eastAsia="Courier New" w:hAnsi="Courier New"/>
                <w:sz w:val="17"/>
                <w:szCs w:val="17"/>
                <w:color w:val="auto"/>
              </w:rPr>
              <w:t>(76.0%)</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$647.7</w:t>
            </w:r>
          </w:p>
        </w:tc>
      </w:tr>
      <w:tr>
        <w:trPr>
          <w:trHeight w:val="201"/>
        </w:trPr>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as a % of net sales</w:t>
            </w: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c>
          <w:tcPr>
            <w:tcW w:w="14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54.6%</w:t>
            </w:r>
          </w:p>
        </w:tc>
      </w:tr>
    </w:tbl>
    <w:p>
      <w:pPr>
        <w:spacing w:after="0" w:line="200" w:lineRule="exact"/>
        <w:rPr>
          <w:sz w:val="20"/>
          <w:szCs w:val="20"/>
          <w:color w:val="auto"/>
        </w:rPr>
      </w:pPr>
    </w:p>
    <w:p>
      <w:pPr>
        <w:spacing w:after="0" w:line="20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Company's gross margin percentage was approximately 60% lower in the first quarter of fiscal 1997 compared to the first quarter of fiscal 1996. The reduction was primarily the result of a lower gross margin percentage on the Company's semiconductor memory products.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Company's gross margin percentage on semiconductor memory products decreased to approximately 24% in the first quarter of fiscal 1997, compared to 70% in the first quarter of fiscal 1996. Notwithstanding substantial decreases in per unit manufacturing costs in recent periods, the gross margin percentage on semiconductor memory products was lower as average selling prices for such products declined more rapidly than per unit manufacturing costs. Decreases in per unit manufacturing costs were achieved through significant increases in die per wafer achieved through conversion of all fabs to 8-inch wafer processing, transitions to shrink versions of existing products, shifts in the Company's mix of semiconductor memory products to a higher average density, and improved manufacturing yields. For the first quarter of fiscal 1997, decreases in per unit manufacturing costs were commensurate with decreases in average selling prices for the same period, resulting in a slightly improved gross margin for the first quarter of fiscal 1997 as compared to the fourth quarter of fiscal 1996.</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gross margin amount provided by the Company's PC operations in the first quarter of fiscal 1997 increased significantly compared to the first quarter of fiscal 1996 principally due to a higher gross margin percentage realized on PC system sales coupled with a 22% increase in unit sales of PC systems. The higher gross margin percentage realized on PC system sales in the first quarter of fiscal 1997 was primarily due to lower component costs, and to a lesser extent, higher margins realized on sales of notebook systems. The gross margin percentage for PC systems remained relatively stable comparing the first quarter of fiscal 1997 to the fourth quarter of fiscal 1996.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88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4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Change</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4400" w:type="dxa"/>
            <w:vAlign w:val="bottom"/>
          </w:tcPr>
          <w:p>
            <w:pPr>
              <w:spacing w:after="0"/>
              <w:rPr>
                <w:sz w:val="17"/>
                <w:szCs w:val="17"/>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40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$ 66.6</w:t>
            </w:r>
          </w:p>
        </w:tc>
        <w:tc>
          <w:tcPr>
            <w:tcW w:w="14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$ 72.7</w:t>
            </w:r>
          </w:p>
        </w:tc>
      </w:tr>
      <w:tr>
        <w:trPr>
          <w:trHeight w:val="201"/>
        </w:trPr>
        <w:tc>
          <w:tcPr>
            <w:tcW w:w="4400" w:type="dxa"/>
            <w:vAlign w:val="bottom"/>
          </w:tcPr>
          <w:p>
            <w:pPr>
              <w:ind w:left="220"/>
              <w:spacing w:after="0"/>
              <w:rPr>
                <w:sz w:val="20"/>
                <w:szCs w:val="20"/>
                <w:color w:val="auto"/>
              </w:rPr>
            </w:pPr>
            <w:r>
              <w:rPr>
                <w:rFonts w:ascii="Courier New" w:cs="Courier New" w:eastAsia="Courier New" w:hAnsi="Courier New"/>
                <w:sz w:val="17"/>
                <w:szCs w:val="17"/>
                <w:color w:val="auto"/>
              </w:rPr>
              <w:t>as a % of net sales</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c>
          <w:tcPr>
            <w:tcW w:w="14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general and administrative expenses for the first quarter of fiscal 1997 reflect an approximate $10 million pretax gain from the sale of an investment which was the primary cause of the decrease in such expenses compared to the first quarter of fiscal 1996. A reduction in the Company's allowance for bad debts also contributed to the decrease in selling, general and administrative expense. The overall decrease in selling, general and administrative expenses was partially offset by increased advertising costs for the Company's PC operations. The Company expects advertising costs to increase at a rate commensurate with growth in the Company's PC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880" w:type="dxa"/>
            <w:vAlign w:val="bottom"/>
          </w:tcPr>
          <w:p>
            <w:pPr>
              <w:spacing w:after="0"/>
              <w:rPr>
                <w:sz w:val="17"/>
                <w:szCs w:val="17"/>
                <w:color w:val="auto"/>
              </w:rPr>
            </w:pPr>
          </w:p>
        </w:tc>
      </w:tr>
      <w:tr>
        <w:trPr>
          <w:trHeight w:val="201"/>
        </w:trPr>
        <w:tc>
          <w:tcPr>
            <w:tcW w:w="3840" w:type="dxa"/>
            <w:vAlign w:val="bottom"/>
          </w:tcPr>
          <w:p>
            <w:pPr>
              <w:spacing w:after="0"/>
              <w:rPr>
                <w:sz w:val="17"/>
                <w:szCs w:val="17"/>
                <w:color w:val="auto"/>
              </w:rPr>
            </w:pPr>
          </w:p>
        </w:tc>
        <w:tc>
          <w:tcPr>
            <w:tcW w:w="4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84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Change</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3840" w:type="dxa"/>
            <w:vAlign w:val="bottom"/>
          </w:tcPr>
          <w:p>
            <w:pPr>
              <w:spacing w:after="0"/>
              <w:rPr>
                <w:sz w:val="17"/>
                <w:szCs w:val="17"/>
                <w:color w:val="auto"/>
              </w:rPr>
            </w:pPr>
          </w:p>
        </w:tc>
        <w:tc>
          <w:tcPr>
            <w:tcW w:w="4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84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$ 47.2</w:t>
            </w: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1.3%</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$ 46.6</w:t>
            </w:r>
          </w:p>
        </w:tc>
      </w:tr>
      <w:tr>
        <w:trPr>
          <w:trHeight w:val="201"/>
        </w:trPr>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as a % of net sales</w:t>
            </w: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14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w:t>
            </w:r>
          </w:p>
        </w:tc>
      </w:tr>
    </w:tbl>
    <w:p>
      <w:pPr>
        <w:spacing w:after="0" w:line="20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Research and development expenses vary primarily based on the number of wafers and personnel, and the cost of advanced equipment dedicated to new product and process development. Research and development efforts in the first quarter of fiscal 1997 were focused principally on further development of shrink versions of the 16 Meg DRAM. Development efforts are also focused on 16 Meg and 64 Meg SDRAM and a move from .35 micron (u) process technology to .30u, .25u and</w:t>
      </w:r>
    </w:p>
    <w:p>
      <w:pPr>
        <w:ind w:right="2039" w:firstLine="105"/>
        <w:spacing w:after="0" w:line="253" w:lineRule="auto"/>
        <w:rPr>
          <w:sz w:val="20"/>
          <w:szCs w:val="20"/>
          <w:color w:val="auto"/>
        </w:rPr>
      </w:pPr>
      <w:r>
        <w:rPr>
          <w:rFonts w:ascii="Courier New" w:cs="Courier New" w:eastAsia="Courier New" w:hAnsi="Courier New"/>
          <w:sz w:val="17"/>
          <w:szCs w:val="17"/>
          <w:color w:val="auto"/>
        </w:rPr>
        <w:t>.18u process technology. Other research and development efforts are currently devoted to the design of SRAM, the 64 Meg and 256 Meg DRAMs, and design and development of new technologies including remote intelligent communications (RIC) products and Flash semiconductor memory products.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19" w:right="1440" w:bottom="0" w:gutter="0" w:footer="0" w:header="0"/>
        </w:sectPr>
      </w:pPr>
    </w:p>
    <w:bookmarkStart w:id="11" w:name="page12"/>
    <w:bookmarkEnd w:id="11"/>
    <w:p>
      <w:pPr>
        <w:ind w:right="1939" w:firstLine="524"/>
        <w:spacing w:after="0" w:line="253" w:lineRule="auto"/>
        <w:rPr>
          <w:sz w:val="20"/>
          <w:szCs w:val="20"/>
          <w:color w:val="auto"/>
        </w:rPr>
      </w:pPr>
      <w:r>
        <w:rPr>
          <w:rFonts w:ascii="Courier New" w:cs="Courier New" w:eastAsia="Courier New" w:hAnsi="Courier New"/>
          <w:sz w:val="17"/>
          <w:szCs w:val="17"/>
          <w:color w:val="auto"/>
        </w:rPr>
        <w:t>As of November 28, 1996, the Company had cash and liquid investments totalling $228 million, representing a decrease of $59 million during the first quarter of fiscal 1997. During the quarter the Company repaid the entire $90 million outstanding 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42" w:right="1440" w:bottom="1440" w:gutter="0" w:footer="0" w:header="0"/>
        </w:sectPr>
      </w:pPr>
    </w:p>
    <w:bookmarkStart w:id="12" w:name="page13"/>
    <w:bookmarkEnd w:id="12"/>
    <w:p>
      <w:pPr>
        <w:spacing w:after="0" w:line="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its bank lines of credit. Approximately $122 million of the Company's consolidated cash and liquid investments were held by MEI. Cash generated from operations by MEI is not readily available to finance operations or other expenditures of MTI. During the first quarter of fiscal 1997 the Company's inventories increased by $53 million. Raw materials and work in progress inventories as of November 28, 1996 increased 58% and 14%, respectively, compared to levels as of August 29, 1996. The increase in raw materials inventories was mainly attributable to increased raw materials associated with PC operations. A lower than expected level of PC shipments in the first quarter of fiscal 1997, principally as a result of component shortages, led to an increase in the Company's inventories of other components. The increase in work in progress was due to higher costs associated with 8-inch wafer processing.</w:t>
      </w:r>
    </w:p>
    <w:p>
      <w:pPr>
        <w:spacing w:after="0" w:line="201" w:lineRule="exact"/>
        <w:rPr>
          <w:sz w:val="20"/>
          <w:szCs w:val="20"/>
          <w:color w:val="auto"/>
        </w:rPr>
      </w:pPr>
    </w:p>
    <w:p>
      <w:pPr>
        <w:ind w:right="2139" w:firstLine="314"/>
        <w:spacing w:after="0" w:line="252" w:lineRule="auto"/>
        <w:rPr>
          <w:sz w:val="20"/>
          <w:szCs w:val="20"/>
          <w:color w:val="auto"/>
        </w:rPr>
      </w:pPr>
      <w:r>
        <w:rPr>
          <w:rFonts w:ascii="Courier New" w:cs="Courier New" w:eastAsia="Courier New" w:hAnsi="Courier New"/>
          <w:sz w:val="17"/>
          <w:szCs w:val="17"/>
          <w:color w:val="auto"/>
        </w:rPr>
        <w:t>The Company's principal sources of liquidity during the first quarter of fiscal 1997 were cash flows from operations of $148 million and equipment financing of $38 million. The principal uses of funds in the first quarter of fiscal 1997 were net repayments of the Company's bank lines of credit of $90 million, $85 million for property, plant and equipment and $85 million for repayments of equipment contracts and long-term debt.</w:t>
      </w:r>
    </w:p>
    <w:p>
      <w:pPr>
        <w:spacing w:after="0" w:line="197" w:lineRule="exact"/>
        <w:rPr>
          <w:sz w:val="20"/>
          <w:szCs w:val="20"/>
          <w:color w:val="auto"/>
        </w:rPr>
      </w:pPr>
    </w:p>
    <w:p>
      <w:pPr>
        <w:ind w:right="1839" w:firstLine="314"/>
        <w:spacing w:after="0" w:line="251" w:lineRule="auto"/>
        <w:rPr>
          <w:sz w:val="20"/>
          <w:szCs w:val="20"/>
          <w:color w:val="auto"/>
        </w:rPr>
      </w:pPr>
      <w:r>
        <w:rPr>
          <w:rFonts w:ascii="Courier New" w:cs="Courier New" w:eastAsia="Courier New" w:hAnsi="Courier New"/>
          <w:sz w:val="17"/>
          <w:szCs w:val="17"/>
          <w:color w:val="auto"/>
        </w:rPr>
        <w:t>Cash flow from operations for the first quarter of fiscal 1997 was lower than cash flow from operations for the first quarter of fiscal 1996 primarily as a result of lower overall average selling prices for semiconductor memory products. Cash flow from operations depends significantly on average selling prices and variable per unit manufacturing costs for the Company's semiconductor memory products. In fiscal 1996, the rate of decline in average selling prices for semiconductor memory products surpassed the rate at which the Company was able to decrease per unit manufacturing costs. As a result, the Company's result of operations and cash flow were adversely impacted.</w:t>
      </w:r>
    </w:p>
    <w:p>
      <w:pPr>
        <w:spacing w:after="0" w:line="201" w:lineRule="exact"/>
        <w:rPr>
          <w:sz w:val="20"/>
          <w:szCs w:val="20"/>
          <w:color w:val="auto"/>
        </w:rPr>
      </w:pPr>
    </w:p>
    <w:p>
      <w:pPr>
        <w:ind w:right="1839" w:firstLine="314"/>
        <w:spacing w:after="0" w:line="251" w:lineRule="auto"/>
        <w:rPr>
          <w:sz w:val="20"/>
          <w:szCs w:val="20"/>
          <w:color w:val="auto"/>
        </w:rPr>
      </w:pPr>
      <w:r>
        <w:rPr>
          <w:rFonts w:ascii="Courier New" w:cs="Courier New" w:eastAsia="Courier New" w:hAnsi="Courier New"/>
          <w:sz w:val="17"/>
          <w:szCs w:val="17"/>
          <w:color w:val="auto"/>
        </w:rPr>
        <w:t>As of November 28, 1996, the Company had contractual commitments extending into fiscal 1998 of approximately $148 million for equipment purchases and approximately $24 million for the construction of facilities. The Company estimates it will spend approximately $600 million in fiscal 1997 for purchases of equipment, construction and improvement of buildings primarily to enhance capacity and product and process technology at its existing facilities. The Company believes that in order to pursue development of new product and process technologies at a rate commensurate to the Company's competition, and to support future growth, achieve operating efficiencies, and enhance product quality it must continue to invest in manufacturing technology, facilities and capital equipment, research and development, and product and process technology. As the Company considers its long-term capacity and product and process technology enhancement programs it continues to evaluate a number of financing alternatives, including additional financing from external sources. In this regard, the Company filed an undesignated shelf registration statement on December 20, 1996 for up to $1 billion in debt or equity securities to give the Company the flexibility, if and when financing is advantageous, to effect an appropriately sized offering. In addition, MEI filed a shelf registration statement on October 11, 1996 allowing for an offering of up to $325 million of MEI common stock of which $250 million may be offered by MTI and certain management employees.</w:t>
      </w:r>
    </w:p>
    <w:p>
      <w:pPr>
        <w:spacing w:after="0" w:line="200" w:lineRule="exact"/>
        <w:rPr>
          <w:sz w:val="20"/>
          <w:szCs w:val="20"/>
          <w:color w:val="auto"/>
        </w:rPr>
      </w:pPr>
    </w:p>
    <w:p>
      <w:pPr>
        <w:spacing w:after="0" w:line="203" w:lineRule="exact"/>
        <w:rPr>
          <w:sz w:val="20"/>
          <w:szCs w:val="20"/>
          <w:color w:val="auto"/>
        </w:rPr>
      </w:pPr>
    </w:p>
    <w:p>
      <w:pPr>
        <w:ind w:right="1839" w:firstLine="314"/>
        <w:spacing w:after="0" w:line="251" w:lineRule="auto"/>
        <w:rPr>
          <w:sz w:val="20"/>
          <w:szCs w:val="20"/>
          <w:color w:val="auto"/>
        </w:rPr>
      </w:pPr>
      <w:r>
        <w:rPr>
          <w:rFonts w:ascii="Courier New" w:cs="Courier New" w:eastAsia="Courier New" w:hAnsi="Courier New"/>
          <w:sz w:val="17"/>
          <w:szCs w:val="17"/>
          <w:color w:val="auto"/>
        </w:rPr>
        <w:t>The Company has a $400 million revolving credit agreement expiring in May 1999. As of November 28, 1996, the Company had no borrowings outstanding under the facility. The agreement contains certain restrictive covenants, including a borrowing base tied to the Company's accounts receivable, an Earnings Before Interest, Taxes, Depreciation and Amortization (EBITDA) covenant, and a maximum net loss covenant. As of November 28, 1996, the Company was in compliance with all covenants under the facility. There can be no assurance that the Company will continue to be able to meet the terms of the covenants or be able to borrow the full amount of the credit facility.</w:t>
      </w:r>
    </w:p>
    <w:p>
      <w:pPr>
        <w:spacing w:after="0" w:line="201" w:lineRule="exact"/>
        <w:rPr>
          <w:sz w:val="20"/>
          <w:szCs w:val="20"/>
          <w:color w:val="auto"/>
        </w:rPr>
      </w:pPr>
    </w:p>
    <w:p>
      <w:pPr>
        <w:ind w:right="1839" w:firstLine="314"/>
        <w:spacing w:after="0" w:line="252" w:lineRule="auto"/>
        <w:rPr>
          <w:sz w:val="20"/>
          <w:szCs w:val="20"/>
          <w:color w:val="auto"/>
        </w:rPr>
      </w:pPr>
      <w:r>
        <w:rPr>
          <w:rFonts w:ascii="Courier New" w:cs="Courier New" w:eastAsia="Courier New" w:hAnsi="Courier New"/>
          <w:sz w:val="17"/>
          <w:szCs w:val="17"/>
          <w:color w:val="auto"/>
        </w:rPr>
        <w:t>MEI has an unsecured revolving credit facility with two financial institutions providing for borrowings of up to $40 million. As of November 28, 1996, MEI had no borrowings outstanding under the agreement. Borrowings are limited based on the amount of MEI's eligible receivables. As of November 28, 1996, MEI was eligible to borrow the full $40 million pursuant to the agreement.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Factors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1839" w:firstLine="314"/>
        <w:spacing w:after="0" w:line="252" w:lineRule="auto"/>
        <w:rPr>
          <w:sz w:val="20"/>
          <w:szCs w:val="20"/>
          <w:color w:val="auto"/>
        </w:rPr>
      </w:pPr>
      <w:r>
        <w:rPr>
          <w:rFonts w:ascii="Courier New" w:cs="Courier New" w:eastAsia="Courier New" w:hAnsi="Courier New"/>
          <w:sz w:val="17"/>
          <w:szCs w:val="17"/>
          <w:color w:val="auto"/>
        </w:rPr>
        <w:t>In addition to the factors discussed elsewhere in this Form 10-Q and in the Company's Form 10-K for the fiscal year ended August 29, 1996, the following are important factors which could cause actual results or events to differ materially from those contained in any forward looking statements made by or on behalf of the Company.</w:t>
      </w:r>
    </w:p>
    <w:p>
      <w:pPr>
        <w:spacing w:after="0" w:line="197" w:lineRule="exact"/>
        <w:rPr>
          <w:sz w:val="20"/>
          <w:szCs w:val="20"/>
          <w:color w:val="auto"/>
        </w:rPr>
      </w:pPr>
    </w:p>
    <w:p>
      <w:pPr>
        <w:ind w:right="2259" w:firstLine="314"/>
        <w:spacing w:after="0" w:line="257" w:lineRule="auto"/>
        <w:rPr>
          <w:sz w:val="20"/>
          <w:szCs w:val="20"/>
          <w:color w:val="auto"/>
        </w:rPr>
      </w:pPr>
      <w:r>
        <w:rPr>
          <w:rFonts w:ascii="Courier New" w:cs="Courier New" w:eastAsia="Courier New" w:hAnsi="Courier New"/>
          <w:sz w:val="17"/>
          <w:szCs w:val="17"/>
          <w:color w:val="auto"/>
        </w:rPr>
        <w:t>The semiconductor memory industry is characterized by rapid technological change, frequent product introductions and enhancements, difficult product</w:t>
      </w:r>
    </w:p>
    <w:p>
      <w:pPr>
        <w:sectPr>
          <w:pgSz w:w="11900" w:h="16841" w:orient="portrait"/>
          <w:cols w:equalWidth="0" w:num="1">
            <w:col w:w="10219"/>
          </w:cols>
          <w:pgMar w:left="240" w:top="719" w:right="1440" w:bottom="0" w:gutter="0" w:footer="0" w:header="0"/>
        </w:sectPr>
      </w:pPr>
    </w:p>
    <w:bookmarkStart w:id="13" w:name="page14"/>
    <w:bookmarkEnd w:id="13"/>
    <w:p>
      <w:pPr>
        <w:ind w:right="2139"/>
        <w:spacing w:after="0" w:line="253" w:lineRule="auto"/>
        <w:rPr>
          <w:sz w:val="20"/>
          <w:szCs w:val="20"/>
          <w:color w:val="auto"/>
        </w:rPr>
      </w:pPr>
      <w:r>
        <w:rPr>
          <w:rFonts w:ascii="Courier New" w:cs="Courier New" w:eastAsia="Courier New" w:hAnsi="Courier New"/>
          <w:sz w:val="17"/>
          <w:szCs w:val="17"/>
          <w:color w:val="auto"/>
        </w:rPr>
        <w:t>transitions, relatively short product life cycles, and volatile market conditions. These characteristics historically have made the semiconductor industry highly cyclical, particularly in the market for DRAMs, which are the Company's primary products.</w:t>
      </w:r>
    </w:p>
    <w:p>
      <w:pPr>
        <w:spacing w:after="0" w:line="195"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The selling prices for the Company's semiconductor memory products fluctuate significantly with changes in the balance of supply and demand for these commodity products. In recent periods the growth in worldwide supply has outpaced growth in worldwide demand, resulting in a significant decrease in average selling prices for the Company's semiconductor memory products. In fiscal 1996, the rate of decline in average selling prices for semiconductor memory products surpassed the rate at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1440" w:gutter="0" w:footer="0" w:header="0"/>
        </w:sectPr>
      </w:pPr>
    </w:p>
    <w:bookmarkStart w:id="14" w:name="page15"/>
    <w:bookmarkEnd w:id="14"/>
    <w:p>
      <w:pPr>
        <w:ind w:right="1939"/>
        <w:spacing w:after="0" w:line="251" w:lineRule="auto"/>
        <w:rPr>
          <w:sz w:val="20"/>
          <w:szCs w:val="20"/>
          <w:color w:val="auto"/>
        </w:rPr>
      </w:pPr>
      <w:r>
        <w:rPr>
          <w:rFonts w:ascii="Courier New" w:cs="Courier New" w:eastAsia="Courier New" w:hAnsi="Courier New"/>
          <w:sz w:val="17"/>
          <w:szCs w:val="17"/>
          <w:color w:val="auto"/>
        </w:rPr>
        <w:t>which the Company was able to decrease per unit manufacturing costs, and, as a result, the Company's cash flows were significantly adversely affected, particularly in the second half of fiscal 1996. In the first quarter of fiscal 1997 the rate of decline in average selling prices for semiconductor memory products was commensurate with the rate of decline in per unit manufacturing costs. There can be no assurance that the trend experienced in the first quarter of fiscal 1997 will continue. In the event that average selling prices decline at a faster rate than that at which the Company is able to decrease per unit manufacturing costs, the Company could be materially adversely affected in its operations and cash flows.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Approximately 75% of the Company's sales of semiconductor memory products during the first quarter of fiscal 1997 were directly into the PC or peripheral markets. DRAMs are the most widely used semiconductor memory component in most PC systems. The Company believes that the rate of growth in average worldwide sales of PC systems has declined and may remain below prior periods' growth rates for the forseeable future. In addition, the growth rate in the amount of semiconductor memory per PC system may decrease in the future as well. Should demand for PC systems decrease or the growth rate in the amount of memory per PC system decrease, growth in demand for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Company's operating results are significantly impacted by the operating results of its consolidated subsidiaries, in particular MEI. As DRAM prices have fallen and as unit shipments of PC systems have increased, MTI's consolidated results of operations have been increasingly affected by MEI's results of operations. MEI's past operating results have been, and its future operating results may be, subject to fluctuations, on a quarterly and an annual basis, as a result of a wide variety of factors, including, but not limited to, inventory management or obsolescence, critical component availability, industry competition, state sales and use taxes, short product cycles and the timing of new product introductions by MEI and its competitors, fluctuating market pricing for computer and semiconductor memory products, fluctuating component costs, seasonal cycles common in the PC industry, seasonal government purchasing cycles, reliance upon the direct sales approach, the ability to maintain adequate customer service and technical support systems, the effect of product reviews and industry awards, changes in product mix, manufacturing and production constraints and the timing of orders from and shipments to OEM customers.</w:t>
      </w:r>
    </w:p>
    <w:p>
      <w:pPr>
        <w:spacing w:after="0" w:line="200" w:lineRule="exact"/>
        <w:rPr>
          <w:sz w:val="20"/>
          <w:szCs w:val="20"/>
          <w:color w:val="auto"/>
        </w:rPr>
      </w:pPr>
    </w:p>
    <w:p>
      <w:pPr>
        <w:spacing w:after="0" w:line="203"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Company is engaged in ongoing efforts to enhance its production processes to reduce the die size of existing products and to increase capacity. The result of such efforts has led to a significant increase in recent quarters in megabit production. There can be no assurance that the Company can maintain or approximate increases in megabit production typical of that experienced in recent quarters or that the Company will not experience decreases in manufacturing yields or production as it attempts to implement future technologies. Furthermore, from time to time, the Company experiences volatility in its manufacturing yields, as it is not unusual to encounter difficulties in ramping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200" w:lineRule="exact"/>
        <w:rPr>
          <w:sz w:val="20"/>
          <w:szCs w:val="20"/>
          <w:color w:val="auto"/>
        </w:rPr>
      </w:pPr>
    </w:p>
    <w:p>
      <w:pPr>
        <w:spacing w:after="0" w:line="203"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Historically, the Company has reinvested substantially all cash flow from operations in capacity expansion and improvement programs. The Company's cash flow from operations depends primarily on average selling prices and per unit manufacturing costs of the Company's semiconductor products. In the event that average selling prices decline faster than the rate at which the Company is able to decrease per unit manufacturing costs, the Company may not be able to generate sufficient cash flows from operations to sustain operations. There can be no assurance that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and results of operations.</w:t>
      </w:r>
    </w:p>
    <w:p>
      <w:pPr>
        <w:sectPr>
          <w:pgSz w:w="11900" w:h="16838" w:orient="portrait"/>
          <w:cols w:equalWidth="0" w:num="1">
            <w:col w:w="10219"/>
          </w:cols>
          <w:pgMar w:left="240" w:top="719" w:right="1440" w:bottom="0" w:gutter="0" w:footer="0" w:header="0"/>
        </w:sectPr>
      </w:pPr>
    </w:p>
    <w:bookmarkStart w:id="15" w:name="page16"/>
    <w:bookmarkEnd w:id="15"/>
    <w:p>
      <w:pPr>
        <w:ind w:right="1839" w:firstLine="419"/>
        <w:spacing w:after="0" w:line="251" w:lineRule="auto"/>
        <w:rPr>
          <w:sz w:val="20"/>
          <w:szCs w:val="20"/>
          <w:color w:val="auto"/>
        </w:rPr>
      </w:pPr>
      <w:r>
        <w:rPr>
          <w:rFonts w:ascii="Courier New" w:cs="Courier New" w:eastAsia="Courier New" w:hAnsi="Courier New"/>
          <w:sz w:val="17"/>
          <w:szCs w:val="17"/>
          <w:color w:val="auto"/>
        </w:rPr>
        <w:t>The semiconductor industry has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the technology used by the Company in the manufacture of some or all of its products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some of which expire at the end of the calendar year 1996. The Company is unable to predict whether these license agreements can be obtained or renewed on terms acceptable to the Company. Failure to obtain or renew such licenses could result in litigation. Further, adverse determinations that the Company's manufacturing processes or products have infringed on the product or process rights held by others could result in the Company's loss of proprietary rights,</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2" w:right="1440" w:bottom="1440" w:gutter="0" w:footer="0" w:header="0"/>
        </w:sectPr>
      </w:pPr>
    </w:p>
    <w:bookmarkStart w:id="16" w:name="page17"/>
    <w:bookmarkEnd w:id="16"/>
    <w:p>
      <w:pPr>
        <w:ind w:right="2259"/>
        <w:spacing w:after="0" w:line="253" w:lineRule="auto"/>
        <w:rPr>
          <w:sz w:val="20"/>
          <w:szCs w:val="20"/>
          <w:color w:val="auto"/>
        </w:rPr>
      </w:pPr>
      <w:r>
        <w:rPr>
          <w:rFonts w:ascii="Courier New" w:cs="Courier New" w:eastAsia="Courier New" w:hAnsi="Courier New"/>
          <w:sz w:val="17"/>
          <w:szCs w:val="17"/>
          <w:color w:val="auto"/>
        </w:rPr>
        <w:t>subject the Company to significant liabilities to third parties, require the Company to seek licenses from third parties or require material changes in production processes or products, any of which could have a material adverse effect on the Company's business and results of operations.</w:t>
      </w:r>
    </w:p>
    <w:p>
      <w:pPr>
        <w:spacing w:after="0" w:line="195"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Millenia TransPort is a trademark of Micron Electronics, Inc. Pentium is a registered trademark of Intel Corporation.</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Shareholders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The registrant's 1996 Annual Meeting of Shareholders was held on November 18, 1996. At the meeting, the following items were submitted to a vote of the shareholders:</w:t>
      </w:r>
    </w:p>
    <w:p>
      <w:pPr>
        <w:spacing w:after="0" w:line="194" w:lineRule="exact"/>
        <w:rPr>
          <w:sz w:val="20"/>
          <w:szCs w:val="20"/>
          <w:color w:val="auto"/>
        </w:rPr>
      </w:pPr>
    </w:p>
    <w:p>
      <w:pPr>
        <w:jc w:val="both"/>
        <w:ind w:right="1939" w:firstLine="531"/>
        <w:spacing w:after="0" w:line="254" w:lineRule="auto"/>
        <w:tabs>
          <w:tab w:leader="none" w:pos="94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397"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Votes</w:t>
            </w: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Votes Cast</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Name of Nominee</w:t>
            </w:r>
          </w:p>
        </w:tc>
        <w:tc>
          <w:tcPr>
            <w:tcW w:w="2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Cast For</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Against/Withheld</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400" w:type="dxa"/>
            <w:vAlign w:val="bottom"/>
          </w:tcPr>
          <w:p>
            <w:pPr>
              <w:ind w:left="40"/>
              <w:spacing w:after="0"/>
              <w:rPr>
                <w:sz w:val="20"/>
                <w:szCs w:val="20"/>
                <w:color w:val="auto"/>
              </w:rPr>
            </w:pPr>
            <w:r>
              <w:rPr>
                <w:rFonts w:ascii="Courier New" w:cs="Courier New" w:eastAsia="Courier New" w:hAnsi="Courier New"/>
                <w:sz w:val="17"/>
                <w:szCs w:val="17"/>
                <w:color w:val="auto"/>
              </w:rPr>
              <w:t>R. Appleton</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186,516,239</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337,090</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Jerry M. Hess</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186,579,342</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367,233</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400" w:type="dxa"/>
            <w:vAlign w:val="bottom"/>
          </w:tcPr>
          <w:p>
            <w:pPr>
              <w:ind w:left="40"/>
              <w:spacing w:after="0"/>
              <w:rPr>
                <w:sz w:val="20"/>
                <w:szCs w:val="20"/>
                <w:color w:val="auto"/>
              </w:rPr>
            </w:pPr>
            <w:r>
              <w:rPr>
                <w:rFonts w:ascii="Courier New" w:cs="Courier New" w:eastAsia="Courier New" w:hAnsi="Courier New"/>
                <w:sz w:val="17"/>
                <w:szCs w:val="17"/>
                <w:color w:val="auto"/>
              </w:rPr>
              <w:t>A. Lothrop</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186,435,596</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510,048</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Thomas</w:t>
            </w:r>
          </w:p>
        </w:tc>
        <w:tc>
          <w:tcPr>
            <w:tcW w:w="2400" w:type="dxa"/>
            <w:vAlign w:val="bottom"/>
          </w:tcPr>
          <w:p>
            <w:pPr>
              <w:ind w:left="40"/>
              <w:spacing w:after="0"/>
              <w:rPr>
                <w:sz w:val="20"/>
                <w:szCs w:val="20"/>
                <w:color w:val="auto"/>
              </w:rPr>
            </w:pPr>
            <w:r>
              <w:rPr>
                <w:rFonts w:ascii="Courier New" w:cs="Courier New" w:eastAsia="Courier New" w:hAnsi="Courier New"/>
                <w:sz w:val="17"/>
                <w:szCs w:val="17"/>
                <w:color w:val="auto"/>
              </w:rPr>
              <w:t>T. Nicholson</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186,581,034</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371,640</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Don J. Simplot</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186,323,580</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645,789</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John R. Simplot</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186,215,652</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745,806</w:t>
            </w:r>
          </w:p>
        </w:tc>
      </w:tr>
      <w:tr>
        <w:trPr>
          <w:trHeight w:val="201"/>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Gordon C. Smith</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186,534,359</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594,403</w:t>
            </w:r>
          </w:p>
        </w:tc>
      </w:tr>
    </w:tbl>
    <w:p>
      <w:pPr>
        <w:spacing w:after="0" w:line="200" w:lineRule="exact"/>
        <w:rPr>
          <w:sz w:val="20"/>
          <w:szCs w:val="20"/>
          <w:color w:val="auto"/>
        </w:rPr>
      </w:pPr>
    </w:p>
    <w:p>
      <w:pPr>
        <w:spacing w:after="0" w:line="207" w:lineRule="exact"/>
        <w:rPr>
          <w:sz w:val="20"/>
          <w:szCs w:val="20"/>
          <w:color w:val="auto"/>
        </w:rPr>
      </w:pPr>
    </w:p>
    <w:p>
      <w:pPr>
        <w:ind w:right="1939" w:firstLine="531"/>
        <w:spacing w:after="0" w:line="253" w:lineRule="auto"/>
        <w:tabs>
          <w:tab w:leader="none" w:pos="94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ratification and appointment of Coopers &amp; Lybrand L.L.P. as independent public accountants of the Company for the fiscal year ending August 28, 1997 was approved with 186,357,583 votes in favor, 2,184,782 votes against, 837,599 abstentions and 0 broker non-votes.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The following are filed as a part of this report:</w:t>
      </w:r>
    </w:p>
    <w:p>
      <w:pPr>
        <w:sectPr>
          <w:pgSz w:w="11900" w:h="16838" w:orient="portrait"/>
          <w:cols w:equalWidth="0" w:num="1">
            <w:col w:w="10219"/>
          </w:cols>
          <w:pgMar w:left="240" w:top="719" w:right="1440" w:bottom="1440" w:gutter="0" w:footer="0" w:header="0"/>
        </w:sect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Exhibit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Number</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1280" w:space="720"/>
            <w:col w:w="8219"/>
          </w:cols>
          <w:pgMar w:left="240" w:top="719" w:right="1440" w:bottom="1440" w:gutter="0" w:footer="0" w:header="0"/>
          <w:type w:val="continuous"/>
        </w:sectPr>
      </w:pPr>
    </w:p>
    <w:p>
      <w:pPr>
        <w:spacing w:after="0" w:line="10" w:lineRule="exact"/>
        <w:rPr>
          <w:sz w:val="20"/>
          <w:szCs w:val="20"/>
          <w:color w:val="auto"/>
        </w:rPr>
      </w:pPr>
    </w:p>
    <w:p>
      <w:pPr>
        <w:ind w:left="2000" w:right="2979" w:hanging="1364"/>
        <w:spacing w:after="0" w:line="257" w:lineRule="auto"/>
        <w:tabs>
          <w:tab w:leader="none" w:pos="20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per share earnings for the quarters ended November 28, 1996 and November 30, 1995</w:t>
      </w:r>
    </w:p>
    <w:p>
      <w:pPr>
        <w:spacing w:after="0" w:line="192" w:lineRule="exact"/>
        <w:rPr>
          <w:sz w:val="20"/>
          <w:szCs w:val="20"/>
          <w:color w:val="auto"/>
        </w:rPr>
      </w:pPr>
    </w:p>
    <w:p>
      <w:pPr>
        <w:ind w:left="2000" w:hanging="1364"/>
        <w:spacing w:after="0"/>
        <w:tabs>
          <w:tab w:leader="none" w:pos="20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10" w:lineRule="exact"/>
        <w:rPr>
          <w:rFonts w:ascii="Courier New" w:cs="Courier New" w:eastAsia="Courier New" w:hAnsi="Courier New"/>
          <w:sz w:val="17"/>
          <w:szCs w:val="17"/>
          <w:color w:val="auto"/>
        </w:rPr>
      </w:pPr>
    </w:p>
    <w:p>
      <w:pPr>
        <w:ind w:right="2559" w:firstLine="7"/>
        <w:spacing w:after="0" w:line="257" w:lineRule="auto"/>
        <w:tabs>
          <w:tab w:leader="none" w:pos="4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did not file any reports on Form 8-K during the fiscal quarter ended November 28, 1996.</w:t>
      </w:r>
    </w:p>
    <w:p>
      <w:pPr>
        <w:spacing w:after="0" w:line="200" w:lineRule="exact"/>
        <w:rPr>
          <w:sz w:val="20"/>
          <w:szCs w:val="20"/>
          <w:color w:val="auto"/>
        </w:rPr>
      </w:pP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type w:val="continuous"/>
        </w:sectPr>
      </w:pPr>
    </w:p>
    <w:bookmarkStart w:id="19" w:name="page20"/>
    <w:bookmarkEnd w:id="19"/>
    <w:p>
      <w:pPr>
        <w:ind w:left="356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20, 1996</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2679"/>
        <w:spacing w:after="0" w:line="252" w:lineRule="auto"/>
        <w:rPr>
          <w:sz w:val="20"/>
          <w:szCs w:val="20"/>
          <w:color w:val="auto"/>
        </w:rPr>
      </w:pPr>
      <w:r>
        <w:rPr>
          <w:rFonts w:ascii="Courier New" w:cs="Courier New" w:eastAsia="Courier New" w:hAnsi="Courier New"/>
          <w:sz w:val="17"/>
          <w:szCs w:val="17"/>
          <w:color w:val="auto"/>
        </w:rPr>
        <w:t>/s/ Wilbur G. Stover, Jr. -------------------------------------- Wilbur G. Stover, Jr. Vice President of Finance and Chief Financial Officer (Principal Financial and Accounting Officer)</w:t>
      </w:r>
    </w:p>
    <w:p>
      <w:pPr>
        <w:spacing w:after="0" w:line="200" w:lineRule="exact"/>
        <w:rPr>
          <w:sz w:val="20"/>
          <w:szCs w:val="20"/>
          <w:color w:val="auto"/>
        </w:rPr>
      </w:pPr>
    </w:p>
    <w:p>
      <w:pPr>
        <w:sectPr>
          <w:pgSz w:w="11900" w:h="16838" w:orient="portrait"/>
          <w:cols w:equalWidth="0" w:num="2">
            <w:col w:w="2840" w:space="720"/>
            <w:col w:w="6659"/>
          </w:cols>
          <w:pgMar w:left="240" w:top="719" w:right="1440" w:bottom="1440" w:gutter="0" w:footer="0" w:header="0"/>
          <w:type w:val="continuous"/>
        </w:sect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type w:val="continuous"/>
        </w:sectPr>
      </w:pPr>
    </w:p>
    <w:bookmarkStart w:id="20" w:name="page21"/>
    <w:bookmarkEnd w:id="20"/>
    <w:p>
      <w:pPr>
        <w:ind w:right="1939"/>
        <w:spacing w:after="0" w:line="257" w:lineRule="auto"/>
        <w:rPr>
          <w:sz w:val="20"/>
          <w:szCs w:val="20"/>
          <w:color w:val="auto"/>
        </w:rPr>
      </w:pPr>
      <w:r>
        <w:rPr>
          <w:rFonts w:ascii="Courier New" w:cs="Courier New" w:eastAsia="Courier New" w:hAnsi="Courier New"/>
          <w:sz w:val="17"/>
          <w:szCs w:val="17"/>
          <w:color w:val="auto"/>
        </w:rPr>
        <w:t>This Form 10-Q/A amends the Registrant's report on Form 10-Q in its entirety in order to correct a technical electronic filing error.</w:t>
      </w:r>
    </w:p>
    <w:p>
      <w:pPr>
        <w:spacing w:after="0" w:line="19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on Form 10-Q/A to be signed on its behalf by the undersigned thereunto duly authorized.</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23, 1996</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2679"/>
        <w:spacing w:after="0" w:line="252" w:lineRule="auto"/>
        <w:rPr>
          <w:sz w:val="20"/>
          <w:szCs w:val="20"/>
          <w:color w:val="auto"/>
        </w:rPr>
      </w:pPr>
      <w:r>
        <w:rPr>
          <w:rFonts w:ascii="Courier New" w:cs="Courier New" w:eastAsia="Courier New" w:hAnsi="Courier New"/>
          <w:sz w:val="17"/>
          <w:szCs w:val="17"/>
          <w:color w:val="auto"/>
        </w:rPr>
        <w:t>/s/ Wilbur G. Stover, Jr. -------------------------------------- Wilbur G. Stover, Jr. Vice President of Finance and Chief Financial Officer (Principal Financial and Accounting Officer)</w:t>
      </w:r>
    </w:p>
    <w:p>
      <w:pPr>
        <w:spacing w:after="0" w:line="200" w:lineRule="exact"/>
        <w:rPr>
          <w:sz w:val="20"/>
          <w:szCs w:val="20"/>
          <w:color w:val="auto"/>
        </w:rPr>
      </w:pPr>
    </w:p>
    <w:p>
      <w:pPr>
        <w:sectPr>
          <w:pgSz w:w="11900" w:h="16838" w:orient="portrait"/>
          <w:cols w:equalWidth="0" w:num="2">
            <w:col w:w="2840" w:space="720"/>
            <w:col w:w="6659"/>
          </w:cols>
          <w:pgMar w:left="240" w:top="719" w:right="1440" w:bottom="1440" w:gutter="0" w:footer="0" w:header="0"/>
          <w:type w:val="continuous"/>
        </w:sect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9" w:right="1440" w:bottom="1440" w:gutter="0" w:footer="0" w:header="0"/>
          <w:type w:val="continuous"/>
        </w:sectPr>
      </w:pPr>
    </w:p>
    <w:bookmarkStart w:id="21" w:name="page22"/>
    <w:bookmarkEnd w:id="21"/>
    <w:p>
      <w:pPr>
        <w:ind w:left="7340"/>
        <w:spacing w:after="0"/>
        <w:rPr>
          <w:sz w:val="20"/>
          <w:szCs w:val="20"/>
          <w:color w:val="auto"/>
        </w:rPr>
      </w:pPr>
      <w:r>
        <w:rPr>
          <w:rFonts w:ascii="Courier New" w:cs="Courier New" w:eastAsia="Courier New" w:hAnsi="Courier New"/>
          <w:sz w:val="17"/>
          <w:szCs w:val="17"/>
          <w:color w:val="auto"/>
        </w:rPr>
        <w:t>Exhibit 11</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Computation of Per Share Earnings</w:t>
      </w:r>
    </w:p>
    <w:p>
      <w:pPr>
        <w:spacing w:after="0" w:line="9" w:lineRule="exact"/>
        <w:rPr>
          <w:sz w:val="20"/>
          <w:szCs w:val="20"/>
          <w:color w:val="auto"/>
        </w:rPr>
      </w:pPr>
    </w:p>
    <w:p>
      <w:pPr>
        <w:ind w:left="1580"/>
        <w:spacing w:after="0"/>
        <w:tabs>
          <w:tab w:leader="none" w:pos="2920" w:val="left"/>
        </w:tabs>
        <w:rPr>
          <w:sz w:val="20"/>
          <w:szCs w:val="20"/>
          <w:color w:val="auto"/>
        </w:rPr>
      </w:pPr>
      <w:r>
        <w:rPr>
          <w:rFonts w:ascii="Courier New" w:cs="Courier New" w:eastAsia="Courier New" w:hAnsi="Courier New"/>
          <w:sz w:val="17"/>
          <w:szCs w:val="17"/>
          <w:color w:val="auto"/>
        </w:rPr>
        <w:t>(Amounts in</w:t>
        <w:tab/>
        <w:t>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November</w:t>
            </w:r>
          </w:p>
        </w:tc>
        <w:tc>
          <w:tcPr>
            <w:tcW w:w="8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November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Quarter Ended</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8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19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Weighted average shares outstanding</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209.1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206.7</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Net effect of dilutive stock options</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4.9</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Total shares</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214.0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217.2</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$ 20.6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$328.5</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Primary earnings per share</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$ 0.10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$1.51</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3"/>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Weighted average shares outstanding</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209.1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206.7</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Net effect of dilutive stock options</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5.4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Total shares</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214.5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217.2</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$ 20.6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$328.5</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Fully diluted earnings per share</w:t>
            </w: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$ 0.10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$ 1.51</w:t>
            </w:r>
          </w:p>
        </w:tc>
      </w:tr>
      <w:tr>
        <w:trPr>
          <w:trHeight w:val="201"/>
        </w:trPr>
        <w:tc>
          <w:tcPr>
            <w:tcW w:w="4780" w:type="dxa"/>
            <w:vAlign w:val="bottom"/>
          </w:tcPr>
          <w:p>
            <w:pPr>
              <w:spacing w:after="0"/>
              <w:rPr>
                <w:sz w:val="17"/>
                <w:szCs w:val="17"/>
                <w:color w:val="auto"/>
              </w:rPr>
            </w:pPr>
          </w:p>
        </w:tc>
        <w:tc>
          <w:tcPr>
            <w:tcW w:w="19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45"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8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right="1919"/>
        <w:spacing w:after="0" w:line="254" w:lineRule="auto"/>
        <w:rPr>
          <w:sz w:val="20"/>
          <w:szCs w:val="20"/>
          <w:color w:val="auto"/>
        </w:rPr>
      </w:pPr>
      <w:r>
        <w:rPr>
          <w:rFonts w:ascii="Courier New" w:cs="Courier New" w:eastAsia="Courier New" w:hAnsi="Courier New"/>
          <w:sz w:val="17"/>
          <w:szCs w:val="17"/>
          <w:color w:val="auto"/>
        </w:rPr>
        <w:t>THIS SCHEDULE CONTAINS SUMMARY FINANCIAL INFORMATION EXTRACTED FROM THE ACCOMPANYING FINANCIAL STATEMENTS AND IS QUALIFIED IN ITS ENTIRETY BY REFERENCE TO SUCH FINANCIAL STATEMENTS.</w:t>
      </w:r>
    </w:p>
    <w:p>
      <w:pPr>
        <w:spacing w:after="0" w:line="19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12"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3-MOS</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AUG-28-1997</w:t>
      </w:r>
    </w:p>
    <w:p>
      <w:pPr>
        <w:spacing w:after="0" w:line="9"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NOV-28-1996</w:t>
      </w:r>
    </w:p>
    <w:p>
      <w:pPr>
        <w:spacing w:after="0" w:line="9"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7"/>
          <w:szCs w:val="17"/>
          <w:color w:val="auto"/>
        </w:rPr>
        <w:t>222</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6</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337</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21</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304</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910</w:t>
      </w:r>
    </w:p>
    <w:p>
      <w:pPr>
        <w:spacing w:after="0" w:line="9"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3,644</w:t>
      </w:r>
    </w:p>
    <w:p>
      <w:pPr>
        <w:spacing w:after="0" w:line="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7"/>
          <w:szCs w:val="17"/>
          <w:color w:val="auto"/>
        </w:rPr>
        <w:t>904</w:t>
      </w:r>
    </w:p>
    <w:p>
      <w:pPr>
        <w:spacing w:after="0" w:line="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7"/>
          <w:szCs w:val="17"/>
          <w:color w:val="auto"/>
        </w:rPr>
        <w:t>3,721</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605</w:t>
      </w:r>
    </w:p>
    <w:p>
      <w:pPr>
        <w:spacing w:after="0" w:line="9"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306</w:t>
      </w:r>
    </w:p>
    <w:p>
      <w:pPr>
        <w:spacing w:after="0" w:line="9"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21</w:t>
      </w:r>
    </w:p>
    <w:p>
      <w:pPr>
        <w:spacing w:after="0" w:line="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2,507</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3,721</w:t>
      </w:r>
    </w:p>
    <w:p>
      <w:pPr>
        <w:spacing w:after="0" w:line="9"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728</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728</w:t>
      </w:r>
    </w:p>
    <w:p>
      <w:pPr>
        <w:spacing w:after="0" w:line="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573</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687</w:t>
      </w:r>
    </w:p>
    <w:p>
      <w:pPr>
        <w:spacing w:after="0" w:line="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39</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16</w:t>
      </w:r>
    </w:p>
    <w:p>
      <w:pPr>
        <w:spacing w:after="0" w:line="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21</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sectPr>
      <w:pgSz w:w="11900" w:h="16838" w:orient="portrait"/>
      <w:cols w:equalWidth="0" w:num="1">
        <w:col w:w="10179"/>
      </w:cols>
      <w:pgMar w:left="2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lvl w:ilvl="1">
      <w:lvlJc w:val="left"/>
      <w:lvlText w:val="%2"/>
      <w:numFmt w:val="decimal"/>
      <w:start w:val="27"/>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2019-12-12T06:59:33Z</dcterms:created>
  <dcterms:modified xsi:type="dcterms:W3CDTF">2019-12-12T06:59:33Z</dcterms:modified>
</cp:coreProperties>
</file>