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7"/>
          <w:szCs w:val="17"/>
          <w:color w:val="auto"/>
        </w:rPr>
        <w:t>SCHEDULE 14A INFORMATION</w:t>
      </w:r>
    </w:p>
    <w:p>
      <w:pPr>
        <w:spacing w:after="0" w:line="193" w:lineRule="exact"/>
        <w:rPr>
          <w:sz w:val="24"/>
          <w:szCs w:val="24"/>
          <w:color w:val="auto"/>
        </w:rPr>
      </w:pPr>
    </w:p>
    <w:p>
      <w:pPr>
        <w:ind w:left="1800"/>
        <w:spacing w:after="0"/>
        <w:rPr>
          <w:sz w:val="20"/>
          <w:szCs w:val="20"/>
          <w:color w:val="auto"/>
        </w:rPr>
      </w:pPr>
      <w:r>
        <w:rPr>
          <w:rFonts w:ascii="Courier New" w:cs="Courier New" w:eastAsia="Courier New" w:hAnsi="Courier New"/>
          <w:sz w:val="17"/>
          <w:szCs w:val="17"/>
          <w:color w:val="auto"/>
        </w:rPr>
        <w:t>Proxy Statement Pursuant to Section 14(a) of</w:t>
      </w:r>
    </w:p>
    <w:p>
      <w:pPr>
        <w:spacing w:after="0" w:line="30" w:lineRule="exact"/>
        <w:rPr>
          <w:sz w:val="24"/>
          <w:szCs w:val="24"/>
          <w:color w:val="auto"/>
        </w:rPr>
      </w:pPr>
    </w:p>
    <w:p>
      <w:pPr>
        <w:ind w:left="1200"/>
        <w:spacing w:after="0"/>
        <w:tabs>
          <w:tab w:leader="none" w:pos="6600" w:val="left"/>
        </w:tabs>
        <w:rPr>
          <w:sz w:val="20"/>
          <w:szCs w:val="20"/>
          <w:color w:val="auto"/>
        </w:rPr>
      </w:pPr>
      <w:r>
        <w:rPr>
          <w:rFonts w:ascii="Courier New" w:cs="Courier New" w:eastAsia="Courier New" w:hAnsi="Courier New"/>
          <w:sz w:val="17"/>
          <w:szCs w:val="17"/>
          <w:color w:val="auto"/>
        </w:rPr>
        <w:t>the Securities Exchange Act of 1934 (Amendment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48"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Filed by the Registrant /X/</w:t>
      </w:r>
    </w:p>
    <w:p>
      <w:pPr>
        <w:spacing w:after="0" w:line="30"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163"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Check the appropriate box:</w:t>
      </w:r>
    </w:p>
    <w:p>
      <w:pPr>
        <w:spacing w:after="0" w:line="30" w:lineRule="exact"/>
        <w:rPr>
          <w:sz w:val="24"/>
          <w:szCs w:val="24"/>
          <w:color w:val="auto"/>
        </w:rPr>
      </w:pPr>
    </w:p>
    <w:p>
      <w:pPr>
        <w:ind w:left="600"/>
        <w:spacing w:after="0"/>
        <w:tabs>
          <w:tab w:leader="none" w:pos="168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7"/>
          <w:szCs w:val="17"/>
          <w:color w:val="auto"/>
        </w:rPr>
        <w:t>Preliminary Proxy Statement</w:t>
      </w:r>
    </w:p>
    <w:p>
      <w:pPr>
        <w:ind w:left="1700" w:right="2699" w:hanging="1096"/>
        <w:spacing w:after="0"/>
        <w:tabs>
          <w:tab w:leader="none" w:pos="798"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for Use of the Commission Only (as permitted by Rule 14a-6(e)(2))</w:t>
      </w:r>
    </w:p>
    <w:p>
      <w:pPr>
        <w:ind w:left="800" w:hanging="196"/>
        <w:spacing w:after="0"/>
        <w:tabs>
          <w:tab w:leader="none" w:pos="8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Definitive Proxy Statement</w:t>
      </w:r>
    </w:p>
    <w:p>
      <w:pPr>
        <w:ind w:left="800" w:hanging="196"/>
        <w:spacing w:after="0"/>
        <w:tabs>
          <w:tab w:leader="none" w:pos="8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Definitive Additional Materials</w:t>
      </w:r>
    </w:p>
    <w:p>
      <w:pPr>
        <w:ind w:left="1700" w:right="2999" w:hanging="1096"/>
        <w:spacing w:after="0" w:line="313" w:lineRule="auto"/>
        <w:tabs>
          <w:tab w:leader="none" w:pos="798"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/Soliciting Material Pursuant to Section240.14a-11(c) or Section240.14a-12</w:t>
      </w:r>
    </w:p>
    <w:p>
      <w:pPr>
        <w:spacing w:after="0" w:line="239"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MICRON TECHNOLOGY, INC.</w:t>
      </w:r>
    </w:p>
    <w:p>
      <w:pPr>
        <w:spacing w:after="0" w:line="30" w:lineRule="exact"/>
        <w:rPr>
          <w:sz w:val="24"/>
          <w:szCs w:val="24"/>
          <w:color w:val="auto"/>
        </w:rPr>
      </w:pPr>
    </w:p>
    <w:p>
      <w:pPr>
        <w:ind w:left="900"/>
        <w:spacing w:after="0"/>
        <w:rPr>
          <w:sz w:val="20"/>
          <w:szCs w:val="20"/>
          <w:color w:val="auto"/>
        </w:rPr>
      </w:pPr>
      <w:r>
        <w:rPr>
          <w:rFonts w:ascii="Courier New" w:cs="Courier New" w:eastAsia="Courier New" w:hAnsi="Courier New"/>
          <w:sz w:val="17"/>
          <w:szCs w:val="17"/>
          <w:color w:val="auto"/>
        </w:rPr>
        <w:t>-------------------------------------------------------------</w:t>
      </w:r>
    </w:p>
    <w:p>
      <w:pPr>
        <w:ind w:left="1600"/>
        <w:spacing w:after="0"/>
        <w:rPr>
          <w:sz w:val="20"/>
          <w:szCs w:val="20"/>
          <w:color w:val="auto"/>
        </w:rPr>
      </w:pPr>
      <w:r>
        <w:rPr>
          <w:rFonts w:ascii="Courier New" w:cs="Courier New" w:eastAsia="Courier New" w:hAnsi="Courier New"/>
          <w:sz w:val="17"/>
          <w:szCs w:val="17"/>
          <w:color w:val="auto"/>
        </w:rPr>
        <w:t>(Name of Registrant as Specified In Its Charter)</w:t>
      </w:r>
    </w:p>
    <w:p>
      <w:pPr>
        <w:spacing w:after="0" w:line="163" w:lineRule="exact"/>
        <w:rPr>
          <w:sz w:val="24"/>
          <w:szCs w:val="24"/>
          <w:color w:val="auto"/>
        </w:rPr>
      </w:pPr>
    </w:p>
    <w:p>
      <w:pPr>
        <w:ind w:left="900"/>
        <w:spacing w:after="0"/>
        <w:rPr>
          <w:sz w:val="20"/>
          <w:szCs w:val="20"/>
          <w:color w:val="auto"/>
        </w:rPr>
      </w:pPr>
      <w:r>
        <w:rPr>
          <w:rFonts w:ascii="Courier New" w:cs="Courier New" w:eastAsia="Courier New" w:hAnsi="Courier New"/>
          <w:sz w:val="17"/>
          <w:szCs w:val="17"/>
          <w:color w:val="auto"/>
        </w:rPr>
        <w:t>-------------------------------------------------------------</w:t>
      </w:r>
    </w:p>
    <w:p>
      <w:pPr>
        <w:spacing w:after="0" w:line="30"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00" w:lineRule="exact"/>
        <w:rPr>
          <w:sz w:val="24"/>
          <w:szCs w:val="24"/>
          <w:color w:val="auto"/>
        </w:rPr>
      </w:pPr>
    </w:p>
    <w:p>
      <w:pPr>
        <w:spacing w:after="0" w:line="378" w:lineRule="exact"/>
        <w:rPr>
          <w:sz w:val="24"/>
          <w:szCs w:val="24"/>
          <w:color w:val="auto"/>
        </w:rPr>
      </w:pPr>
    </w:p>
    <w:p>
      <w:pPr>
        <w:spacing w:after="0"/>
        <w:tabs>
          <w:tab w:leader="none" w:pos="108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7"/>
          <w:szCs w:val="17"/>
          <w:color w:val="auto"/>
        </w:rPr>
        <w:t>No fee required.</w:t>
      </w:r>
    </w:p>
    <w:p>
      <w:pPr>
        <w:spacing w:after="0" w:line="30" w:lineRule="exact"/>
        <w:rPr>
          <w:sz w:val="24"/>
          <w:szCs w:val="24"/>
          <w:color w:val="auto"/>
        </w:rPr>
      </w:pPr>
    </w:p>
    <w:p>
      <w:pPr>
        <w:ind w:left="1100" w:right="2899" w:hanging="1097"/>
        <w:spacing w:after="0"/>
        <w:tabs>
          <w:tab w:leader="none" w:pos="198"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 computed on table below per Exchange Act Rules 14a-6(i)(1) and 0-11.</w:t>
      </w:r>
    </w:p>
    <w:p>
      <w:pPr>
        <w:ind w:left="1600" w:right="3199" w:hanging="495"/>
        <w:spacing w:after="0"/>
        <w:tabs>
          <w:tab w:leader="none" w:pos="1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ind w:left="1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600" w:right="3499" w:hanging="495"/>
        <w:spacing w:after="0"/>
        <w:tabs>
          <w:tab w:leader="none" w:pos="1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ind w:left="1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600" w:right="2799" w:hanging="495"/>
        <w:spacing w:after="0"/>
        <w:tabs>
          <w:tab w:leader="none" w:pos="1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ind w:left="1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600" w:hanging="495"/>
        <w:spacing w:after="0"/>
        <w:tabs>
          <w:tab w:leader="none" w:pos="1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ind w:left="1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600" w:hanging="495"/>
        <w:spacing w:after="0"/>
        <w:tabs>
          <w:tab w:leader="none" w:pos="1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ind w:left="1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hanging="197"/>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Fee paid previously with preliminary materials.</w:t>
      </w:r>
    </w:p>
    <w:p>
      <w:pPr>
        <w:ind w:left="1100" w:right="2899" w:hanging="1097"/>
        <w:spacing w:after="0"/>
        <w:tabs>
          <w:tab w:leader="none" w:pos="198"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600" w:hanging="495"/>
        <w:spacing w:after="0"/>
        <w:tabs>
          <w:tab w:leader="none" w:pos="1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ind w:left="1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600" w:hanging="495"/>
        <w:spacing w:after="0"/>
        <w:tabs>
          <w:tab w:leader="none" w:pos="1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ind w:left="1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600" w:hanging="495"/>
        <w:spacing w:after="0"/>
        <w:tabs>
          <w:tab w:leader="none" w:pos="1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ind w:left="1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1600" w:hanging="495"/>
        <w:spacing w:after="0"/>
        <w:tabs>
          <w:tab w:leader="none" w:pos="16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ind w:left="1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407" w:right="1440" w:bottom="1440" w:gutter="0" w:footer="0" w:header="0"/>
        </w:sectPr>
      </w:pPr>
    </w:p>
    <w:bookmarkStart w:id="1" w:name="page2"/>
    <w:bookmarkEnd w:id="1"/>
    <w:p>
      <w:pPr>
        <w:jc w:val="center"/>
        <w:ind w:right="2199"/>
        <w:spacing w:after="0"/>
        <w:rPr>
          <w:sz w:val="20"/>
          <w:szCs w:val="20"/>
          <w:color w:val="auto"/>
        </w:rPr>
      </w:pPr>
      <w:r>
        <w:rPr>
          <w:rFonts w:ascii="Courier New" w:cs="Courier New" w:eastAsia="Courier New" w:hAnsi="Courier New"/>
          <w:sz w:val="17"/>
          <w:szCs w:val="17"/>
          <w:color w:val="auto"/>
        </w:rPr>
        <w:t>LOGO</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NOTICE OF 2000 ANNUAL MEETING OF SHAREHOLDERS</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NOVEMBER 28, 2000</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SHAREHOLDERS:</w:t>
      </w:r>
    </w:p>
    <w:p>
      <w:pPr>
        <w:spacing w:after="0" w:line="193" w:lineRule="exact"/>
        <w:rPr>
          <w:sz w:val="20"/>
          <w:szCs w:val="20"/>
          <w:color w:val="auto"/>
        </w:rPr>
      </w:pPr>
    </w:p>
    <w:p>
      <w:pPr>
        <w:ind w:right="2199"/>
        <w:spacing w:after="0" w:line="267" w:lineRule="auto"/>
        <w:rPr>
          <w:sz w:val="20"/>
          <w:szCs w:val="20"/>
          <w:color w:val="auto"/>
        </w:rPr>
      </w:pPr>
      <w:r>
        <w:rPr>
          <w:rFonts w:ascii="Courier New" w:cs="Courier New" w:eastAsia="Courier New" w:hAnsi="Courier New"/>
          <w:sz w:val="17"/>
          <w:szCs w:val="17"/>
          <w:color w:val="auto"/>
        </w:rPr>
        <w:t>NOTICE IS HEREBY GIVEN that the 2000 Annual Meeting of Shareholders of Micron Technology, Inc., a Delaware corporation (the "Company"), will be held on November 28, 2000, at 9:00 a.m., Mountain Standard Time, at the Company's headquarters located at 8000 South Federal Way, Boise, Idaho 83716-9632, for the following purposes:</w:t>
      </w:r>
    </w:p>
    <w:p>
      <w:pPr>
        <w:spacing w:after="0" w:line="85" w:lineRule="exact"/>
        <w:rPr>
          <w:sz w:val="20"/>
          <w:szCs w:val="20"/>
          <w:color w:val="auto"/>
        </w:rPr>
      </w:pPr>
    </w:p>
    <w:p>
      <w:pPr>
        <w:ind w:left="700" w:right="2999" w:hanging="296"/>
        <w:spacing w:after="0" w:line="350"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directors to serve for the ensuing year and until their successors are elected and qualified.</w:t>
      </w:r>
    </w:p>
    <w:p>
      <w:pPr>
        <w:spacing w:after="0" w:line="16" w:lineRule="exact"/>
        <w:rPr>
          <w:rFonts w:ascii="Courier New" w:cs="Courier New" w:eastAsia="Courier New" w:hAnsi="Courier New"/>
          <w:sz w:val="17"/>
          <w:szCs w:val="17"/>
          <w:color w:val="auto"/>
        </w:rPr>
      </w:pPr>
    </w:p>
    <w:p>
      <w:pPr>
        <w:ind w:left="700" w:right="2499" w:hanging="296"/>
        <w:spacing w:after="0" w:line="295"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the Company's Certificate of Incorporation increasing the number of authorized shares of Common Stock from 1,000,000,000 to 3,000,000,000.</w:t>
      </w:r>
    </w:p>
    <w:p>
      <w:pPr>
        <w:spacing w:after="0" w:line="60" w:lineRule="exact"/>
        <w:rPr>
          <w:rFonts w:ascii="Courier New" w:cs="Courier New" w:eastAsia="Courier New" w:hAnsi="Courier New"/>
          <w:sz w:val="17"/>
          <w:szCs w:val="17"/>
          <w:color w:val="auto"/>
        </w:rPr>
      </w:pPr>
    </w:p>
    <w:p>
      <w:pPr>
        <w:ind w:left="700" w:right="2499" w:hanging="296"/>
        <w:spacing w:after="0" w:line="382" w:lineRule="auto"/>
        <w:tabs>
          <w:tab w:leader="none" w:pos="8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 amendment to the Company's Certificate of Incorporation eliminating the Company's authority to issue Class A Common Stock.</w:t>
      </w:r>
    </w:p>
    <w:p>
      <w:pPr>
        <w:spacing w:after="0" w:line="1" w:lineRule="exact"/>
        <w:rPr>
          <w:rFonts w:ascii="Courier New" w:cs="Courier New" w:eastAsia="Courier New" w:hAnsi="Courier New"/>
          <w:sz w:val="16"/>
          <w:szCs w:val="16"/>
          <w:color w:val="auto"/>
        </w:rPr>
      </w:pPr>
    </w:p>
    <w:p>
      <w:pPr>
        <w:ind w:left="700" w:right="2399" w:hanging="296"/>
        <w:spacing w:after="0" w:line="382" w:lineRule="auto"/>
        <w:tabs>
          <w:tab w:leader="none" w:pos="8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PricewaterhouseCoopers LLP as independent accountants of the Company for the fiscal year ending August 30, 2001.</w:t>
      </w:r>
    </w:p>
    <w:p>
      <w:pPr>
        <w:spacing w:after="0" w:line="1" w:lineRule="exact"/>
        <w:rPr>
          <w:rFonts w:ascii="Courier New" w:cs="Courier New" w:eastAsia="Courier New" w:hAnsi="Courier New"/>
          <w:sz w:val="16"/>
          <w:szCs w:val="16"/>
          <w:color w:val="auto"/>
        </w:rPr>
      </w:pPr>
    </w:p>
    <w:p>
      <w:pPr>
        <w:ind w:left="700" w:right="2299" w:hanging="296"/>
        <w:spacing w:after="0" w:line="350" w:lineRule="auto"/>
        <w:tabs>
          <w:tab w:leader="none" w:pos="8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thereof.</w:t>
      </w:r>
    </w:p>
    <w:p>
      <w:pPr>
        <w:spacing w:after="0" w:line="17" w:lineRule="exact"/>
        <w:rPr>
          <w:sz w:val="20"/>
          <w:szCs w:val="20"/>
          <w:color w:val="auto"/>
        </w:rPr>
      </w:pPr>
    </w:p>
    <w:p>
      <w:pPr>
        <w:ind w:right="2899" w:firstLine="401"/>
        <w:spacing w:after="0" w:line="350" w:lineRule="auto"/>
        <w:rPr>
          <w:sz w:val="20"/>
          <w:szCs w:val="20"/>
          <w:color w:val="auto"/>
        </w:rPr>
      </w:pPr>
      <w:r>
        <w:rPr>
          <w:rFonts w:ascii="Courier New" w:cs="Courier New" w:eastAsia="Courier New" w:hAnsi="Courier New"/>
          <w:sz w:val="17"/>
          <w:szCs w:val="17"/>
          <w:color w:val="auto"/>
        </w:rPr>
        <w:t>The foregoing items of business are more fully described in the Proxy Statement accompanying this Notice.</w:t>
      </w:r>
    </w:p>
    <w:p>
      <w:pPr>
        <w:spacing w:after="0" w:line="17" w:lineRule="exact"/>
        <w:rPr>
          <w:sz w:val="20"/>
          <w:szCs w:val="20"/>
          <w:color w:val="auto"/>
        </w:rPr>
      </w:pPr>
    </w:p>
    <w:p>
      <w:pPr>
        <w:ind w:right="2199" w:firstLine="401"/>
        <w:spacing w:after="0" w:line="258" w:lineRule="auto"/>
        <w:rPr>
          <w:sz w:val="20"/>
          <w:szCs w:val="20"/>
          <w:color w:val="auto"/>
        </w:rPr>
      </w:pPr>
      <w:r>
        <w:rPr>
          <w:rFonts w:ascii="Courier New" w:cs="Courier New" w:eastAsia="Courier New" w:hAnsi="Courier New"/>
          <w:sz w:val="17"/>
          <w:szCs w:val="17"/>
          <w:color w:val="auto"/>
        </w:rPr>
        <w:t>Only shareholders of record at the close of business on October 2, 2000 are entitled to notice of and to vote at the meeting. A complete list of the Common Stock shareholders entitled to vote at the meeting will be open to the examination of any shareholder, for any purpose germane to the business to be transacted at the meeting, during ordinary business hours for the ten-day period ending immediately preceding the date of the meeting, at the Company's headquarters at 8000 South Federal Way, Boise, Idaho 83716-9632.</w:t>
      </w:r>
    </w:p>
    <w:p>
      <w:pPr>
        <w:spacing w:after="0" w:line="93" w:lineRule="exact"/>
        <w:rPr>
          <w:sz w:val="20"/>
          <w:szCs w:val="20"/>
          <w:color w:val="auto"/>
        </w:rPr>
      </w:pPr>
    </w:p>
    <w:p>
      <w:pPr>
        <w:ind w:right="2299" w:firstLine="401"/>
        <w:spacing w:after="0" w:line="276" w:lineRule="auto"/>
        <w:rPr>
          <w:sz w:val="20"/>
          <w:szCs w:val="20"/>
          <w:color w:val="auto"/>
        </w:rPr>
      </w:pPr>
      <w:r>
        <w:rPr>
          <w:rFonts w:ascii="Courier New" w:cs="Courier New" w:eastAsia="Courier New" w:hAnsi="Courier New"/>
          <w:sz w:val="17"/>
          <w:szCs w:val="17"/>
          <w:color w:val="auto"/>
        </w:rPr>
        <w:t>Attendance at the Annual Meeting will be limited to shareholders and guests of the Company. Shareholders may be asked to furnish proof of ownership of the Company's stock before being admitted to the meeting. Directions to the meeting's location accompany the Proxy Statement.</w:t>
      </w:r>
    </w:p>
    <w:p>
      <w:pPr>
        <w:spacing w:after="0" w:line="78" w:lineRule="exact"/>
        <w:rPr>
          <w:sz w:val="20"/>
          <w:szCs w:val="20"/>
          <w:color w:val="auto"/>
        </w:rPr>
      </w:pPr>
    </w:p>
    <w:p>
      <w:pPr>
        <w:ind w:right="2299" w:firstLine="401"/>
        <w:spacing w:after="0" w:line="258" w:lineRule="auto"/>
        <w:rPr>
          <w:sz w:val="20"/>
          <w:szCs w:val="20"/>
          <w:color w:val="auto"/>
        </w:rPr>
      </w:pPr>
      <w:r>
        <w:rPr>
          <w:rFonts w:ascii="Courier New" w:cs="Courier New" w:eastAsia="Courier New" w:hAnsi="Courier New"/>
          <w:sz w:val="17"/>
          <w:szCs w:val="17"/>
          <w:color w:val="auto"/>
        </w:rPr>
        <w:t>To ensure your representation at the meeting, you are urged to vote, sign, date, and return the enclosed Proxy as promptly as possible in the postage-prepaid envelope enclosed for that purpose. Alternatively, shareholders may vote by telephone or electronically via the internet. Please refer to the instructions included with the Proxy for additional details. Shareholders attending the meeting may vote in person even if they have already submitted their vote.</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Roderic W. Lewis</w:t>
      </w:r>
    </w:p>
    <w:p>
      <w:pPr>
        <w:spacing w:after="0" w:line="30"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VICE PRESIDENT OF LEGAL AFFAIRS,</w:t>
      </w:r>
    </w:p>
    <w:p>
      <w:pPr>
        <w:ind w:left="4220"/>
        <w:spacing w:after="0"/>
        <w:rPr>
          <w:sz w:val="20"/>
          <w:szCs w:val="20"/>
          <w:color w:val="auto"/>
        </w:rPr>
      </w:pPr>
      <w:r>
        <w:rPr>
          <w:rFonts w:ascii="Courier New" w:cs="Courier New" w:eastAsia="Courier New" w:hAnsi="Courier New"/>
          <w:sz w:val="17"/>
          <w:szCs w:val="17"/>
          <w:color w:val="auto"/>
        </w:rPr>
        <w:t>GENERAL COUNSEL &amp; CORPORATE SECRETARY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Boise, Idaho</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24, 2000</w:t>
      </w:r>
    </w:p>
    <w:p>
      <w:pPr>
        <w:spacing w:after="0" w:line="163"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YOUR VOTE IS IMPORTANT, PLEASE SUBMIT YOUR PROXY PROMPTLY.</w:t>
      </w:r>
    </w:p>
    <w:p>
      <w:pPr>
        <w:sectPr>
          <w:pgSz w:w="11900" w:h="16838" w:orient="portrait"/>
          <w:cols w:equalWidth="0" w:num="1">
            <w:col w:w="10219"/>
          </w:cols>
          <w:pgMar w:left="240" w:top="471" w:right="1440" w:bottom="1440" w:gutter="0" w:footer="0" w:header="0"/>
        </w:sectPr>
      </w:pPr>
    </w:p>
    <w:bookmarkStart w:id="2" w:name="page3"/>
    <w:bookmarkEnd w:id="2"/>
    <w:p>
      <w:pPr>
        <w:jc w:val="center"/>
        <w:ind w:right="2199"/>
        <w:spacing w:after="0"/>
        <w:rPr>
          <w:sz w:val="20"/>
          <w:szCs w:val="20"/>
          <w:color w:val="auto"/>
        </w:rPr>
      </w:pPr>
      <w:r>
        <w:rPr>
          <w:rFonts w:ascii="Courier New" w:cs="Courier New" w:eastAsia="Courier New" w:hAnsi="Courier New"/>
          <w:sz w:val="17"/>
          <w:szCs w:val="17"/>
          <w:color w:val="auto"/>
        </w:rPr>
        <w:t>LOGO</w:t>
      </w:r>
    </w:p>
    <w:p>
      <w:pPr>
        <w:spacing w:after="0" w:line="193"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8000 SOUTH FEDERAL WAY</w:t>
      </w:r>
    </w:p>
    <w:p>
      <w:pPr>
        <w:spacing w:after="0" w:line="30"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BOISE, IDAHO 83716-9632</w:t>
      </w:r>
    </w:p>
    <w:p>
      <w:pPr>
        <w:spacing w:after="0" w:line="16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PROXY STATEMENT</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2000 ANNUAL MEETING OF SHAREHOLDERS</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NOVEMBER 28, 2000</w:t>
      </w:r>
    </w:p>
    <w:p>
      <w:pPr>
        <w:spacing w:after="0" w:line="193"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INFORMATION CONCERNING SOLICITATION AND VOTING</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3" w:lineRule="exact"/>
        <w:rPr>
          <w:sz w:val="20"/>
          <w:szCs w:val="20"/>
          <w:color w:val="auto"/>
        </w:rPr>
      </w:pPr>
    </w:p>
    <w:p>
      <w:pPr>
        <w:ind w:right="2199" w:firstLine="401"/>
        <w:spacing w:after="0" w:line="253" w:lineRule="auto"/>
        <w:rPr>
          <w:sz w:val="20"/>
          <w:szCs w:val="20"/>
          <w:color w:val="auto"/>
        </w:rPr>
      </w:pPr>
      <w:r>
        <w:rPr>
          <w:rFonts w:ascii="Courier New" w:cs="Courier New" w:eastAsia="Courier New" w:hAnsi="Courier New"/>
          <w:sz w:val="17"/>
          <w:szCs w:val="17"/>
          <w:color w:val="auto"/>
        </w:rPr>
        <w:t>The enclosed Proxy is solicited on behalf of the Board of Directors of Micron Technology, Inc. (the "Company"), for use at the 2000 Annual Meeting of Shareholders to be held on November 28, 2000, at 9:00 a.m., Mountain Standard Time, or at any adjournment thereof (the "Annual Meeting"). The purposes of the Annual Meeting are set forth herein and in the accompanying Notice of 2000 Annual Meeting of Shareholders. The Annual Meeting will be held at the Company's headquarters located at 8000 South Federal Way, Boise, Idaho 83716-9632. Directions to the Annual Meeting accompany this Proxy Statement. The Company's telephone number is (208) 368-4000.</w:t>
      </w:r>
    </w:p>
    <w:p>
      <w:pPr>
        <w:spacing w:after="0" w:line="100" w:lineRule="exact"/>
        <w:rPr>
          <w:sz w:val="20"/>
          <w:szCs w:val="20"/>
          <w:color w:val="auto"/>
        </w:rPr>
      </w:pPr>
    </w:p>
    <w:p>
      <w:pPr>
        <w:ind w:right="2399" w:firstLine="401"/>
        <w:spacing w:after="0" w:line="350" w:lineRule="auto"/>
        <w:rPr>
          <w:sz w:val="20"/>
          <w:szCs w:val="20"/>
          <w:color w:val="auto"/>
        </w:rPr>
      </w:pPr>
      <w:r>
        <w:rPr>
          <w:rFonts w:ascii="Courier New" w:cs="Courier New" w:eastAsia="Courier New" w:hAnsi="Courier New"/>
          <w:sz w:val="17"/>
          <w:szCs w:val="17"/>
          <w:color w:val="auto"/>
        </w:rPr>
        <w:t>This Proxy Statement and enclosed Proxy are first being mailed on or about October 24, 2000, to all shareholders entitled to vote at the meeting.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RECORD DATE</w:t>
      </w:r>
    </w:p>
    <w:p>
      <w:pPr>
        <w:spacing w:after="0" w:line="193" w:lineRule="exact"/>
        <w:rPr>
          <w:sz w:val="20"/>
          <w:szCs w:val="20"/>
          <w:color w:val="auto"/>
        </w:rPr>
      </w:pPr>
    </w:p>
    <w:p>
      <w:pPr>
        <w:ind w:right="2699" w:firstLine="401"/>
        <w:spacing w:after="0" w:line="382" w:lineRule="auto"/>
        <w:rPr>
          <w:sz w:val="20"/>
          <w:szCs w:val="20"/>
          <w:color w:val="auto"/>
        </w:rPr>
      </w:pPr>
      <w:r>
        <w:rPr>
          <w:rFonts w:ascii="Courier New" w:cs="Courier New" w:eastAsia="Courier New" w:hAnsi="Courier New"/>
          <w:sz w:val="16"/>
          <w:szCs w:val="16"/>
          <w:color w:val="auto"/>
        </w:rPr>
        <w:t>Shareholders of record at the close of business on October 2, 2000 (the "Record Date"), are entitled to notice of and to vote at the meeting.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REVOCABILITY OF PROXY</w:t>
      </w:r>
    </w:p>
    <w:p>
      <w:pPr>
        <w:spacing w:after="0" w:line="193" w:lineRule="exact"/>
        <w:rPr>
          <w:sz w:val="20"/>
          <w:szCs w:val="20"/>
          <w:color w:val="auto"/>
        </w:rPr>
      </w:pPr>
    </w:p>
    <w:p>
      <w:pPr>
        <w:ind w:right="2299" w:firstLine="401"/>
        <w:spacing w:after="0" w:line="299" w:lineRule="auto"/>
        <w:rPr>
          <w:sz w:val="20"/>
          <w:szCs w:val="20"/>
          <w:color w:val="auto"/>
        </w:rPr>
      </w:pPr>
      <w:r>
        <w:rPr>
          <w:rFonts w:ascii="Courier New" w:cs="Courier New" w:eastAsia="Courier New" w:hAnsi="Courier New"/>
          <w:sz w:val="16"/>
          <w:szCs w:val="16"/>
          <w:color w:val="auto"/>
        </w:rPr>
        <w:t>Any proxy given pursuant to this solicitation may be revoked by the person giving it at any time before its use by attending the Annual Meeting and voting in person or by delivering to the Company a written notice of revocation or another duly executed proxy bearing a later date than the earlier given proxy.</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SOLICITATION</w:t>
      </w:r>
    </w:p>
    <w:p>
      <w:pPr>
        <w:spacing w:after="0" w:line="193" w:lineRule="exact"/>
        <w:rPr>
          <w:sz w:val="20"/>
          <w:szCs w:val="20"/>
          <w:color w:val="auto"/>
        </w:rPr>
      </w:pPr>
    </w:p>
    <w:p>
      <w:pPr>
        <w:ind w:right="2199" w:firstLine="401"/>
        <w:spacing w:after="0" w:line="252" w:lineRule="auto"/>
        <w:rPr>
          <w:sz w:val="20"/>
          <w:szCs w:val="20"/>
          <w:color w:val="auto"/>
        </w:rPr>
      </w:pPr>
      <w:r>
        <w:rPr>
          <w:rFonts w:ascii="Courier New" w:cs="Courier New" w:eastAsia="Courier New" w:hAnsi="Courier New"/>
          <w:sz w:val="17"/>
          <w:szCs w:val="17"/>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internet, facsimile or telegram. The Company intends to use the services of Corporate Investor Communications, Inc., a proxy solicitation firm, in connection with the solicitation of proxies. Although the exact cost of those services is not known at this time, it is anticipated that the cost to the Company will be approximately $10,000.</w:t>
      </w:r>
    </w:p>
    <w:p>
      <w:pPr>
        <w:spacing w:after="0" w:line="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471" w:right="1440" w:bottom="1440" w:gutter="0" w:footer="0" w:header="0"/>
        </w:sectPr>
      </w:pPr>
    </w:p>
    <w:bookmarkStart w:id="3" w:name="page4"/>
    <w:bookmarkEnd w:id="3"/>
    <w:p>
      <w:pPr>
        <w:ind w:left="2000"/>
        <w:spacing w:after="0"/>
        <w:rPr>
          <w:sz w:val="20"/>
          <w:szCs w:val="20"/>
          <w:color w:val="auto"/>
        </w:rPr>
      </w:pPr>
      <w:r>
        <w:rPr>
          <w:rFonts w:ascii="Courier New" w:cs="Courier New" w:eastAsia="Courier New" w:hAnsi="Courier New"/>
          <w:sz w:val="17"/>
          <w:szCs w:val="17"/>
          <w:color w:val="auto"/>
        </w:rPr>
        <w:t>VOTING SECURITIES AND PRINCIPAL HOLDERS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SHARES</w:t>
      </w:r>
    </w:p>
    <w:p>
      <w:pPr>
        <w:spacing w:after="0" w:line="193" w:lineRule="exact"/>
        <w:rPr>
          <w:sz w:val="20"/>
          <w:szCs w:val="20"/>
          <w:color w:val="auto"/>
        </w:rPr>
      </w:pPr>
    </w:p>
    <w:p>
      <w:pPr>
        <w:ind w:right="2199" w:firstLine="401"/>
        <w:spacing w:after="0" w:line="258" w:lineRule="auto"/>
        <w:rPr>
          <w:sz w:val="20"/>
          <w:szCs w:val="20"/>
          <w:color w:val="auto"/>
        </w:rPr>
      </w:pPr>
      <w:r>
        <w:rPr>
          <w:rFonts w:ascii="Courier New" w:cs="Courier New" w:eastAsia="Courier New" w:hAnsi="Courier New"/>
          <w:sz w:val="17"/>
          <w:szCs w:val="17"/>
          <w:color w:val="auto"/>
        </w:rPr>
        <w:t>The Company has one class of stock outstanding, Common Stock, $.10 par value per share (the "Common Stock"). At the Record Date, October 2, 2000,</w:t>
      </w:r>
    </w:p>
    <w:p>
      <w:pPr>
        <w:spacing w:after="0" w:line="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shares of the Common Stock were issued and outstanding.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RIGHTS</w:t>
      </w:r>
    </w:p>
    <w:p>
      <w:pPr>
        <w:spacing w:after="0" w:line="193" w:lineRule="exact"/>
        <w:rPr>
          <w:sz w:val="20"/>
          <w:szCs w:val="20"/>
          <w:color w:val="auto"/>
        </w:rPr>
      </w:pPr>
    </w:p>
    <w:p>
      <w:pPr>
        <w:ind w:right="2199" w:firstLine="401"/>
        <w:spacing w:after="0" w:line="261" w:lineRule="auto"/>
        <w:rPr>
          <w:sz w:val="20"/>
          <w:szCs w:val="20"/>
          <w:color w:val="auto"/>
        </w:rPr>
      </w:pPr>
      <w:r>
        <w:rPr>
          <w:rFonts w:ascii="Courier New" w:cs="Courier New" w:eastAsia="Courier New" w:hAnsi="Courier New"/>
          <w:sz w:val="16"/>
          <w:szCs w:val="16"/>
          <w:color w:val="auto"/>
        </w:rPr>
        <w:t>Under the Delaware General Corporation Law and the Company's Certificate of Incorporation and Bylaws, each shareholder will be entitled to one vote for each share of the Company's Common Stock held at the Record Date for all matters, including the election of directors, unless cumulative voting for the election of directors is required. The required quorum for the transaction of business at the Annual Meeting is a majority of the votes eligible to be cast by holders of shares of the Company's Common Stock issued and outstanding on the Record Date. Shares that are voted "FOR," "AGAINST" or "ABSTAIN" and, with respect to the election of directors, "WITHHOLD" or "DO NOT VOTE FOR," are treated as being present at the Annual Meeting for the purposes of establishing a quorum and are tallied to determine the shareholders' decision with respect to the matter voted upon (the "Votes Cast"). Abstentions will have the same effect of voting against a proposal. Broker non-votes will be counted for purposes of determining the presence or absence of a quorum for the transaction of business, but such non-votes will not be counted for purposes of determining the number of Votes Cast with respect to the particular proposal on which a broker has expressly not voted. Thus, a broker non-vote will generally not effect the outcome of the voting on a proposal. However, with respect to the proposed amendments to the Company's Certificate of Incorporation, such business items will require the affirmative vote of a majority of the outstanding shares of Common Stock entitled to vote on such matter. Thus, broker non-votes will have the effect of a vote "AGAINST" such business item.</w:t>
      </w:r>
    </w:p>
    <w:p>
      <w:pPr>
        <w:spacing w:after="0" w:line="293" w:lineRule="exact"/>
        <w:rPr>
          <w:sz w:val="20"/>
          <w:szCs w:val="20"/>
          <w:color w:val="auto"/>
        </w:rPr>
      </w:pPr>
    </w:p>
    <w:p>
      <w:pPr>
        <w:ind w:right="2199" w:firstLine="401"/>
        <w:spacing w:after="0" w:line="263" w:lineRule="auto"/>
        <w:rPr>
          <w:sz w:val="20"/>
          <w:szCs w:val="20"/>
          <w:color w:val="auto"/>
        </w:rPr>
      </w:pPr>
      <w:r>
        <w:rPr>
          <w:rFonts w:ascii="Courier New" w:cs="Courier New" w:eastAsia="Courier New" w:hAnsi="Courier New"/>
          <w:sz w:val="16"/>
          <w:szCs w:val="16"/>
          <w:color w:val="auto"/>
        </w:rPr>
        <w:t>Cumulative voting for the election of directors shall not be required unless at least one shareholder has given written notice to the Secretary of the Company of its intention to cumulate votes at least 15 days prior to the date of the meeting. If cumulative voting is requested, every shareholder voting for the election of directors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seven candidates. If cumulative voting is required, the persons authorized to vote shares represented by proxies shall have the authority and discretion to vote such shares cumulatively for any candidate or candidates for whom authority to vote has not been withheld. The seven nominees for director receiving the highest number of Votes Cast will be elected, whether or not any one of them receives the vote of a majority of the shares represented and entitled to vote at the Annual Meeting. Abstentions and broker non-votes as to the election of the directors will not count as Votes Cast "FOR" any nominee.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OF PROXIES</w:t>
      </w:r>
    </w:p>
    <w:p>
      <w:pPr>
        <w:spacing w:after="0" w:line="193" w:lineRule="exact"/>
        <w:rPr>
          <w:sz w:val="20"/>
          <w:szCs w:val="20"/>
          <w:color w:val="auto"/>
        </w:rPr>
      </w:pPr>
    </w:p>
    <w:p>
      <w:pPr>
        <w:ind w:right="2199" w:firstLine="401"/>
        <w:spacing w:after="0" w:line="263" w:lineRule="auto"/>
        <w:rPr>
          <w:sz w:val="20"/>
          <w:szCs w:val="20"/>
          <w:color w:val="auto"/>
        </w:rPr>
      </w:pPr>
      <w:r>
        <w:rPr>
          <w:rFonts w:ascii="Courier New" w:cs="Courier New" w:eastAsia="Courier New" w:hAnsi="Courier New"/>
          <w:sz w:val="16"/>
          <w:szCs w:val="16"/>
          <w:color w:val="auto"/>
        </w:rPr>
        <w:t>The shares of the Company's Common Stock represented by all properly executed proxies received in time for the meeting will be voted in accordance with the directions given by the shareholders. IF NO INSTRUCTIONS ARE GIVEN, THE SHARES WILL BE VOTED (i) FOR each of the nominees named herein as directors, or their respective substitutes as may be appointed by the Board of Directors,</w:t>
      </w:r>
    </w:p>
    <w:p>
      <w:pPr>
        <w:spacing w:after="0" w:line="1" w:lineRule="exact"/>
        <w:rPr>
          <w:sz w:val="20"/>
          <w:szCs w:val="20"/>
          <w:color w:val="auto"/>
        </w:rPr>
      </w:pPr>
    </w:p>
    <w:p>
      <w:pPr>
        <w:ind w:right="2199" w:firstLine="3"/>
        <w:spacing w:after="0" w:line="254" w:lineRule="auto"/>
        <w:tabs>
          <w:tab w:leader="none" w:pos="5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approval of the amendment to the Company's Certificate of Incorporation increasing the number of authorized shares, (iii) FOR approval of the amendment to the Company's Certificate of Incorporation eliminating the Company's authority to issue Class A Common Stock, (iv) FOR ratification of the appointment of PricewaterhouseCoopers LLP as independent accountants of the Company for fiscal 2001, and (v) in the</w:t>
      </w:r>
    </w:p>
    <w:p>
      <w:pPr>
        <w:spacing w:after="0" w:line="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471" w:right="1440" w:bottom="1440" w:gutter="0" w:footer="0" w:header="0"/>
        </w:sectPr>
      </w:pPr>
    </w:p>
    <w:bookmarkStart w:id="4" w:name="page5"/>
    <w:bookmarkEnd w:id="4"/>
    <w:p>
      <w:pPr>
        <w:ind w:right="3200"/>
        <w:spacing w:after="0" w:line="382" w:lineRule="auto"/>
        <w:rPr>
          <w:sz w:val="20"/>
          <w:szCs w:val="20"/>
          <w:color w:val="auto"/>
        </w:rPr>
      </w:pPr>
      <w:r>
        <w:rPr>
          <w:rFonts w:ascii="Courier New" w:cs="Courier New" w:eastAsia="Courier New" w:hAnsi="Courier New"/>
          <w:sz w:val="16"/>
          <w:szCs w:val="16"/>
          <w:color w:val="auto"/>
        </w:rPr>
        <w:t>discretion of the proxyholders for such other matter or matters which may properly come before the meeting or any adjournment or adjournments thereof.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SECURITY OWNERSHIP OF CERTAIN BENEFICIAL OWNERS AND MANAGEMENT</w:t>
      </w:r>
    </w:p>
    <w:p>
      <w:pPr>
        <w:spacing w:after="0" w:line="193" w:lineRule="exact"/>
        <w:rPr>
          <w:sz w:val="20"/>
          <w:szCs w:val="20"/>
          <w:color w:val="auto"/>
        </w:rPr>
      </w:pPr>
    </w:p>
    <w:p>
      <w:pPr>
        <w:ind w:right="2800" w:firstLine="401"/>
        <w:spacing w:after="0" w:line="246" w:lineRule="auto"/>
        <w:rPr>
          <w:sz w:val="20"/>
          <w:szCs w:val="20"/>
          <w:color w:val="auto"/>
        </w:rPr>
      </w:pPr>
      <w:r>
        <w:rPr>
          <w:rFonts w:ascii="Courier New" w:cs="Courier New" w:eastAsia="Courier New" w:hAnsi="Courier New"/>
          <w:sz w:val="17"/>
          <w:szCs w:val="17"/>
          <w:color w:val="auto"/>
        </w:rPr>
        <w:t>The following table sets forth security ownership information as of October 2, 2000, based on the most current information provided to the Company by the beneficial owners, available to the Company from its own records or provided in Securities and Exchange Commission ("SEC") filings made by the beneficial owners, for (i) persons known by the Company to own beneficially more than five percent (5%) of the Company's Common Stock, (ii) each director,</w:t>
      </w:r>
    </w:p>
    <w:p>
      <w:pPr>
        <w:spacing w:after="0" w:line="2" w:lineRule="exact"/>
        <w:rPr>
          <w:sz w:val="20"/>
          <w:szCs w:val="20"/>
          <w:color w:val="auto"/>
        </w:rPr>
      </w:pPr>
    </w:p>
    <w:p>
      <w:pPr>
        <w:ind w:right="3100" w:firstLine="3"/>
        <w:spacing w:after="0" w:line="347" w:lineRule="auto"/>
        <w:tabs>
          <w:tab w:leader="none" w:pos="6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Named Executive Officer listed in the "Summary Compensation Table" set forth herein, and (iv) all directors and executive officers as a group:</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2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rPr>
              <w:t>NAME AND ADDRESS OF BENEFICIAL OWNER</w:t>
            </w:r>
          </w:p>
        </w:tc>
        <w:tc>
          <w:tcPr>
            <w:tcW w:w="1840" w:type="dxa"/>
            <w:vAlign w:val="bottom"/>
          </w:tcPr>
          <w:p>
            <w:pPr>
              <w:jc w:val="center"/>
              <w:ind w:right="56"/>
              <w:spacing w:after="0"/>
              <w:rPr>
                <w:sz w:val="20"/>
                <w:szCs w:val="20"/>
                <w:color w:val="auto"/>
              </w:rPr>
            </w:pPr>
            <w:r>
              <w:rPr>
                <w:rFonts w:ascii="Courier New" w:cs="Courier New" w:eastAsia="Courier New" w:hAnsi="Courier New"/>
                <w:sz w:val="17"/>
                <w:szCs w:val="17"/>
                <w:color w:val="auto"/>
                <w:w w:val="97"/>
              </w:rPr>
              <w:t>NUMBER OF</w:t>
            </w:r>
          </w:p>
        </w:tc>
        <w:tc>
          <w:tcPr>
            <w:tcW w:w="2260" w:type="dxa"/>
            <w:vAlign w:val="bottom"/>
            <w:vMerge w:val="restart"/>
          </w:tcPr>
          <w:p>
            <w:pPr>
              <w:jc w:val="right"/>
              <w:ind w:right="216"/>
              <w:spacing w:after="0"/>
              <w:rPr>
                <w:sz w:val="20"/>
                <w:szCs w:val="20"/>
                <w:color w:val="auto"/>
              </w:rPr>
            </w:pPr>
            <w:r>
              <w:rPr>
                <w:rFonts w:ascii="Courier New" w:cs="Courier New" w:eastAsia="Courier New" w:hAnsi="Courier New"/>
                <w:sz w:val="17"/>
                <w:szCs w:val="17"/>
                <w:color w:val="auto"/>
              </w:rPr>
              <w:t>RIGHT TO ACQUIRE(2)</w:t>
            </w:r>
          </w:p>
        </w:tc>
        <w:tc>
          <w:tcPr>
            <w:tcW w:w="1060" w:type="dxa"/>
            <w:vAlign w:val="bottom"/>
            <w:vMerge w:val="restart"/>
          </w:tcPr>
          <w:p>
            <w:pPr>
              <w:jc w:val="right"/>
              <w:ind w:right="376"/>
              <w:spacing w:after="0"/>
              <w:rPr>
                <w:sz w:val="20"/>
                <w:szCs w:val="20"/>
                <w:color w:val="auto"/>
              </w:rPr>
            </w:pPr>
            <w:r>
              <w:rPr>
                <w:rFonts w:ascii="Courier New" w:cs="Courier New" w:eastAsia="Courier New" w:hAnsi="Courier New"/>
                <w:sz w:val="17"/>
                <w:szCs w:val="17"/>
                <w:color w:val="auto"/>
              </w:rPr>
              <w:t>TOTAL</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9"/>
              </w:rPr>
              <w:t>PERCENT OF</w:t>
            </w:r>
          </w:p>
        </w:tc>
        <w:tc>
          <w:tcPr>
            <w:tcW w:w="0" w:type="dxa"/>
            <w:vAlign w:val="bottom"/>
          </w:tcPr>
          <w:p>
            <w:pPr>
              <w:spacing w:after="0"/>
              <w:rPr>
                <w:sz w:val="1"/>
                <w:szCs w:val="1"/>
                <w:color w:val="auto"/>
              </w:rPr>
            </w:pPr>
          </w:p>
        </w:tc>
      </w:tr>
      <w:tr>
        <w:trPr>
          <w:trHeight w:val="193"/>
        </w:trPr>
        <w:tc>
          <w:tcPr>
            <w:tcW w:w="4420" w:type="dxa"/>
            <w:vAlign w:val="bottom"/>
            <w:gridSpan w:val="2"/>
            <w:vMerge w:val="continue"/>
          </w:tcPr>
          <w:p>
            <w:pPr>
              <w:spacing w:after="0"/>
              <w:rPr>
                <w:sz w:val="16"/>
                <w:szCs w:val="16"/>
                <w:color w:val="auto"/>
              </w:rPr>
            </w:pPr>
          </w:p>
        </w:tc>
        <w:tc>
          <w:tcPr>
            <w:tcW w:w="1840" w:type="dxa"/>
            <w:vAlign w:val="bottom"/>
          </w:tcPr>
          <w:p>
            <w:pPr>
              <w:jc w:val="center"/>
              <w:ind w:right="56"/>
              <w:spacing w:after="0"/>
              <w:rPr>
                <w:sz w:val="20"/>
                <w:szCs w:val="20"/>
                <w:color w:val="auto"/>
              </w:rPr>
            </w:pPr>
            <w:r>
              <w:rPr>
                <w:rFonts w:ascii="Courier New" w:cs="Courier New" w:eastAsia="Courier New" w:hAnsi="Courier New"/>
                <w:sz w:val="17"/>
                <w:szCs w:val="17"/>
                <w:color w:val="auto"/>
                <w:w w:val="98"/>
              </w:rPr>
              <w:t>SHARES OWNED(1)</w:t>
            </w:r>
          </w:p>
        </w:tc>
        <w:tc>
          <w:tcPr>
            <w:tcW w:w="22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24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CLASS(3)</w:t>
            </w:r>
          </w:p>
        </w:tc>
        <w:tc>
          <w:tcPr>
            <w:tcW w:w="0" w:type="dxa"/>
            <w:vAlign w:val="bottom"/>
          </w:tcPr>
          <w:p>
            <w:pPr>
              <w:spacing w:after="0"/>
              <w:rPr>
                <w:sz w:val="1"/>
                <w:szCs w:val="1"/>
                <w:color w:val="auto"/>
              </w:rPr>
            </w:pPr>
          </w:p>
        </w:tc>
      </w:tr>
      <w:tr>
        <w:trPr>
          <w:trHeight w:val="281"/>
        </w:trPr>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7"/>
        </w:trPr>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FMR Corp. .................................</w:t>
            </w:r>
          </w:p>
        </w:tc>
        <w:tc>
          <w:tcPr>
            <w:tcW w:w="1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82 Devonshire Street</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Boston, Massachusetts 02109</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vMerge w:val="restart"/>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Texas Instruments Incorporated ............</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7839 Churchill Way M.S. 3999</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Dallas, Texas 75251</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vMerge w:val="restart"/>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Capital Research and Management Company....</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333 South Hope Street</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Los Angeles, CA 90071</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vMerge w:val="restart"/>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J.R. Simplot Company.......................</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999 Main Street, Suite 1300</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4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Boise, Idaho 83707</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vMerge w:val="restart"/>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Steven R. Appleton.........................</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500" w:type="dxa"/>
            <w:vAlign w:val="bottom"/>
          </w:tcPr>
          <w:p>
            <w:pPr>
              <w:spacing w:after="0"/>
              <w:rPr>
                <w:sz w:val="20"/>
                <w:szCs w:val="20"/>
                <w:color w:val="auto"/>
              </w:rPr>
            </w:pPr>
            <w:r>
              <w:rPr>
                <w:rFonts w:ascii="Courier New" w:cs="Courier New" w:eastAsia="Courier New" w:hAnsi="Courier New"/>
                <w:sz w:val="17"/>
                <w:szCs w:val="17"/>
                <w:color w:val="auto"/>
                <w:w w:val="96"/>
              </w:rPr>
              <w:t>James W. Bagley</w:t>
            </w:r>
          </w:p>
        </w:tc>
        <w:tc>
          <w:tcPr>
            <w:tcW w:w="29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D. Mark Durcan.............................</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Jay L. Hawkins.............................</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Roderic W. Lewis...........................</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Robert A. Lothrop..........................</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Thomas T. Nicholson........................</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Don J. Simplot.............................</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1500" w:type="dxa"/>
            <w:vAlign w:val="bottom"/>
          </w:tcPr>
          <w:p>
            <w:pPr>
              <w:spacing w:after="0"/>
              <w:rPr>
                <w:sz w:val="20"/>
                <w:szCs w:val="20"/>
                <w:color w:val="auto"/>
              </w:rPr>
            </w:pPr>
            <w:r>
              <w:rPr>
                <w:rFonts w:ascii="Courier New" w:cs="Courier New" w:eastAsia="Courier New" w:hAnsi="Courier New"/>
                <w:sz w:val="17"/>
                <w:szCs w:val="17"/>
                <w:color w:val="auto"/>
                <w:w w:val="96"/>
              </w:rPr>
              <w:t>Gordon C. Smith</w:t>
            </w:r>
          </w:p>
        </w:tc>
        <w:tc>
          <w:tcPr>
            <w:tcW w:w="292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Wilbur G. Stover, Jr.......................</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William P. Weber...........................</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spacing w:after="0"/>
              <w:rPr>
                <w:sz w:val="20"/>
                <w:szCs w:val="20"/>
                <w:color w:val="auto"/>
              </w:rPr>
            </w:pPr>
            <w:r>
              <w:rPr>
                <w:rFonts w:ascii="Courier New" w:cs="Courier New" w:eastAsia="Courier New" w:hAnsi="Courier New"/>
                <w:sz w:val="17"/>
                <w:szCs w:val="17"/>
                <w:color w:val="auto"/>
              </w:rPr>
              <w:t>All directors and executive officers as a</w:t>
            </w:r>
          </w:p>
        </w:tc>
        <w:tc>
          <w:tcPr>
            <w:tcW w:w="18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1"/>
        </w:trPr>
        <w:tc>
          <w:tcPr>
            <w:tcW w:w="1500" w:type="dxa"/>
            <w:vAlign w:val="bottom"/>
          </w:tcPr>
          <w:p>
            <w:pPr>
              <w:ind w:left="200"/>
              <w:spacing w:after="0"/>
              <w:rPr>
                <w:sz w:val="20"/>
                <w:szCs w:val="20"/>
                <w:color w:val="auto"/>
              </w:rPr>
            </w:pPr>
            <w:r>
              <w:rPr>
                <w:rFonts w:ascii="Courier New" w:cs="Courier New" w:eastAsia="Courier New" w:hAnsi="Courier New"/>
                <w:sz w:val="17"/>
                <w:szCs w:val="17"/>
                <w:color w:val="auto"/>
              </w:rPr>
              <w:t>group (</w:t>
            </w:r>
          </w:p>
        </w:tc>
        <w:tc>
          <w:tcPr>
            <w:tcW w:w="2920" w:type="dxa"/>
            <w:vAlign w:val="bottom"/>
          </w:tcPr>
          <w:p>
            <w:pPr>
              <w:spacing w:after="0"/>
              <w:rPr>
                <w:sz w:val="20"/>
                <w:szCs w:val="20"/>
                <w:color w:val="auto"/>
              </w:rPr>
            </w:pPr>
            <w:r>
              <w:rPr>
                <w:rFonts w:ascii="Courier New" w:cs="Courier New" w:eastAsia="Courier New" w:hAnsi="Courier New"/>
                <w:sz w:val="17"/>
                <w:szCs w:val="17"/>
                <w:color w:val="auto"/>
              </w:rPr>
              <w:t>persons)...................</w:t>
            </w:r>
          </w:p>
        </w:tc>
        <w:tc>
          <w:tcPr>
            <w:tcW w:w="1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200" w:hanging="197"/>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Less than 1%</w:t>
      </w:r>
    </w:p>
    <w:p>
      <w:pPr>
        <w:spacing w:after="0" w:line="193" w:lineRule="exact"/>
        <w:rPr>
          <w:sz w:val="20"/>
          <w:szCs w:val="20"/>
          <w:color w:val="auto"/>
        </w:rPr>
      </w:pPr>
    </w:p>
    <w:p>
      <w:pPr>
        <w:ind w:left="400" w:right="3200" w:hanging="397"/>
        <w:spacing w:after="0" w:line="350"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shares that may be acquired through the exercise of outstanding stock options.</w:t>
      </w:r>
    </w:p>
    <w:p>
      <w:pPr>
        <w:spacing w:after="0" w:line="16" w:lineRule="exact"/>
        <w:rPr>
          <w:rFonts w:ascii="Courier New" w:cs="Courier New" w:eastAsia="Courier New" w:hAnsi="Courier New"/>
          <w:sz w:val="17"/>
          <w:szCs w:val="17"/>
          <w:color w:val="auto"/>
        </w:rPr>
      </w:pPr>
    </w:p>
    <w:p>
      <w:pPr>
        <w:ind w:left="400" w:right="2800" w:hanging="397"/>
        <w:spacing w:after="0" w:line="350"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shares that an individual or entity has a right to acquire within 60 days of October 2, 2000.</w:t>
      </w:r>
    </w:p>
    <w:p>
      <w:pPr>
        <w:spacing w:after="0" w:line="16" w:lineRule="exact"/>
        <w:rPr>
          <w:rFonts w:ascii="Courier New" w:cs="Courier New" w:eastAsia="Courier New" w:hAnsi="Courier New"/>
          <w:sz w:val="17"/>
          <w:szCs w:val="17"/>
          <w:color w:val="auto"/>
        </w:rPr>
      </w:pPr>
    </w:p>
    <w:p>
      <w:pPr>
        <w:ind w:left="400" w:right="2800" w:hanging="397"/>
        <w:spacing w:after="0" w:line="267"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calculating the Percent of Class, shares that the person or entity had a Right to Acquire are deemed to be outstanding to calculate the Percent of Class of such person or entity, but are not deemed to be outstanding for the purpose of calculating the Percent of Class of any other person or entity.</w:t>
      </w:r>
    </w:p>
    <w:p>
      <w:pPr>
        <w:spacing w:after="0" w:line="8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820"/>
          </w:cols>
          <w:pgMar w:left="240" w:top="471" w:right="839" w:bottom="1440" w:gutter="0" w:footer="0" w:header="0"/>
        </w:sectPr>
      </w:pPr>
    </w:p>
    <w:bookmarkStart w:id="5" w:name="page6"/>
    <w:bookmarkEnd w:id="5"/>
    <w:p>
      <w:pPr>
        <w:ind w:left="2700"/>
        <w:spacing w:after="0"/>
        <w:rPr>
          <w:sz w:val="20"/>
          <w:szCs w:val="20"/>
          <w:color w:val="auto"/>
        </w:rPr>
      </w:pPr>
      <w:r>
        <w:rPr>
          <w:rFonts w:ascii="Courier New" w:cs="Courier New" w:eastAsia="Courier New" w:hAnsi="Courier New"/>
          <w:sz w:val="17"/>
          <w:szCs w:val="17"/>
          <w:color w:val="auto"/>
        </w:rPr>
        <w:t>BUSINESS TO BE TRANSACTED</w:t>
      </w:r>
    </w:p>
    <w:p>
      <w:pPr>
        <w:spacing w:after="0" w:line="19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PROPOSAL 1.</w:t>
      </w:r>
      <w:r>
        <w:rPr>
          <w:sz w:val="20"/>
          <w:szCs w:val="20"/>
          <w:color w:val="auto"/>
        </w:rPr>
        <w:tab/>
      </w:r>
      <w:r>
        <w:rPr>
          <w:rFonts w:ascii="Courier New" w:cs="Courier New" w:eastAsia="Courier New" w:hAnsi="Courier New"/>
          <w:sz w:val="16"/>
          <w:szCs w:val="16"/>
          <w:color w:val="auto"/>
        </w:rPr>
        <w:t>ELECTION OF DIRECTORS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w:t>
      </w:r>
    </w:p>
    <w:p>
      <w:pPr>
        <w:spacing w:after="0" w:line="193" w:lineRule="exact"/>
        <w:rPr>
          <w:sz w:val="20"/>
          <w:szCs w:val="20"/>
          <w:color w:val="auto"/>
        </w:rPr>
      </w:pPr>
    </w:p>
    <w:p>
      <w:pPr>
        <w:ind w:right="2300" w:firstLine="401"/>
        <w:spacing w:after="0" w:line="262" w:lineRule="auto"/>
        <w:rPr>
          <w:sz w:val="20"/>
          <w:szCs w:val="20"/>
          <w:color w:val="auto"/>
        </w:rPr>
      </w:pPr>
      <w:r>
        <w:rPr>
          <w:rFonts w:ascii="Courier New" w:cs="Courier New" w:eastAsia="Courier New" w:hAnsi="Courier New"/>
          <w:sz w:val="16"/>
          <w:szCs w:val="16"/>
          <w:color w:val="auto"/>
        </w:rPr>
        <w:t>The Company's Bylaws currently provide for seven directors and it is contemplated that a Board of seven directors will be elected at the meeting. Unless otherwise instructed, the proxy holders will vote the proxies received by them for management's seven nominees named below, all of whom are presently directors of the Company. If any management nominee is unable or declines to serve as a director at the time of the Annual Meeting, the proxies will be voted for any nominee who shall be designated by the present Board of Directors to fill the vacancy. If additional persons are nominated for election as directors, the proxy holders intend to vote all proxies received by them in such a manner as will ensure the election of as many of the nominees listed below as possible.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death, resignation or removal. Officers are appointed annually by the Board of Directors and serve until their successors are duly chosen and qualified, except in case of earlier death, resignation or removal. The names of the seven nominees and certain information about them are set forth below:</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20" w:type="dxa"/>
            <w:vAlign w:val="bottom"/>
            <w:vMerge w:val="restart"/>
          </w:tcPr>
          <w:p>
            <w:pPr>
              <w:spacing w:after="0"/>
              <w:rPr>
                <w:sz w:val="20"/>
                <w:szCs w:val="20"/>
                <w:color w:val="auto"/>
              </w:rPr>
            </w:pPr>
            <w:r>
              <w:rPr>
                <w:rFonts w:ascii="Courier New" w:cs="Courier New" w:eastAsia="Courier New" w:hAnsi="Courier New"/>
                <w:sz w:val="17"/>
                <w:szCs w:val="17"/>
                <w:color w:val="auto"/>
              </w:rPr>
              <w:t>NAME OF NOMINEE</w:t>
            </w:r>
          </w:p>
        </w:tc>
        <w:tc>
          <w:tcPr>
            <w:tcW w:w="9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AGE</w:t>
            </w:r>
          </w:p>
        </w:tc>
        <w:tc>
          <w:tcPr>
            <w:tcW w:w="3860" w:type="dxa"/>
            <w:vAlign w:val="bottom"/>
            <w:vMerge w:val="restart"/>
          </w:tcPr>
          <w:p>
            <w:pPr>
              <w:ind w:left="860"/>
              <w:spacing w:after="0"/>
              <w:rPr>
                <w:sz w:val="20"/>
                <w:szCs w:val="20"/>
                <w:color w:val="auto"/>
              </w:rPr>
            </w:pPr>
            <w:r>
              <w:rPr>
                <w:rFonts w:ascii="Courier New" w:cs="Courier New" w:eastAsia="Courier New" w:hAnsi="Courier New"/>
                <w:sz w:val="17"/>
                <w:szCs w:val="17"/>
                <w:color w:val="auto"/>
              </w:rPr>
              <w:t>PRINCIPAL OCCUPATION</w:t>
            </w:r>
          </w:p>
        </w:tc>
        <w:tc>
          <w:tcPr>
            <w:tcW w:w="16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SERVED AS A</w:t>
            </w:r>
          </w:p>
        </w:tc>
        <w:tc>
          <w:tcPr>
            <w:tcW w:w="0" w:type="dxa"/>
            <w:vAlign w:val="bottom"/>
          </w:tcPr>
          <w:p>
            <w:pPr>
              <w:spacing w:after="0"/>
              <w:rPr>
                <w:sz w:val="1"/>
                <w:szCs w:val="1"/>
                <w:color w:val="auto"/>
              </w:rPr>
            </w:pPr>
          </w:p>
        </w:tc>
      </w:tr>
      <w:tr>
        <w:trPr>
          <w:trHeight w:val="193"/>
        </w:trPr>
        <w:tc>
          <w:tcPr>
            <w:tcW w:w="3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860" w:type="dxa"/>
            <w:vAlign w:val="bottom"/>
            <w:vMerge w:val="continue"/>
          </w:tcPr>
          <w:p>
            <w:pPr>
              <w:spacing w:after="0"/>
              <w:rPr>
                <w:sz w:val="16"/>
                <w:szCs w:val="16"/>
                <w:color w:val="auto"/>
              </w:rPr>
            </w:pPr>
          </w:p>
        </w:tc>
        <w:tc>
          <w:tcPr>
            <w:tcW w:w="16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6"/>
              </w:rPr>
              <w:t>DIRECTOR SINCE</w:t>
            </w:r>
          </w:p>
        </w:tc>
        <w:tc>
          <w:tcPr>
            <w:tcW w:w="0" w:type="dxa"/>
            <w:vAlign w:val="bottom"/>
          </w:tcPr>
          <w:p>
            <w:pPr>
              <w:spacing w:after="0"/>
              <w:rPr>
                <w:sz w:val="1"/>
                <w:szCs w:val="1"/>
                <w:color w:val="auto"/>
              </w:rPr>
            </w:pPr>
          </w:p>
        </w:tc>
      </w:tr>
      <w:tr>
        <w:trPr>
          <w:trHeight w:val="281"/>
        </w:trPr>
        <w:tc>
          <w:tcPr>
            <w:tcW w:w="39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3860" w:type="dxa"/>
            <w:vAlign w:val="bottom"/>
          </w:tcPr>
          <w:p>
            <w:pPr>
              <w:ind w:left="260"/>
              <w:spacing w:after="0"/>
              <w:rPr>
                <w:sz w:val="20"/>
                <w:szCs w:val="20"/>
                <w:color w:val="auto"/>
              </w:rPr>
            </w:pPr>
            <w:r>
              <w:rPr>
                <w:rFonts w:ascii="Courier New" w:cs="Courier New" w:eastAsia="Courier New" w:hAnsi="Courier New"/>
                <w:sz w:val="17"/>
                <w:szCs w:val="17"/>
                <w:color w:val="auto"/>
                <w:w w:val="97"/>
              </w:rPr>
              <w:t>------------------------------------</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7"/>
        </w:trPr>
        <w:tc>
          <w:tcPr>
            <w:tcW w:w="3920" w:type="dxa"/>
            <w:vAlign w:val="bottom"/>
          </w:tcPr>
          <w:p>
            <w:pPr>
              <w:spacing w:after="0"/>
              <w:rPr>
                <w:sz w:val="20"/>
                <w:szCs w:val="20"/>
                <w:color w:val="auto"/>
              </w:rPr>
            </w:pPr>
            <w:r>
              <w:rPr>
                <w:rFonts w:ascii="Courier New" w:cs="Courier New" w:eastAsia="Courier New" w:hAnsi="Courier New"/>
                <w:sz w:val="17"/>
                <w:szCs w:val="17"/>
                <w:color w:val="auto"/>
              </w:rPr>
              <w:t>Steven R. Appleton..................</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40</w:t>
            </w: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Chairman, Chief Executive Officer</w:t>
            </w:r>
          </w:p>
        </w:tc>
        <w:tc>
          <w:tcPr>
            <w:tcW w:w="16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1994(1)</w:t>
            </w:r>
          </w:p>
        </w:tc>
        <w:tc>
          <w:tcPr>
            <w:tcW w:w="0" w:type="dxa"/>
            <w:vAlign w:val="bottom"/>
          </w:tcPr>
          <w:p>
            <w:pPr>
              <w:spacing w:after="0"/>
              <w:rPr>
                <w:sz w:val="1"/>
                <w:szCs w:val="1"/>
                <w:color w:val="auto"/>
              </w:rPr>
            </w:pPr>
          </w:p>
        </w:tc>
      </w:tr>
      <w:tr>
        <w:trPr>
          <w:trHeight w:val="193"/>
        </w:trPr>
        <w:tc>
          <w:tcPr>
            <w:tcW w:w="3920" w:type="dxa"/>
            <w:vAlign w:val="bottom"/>
            <w:vMerge w:val="restart"/>
          </w:tcPr>
          <w:p>
            <w:pPr>
              <w:spacing w:after="0"/>
              <w:rPr>
                <w:sz w:val="20"/>
                <w:szCs w:val="20"/>
                <w:color w:val="auto"/>
              </w:rPr>
            </w:pPr>
            <w:r>
              <w:rPr>
                <w:rFonts w:ascii="Courier New" w:cs="Courier New" w:eastAsia="Courier New" w:hAnsi="Courier New"/>
                <w:sz w:val="17"/>
                <w:szCs w:val="17"/>
                <w:color w:val="auto"/>
              </w:rPr>
              <w:t>James W. Bagley.....................</w:t>
            </w:r>
          </w:p>
        </w:tc>
        <w:tc>
          <w:tcPr>
            <w:tcW w:w="940" w:type="dxa"/>
            <w:vAlign w:val="bottom"/>
            <w:vMerge w:val="restart"/>
          </w:tcPr>
          <w:p>
            <w:pPr>
              <w:jc w:val="right"/>
              <w:ind w:right="156"/>
              <w:spacing w:after="0"/>
              <w:rPr>
                <w:sz w:val="20"/>
                <w:szCs w:val="20"/>
                <w:color w:val="auto"/>
              </w:rPr>
            </w:pPr>
            <w:r>
              <w:rPr>
                <w:rFonts w:ascii="Courier New" w:cs="Courier New" w:eastAsia="Courier New" w:hAnsi="Courier New"/>
                <w:sz w:val="17"/>
                <w:szCs w:val="17"/>
                <w:color w:val="auto"/>
              </w:rPr>
              <w:t>61</w:t>
            </w: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and President of the Company</w:t>
            </w:r>
          </w:p>
        </w:tc>
        <w:tc>
          <w:tcPr>
            <w:tcW w:w="1600" w:type="dxa"/>
            <w:vAlign w:val="bottom"/>
            <w:vMerge w:val="restart"/>
          </w:tcPr>
          <w:p>
            <w:pPr>
              <w:jc w:val="right"/>
              <w:ind w:right="216"/>
              <w:spacing w:after="0"/>
              <w:rPr>
                <w:sz w:val="20"/>
                <w:szCs w:val="20"/>
                <w:color w:val="auto"/>
              </w:rPr>
            </w:pPr>
            <w:r>
              <w:rPr>
                <w:rFonts w:ascii="Courier New" w:cs="Courier New" w:eastAsia="Courier New" w:hAnsi="Courier New"/>
                <w:sz w:val="17"/>
                <w:szCs w:val="17"/>
                <w:color w:val="auto"/>
              </w:rPr>
              <w:t>1997</w:t>
            </w:r>
          </w:p>
        </w:tc>
        <w:tc>
          <w:tcPr>
            <w:tcW w:w="0" w:type="dxa"/>
            <w:vAlign w:val="bottom"/>
          </w:tcPr>
          <w:p>
            <w:pPr>
              <w:spacing w:after="0"/>
              <w:rPr>
                <w:sz w:val="1"/>
                <w:szCs w:val="1"/>
                <w:color w:val="auto"/>
              </w:rPr>
            </w:pPr>
          </w:p>
        </w:tc>
      </w:tr>
      <w:tr>
        <w:trPr>
          <w:trHeight w:val="193"/>
        </w:trPr>
        <w:tc>
          <w:tcPr>
            <w:tcW w:w="3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Chairman and Chief Executive Officer</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20" w:type="dxa"/>
            <w:vAlign w:val="bottom"/>
            <w:vMerge w:val="restart"/>
          </w:tcPr>
          <w:p>
            <w:pPr>
              <w:spacing w:after="0"/>
              <w:rPr>
                <w:sz w:val="20"/>
                <w:szCs w:val="20"/>
                <w:color w:val="auto"/>
              </w:rPr>
            </w:pPr>
            <w:r>
              <w:rPr>
                <w:rFonts w:ascii="Courier New" w:cs="Courier New" w:eastAsia="Courier New" w:hAnsi="Courier New"/>
                <w:sz w:val="17"/>
                <w:szCs w:val="17"/>
                <w:color w:val="auto"/>
              </w:rPr>
              <w:t>Robert A. Lothrop...................</w:t>
            </w:r>
          </w:p>
        </w:tc>
        <w:tc>
          <w:tcPr>
            <w:tcW w:w="940" w:type="dxa"/>
            <w:vAlign w:val="bottom"/>
            <w:vMerge w:val="restart"/>
          </w:tcPr>
          <w:p>
            <w:pPr>
              <w:jc w:val="right"/>
              <w:ind w:right="156"/>
              <w:spacing w:after="0"/>
              <w:rPr>
                <w:sz w:val="20"/>
                <w:szCs w:val="20"/>
                <w:color w:val="auto"/>
              </w:rPr>
            </w:pPr>
            <w:r>
              <w:rPr>
                <w:rFonts w:ascii="Courier New" w:cs="Courier New" w:eastAsia="Courier New" w:hAnsi="Courier New"/>
                <w:sz w:val="17"/>
                <w:szCs w:val="17"/>
                <w:color w:val="auto"/>
              </w:rPr>
              <w:t>74</w:t>
            </w: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of Lam Research Corporation</w:t>
            </w:r>
          </w:p>
        </w:tc>
        <w:tc>
          <w:tcPr>
            <w:tcW w:w="1600" w:type="dxa"/>
            <w:vAlign w:val="bottom"/>
            <w:vMerge w:val="restart"/>
          </w:tcPr>
          <w:p>
            <w:pPr>
              <w:jc w:val="right"/>
              <w:ind w:right="216"/>
              <w:spacing w:after="0"/>
              <w:rPr>
                <w:sz w:val="20"/>
                <w:szCs w:val="20"/>
                <w:color w:val="auto"/>
              </w:rPr>
            </w:pPr>
            <w:r>
              <w:rPr>
                <w:rFonts w:ascii="Courier New" w:cs="Courier New" w:eastAsia="Courier New" w:hAnsi="Courier New"/>
                <w:sz w:val="17"/>
                <w:szCs w:val="17"/>
                <w:color w:val="auto"/>
              </w:rPr>
              <w:t>1994(2)</w:t>
            </w:r>
          </w:p>
        </w:tc>
        <w:tc>
          <w:tcPr>
            <w:tcW w:w="0" w:type="dxa"/>
            <w:vAlign w:val="bottom"/>
          </w:tcPr>
          <w:p>
            <w:pPr>
              <w:spacing w:after="0"/>
              <w:rPr>
                <w:sz w:val="1"/>
                <w:szCs w:val="1"/>
                <w:color w:val="auto"/>
              </w:rPr>
            </w:pPr>
          </w:p>
        </w:tc>
      </w:tr>
      <w:tr>
        <w:trPr>
          <w:trHeight w:val="193"/>
        </w:trPr>
        <w:tc>
          <w:tcPr>
            <w:tcW w:w="3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Retired, former Senior Vice</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20" w:type="dxa"/>
            <w:vAlign w:val="bottom"/>
            <w:vMerge w:val="restart"/>
          </w:tcPr>
          <w:p>
            <w:pPr>
              <w:spacing w:after="0"/>
              <w:rPr>
                <w:sz w:val="20"/>
                <w:szCs w:val="20"/>
                <w:color w:val="auto"/>
              </w:rPr>
            </w:pPr>
            <w:r>
              <w:rPr>
                <w:rFonts w:ascii="Courier New" w:cs="Courier New" w:eastAsia="Courier New" w:hAnsi="Courier New"/>
                <w:sz w:val="17"/>
                <w:szCs w:val="17"/>
                <w:color w:val="auto"/>
              </w:rPr>
              <w:t>Thomas T. Nicholson.................</w:t>
            </w:r>
          </w:p>
        </w:tc>
        <w:tc>
          <w:tcPr>
            <w:tcW w:w="940" w:type="dxa"/>
            <w:vAlign w:val="bottom"/>
            <w:vMerge w:val="restart"/>
          </w:tcPr>
          <w:p>
            <w:pPr>
              <w:jc w:val="right"/>
              <w:ind w:right="156"/>
              <w:spacing w:after="0"/>
              <w:rPr>
                <w:sz w:val="20"/>
                <w:szCs w:val="20"/>
                <w:color w:val="auto"/>
              </w:rPr>
            </w:pPr>
            <w:r>
              <w:rPr>
                <w:rFonts w:ascii="Courier New" w:cs="Courier New" w:eastAsia="Courier New" w:hAnsi="Courier New"/>
                <w:sz w:val="17"/>
                <w:szCs w:val="17"/>
                <w:color w:val="auto"/>
              </w:rPr>
              <w:t>64</w:t>
            </w: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President of J.R. Simplot Company</w:t>
            </w:r>
          </w:p>
        </w:tc>
        <w:tc>
          <w:tcPr>
            <w:tcW w:w="1600" w:type="dxa"/>
            <w:vAlign w:val="bottom"/>
            <w:vMerge w:val="restart"/>
          </w:tcPr>
          <w:p>
            <w:pPr>
              <w:jc w:val="right"/>
              <w:ind w:right="216"/>
              <w:spacing w:after="0"/>
              <w:rPr>
                <w:sz w:val="20"/>
                <w:szCs w:val="20"/>
                <w:color w:val="auto"/>
              </w:rPr>
            </w:pPr>
            <w:r>
              <w:rPr>
                <w:rFonts w:ascii="Courier New" w:cs="Courier New" w:eastAsia="Courier New" w:hAnsi="Courier New"/>
                <w:sz w:val="17"/>
                <w:szCs w:val="17"/>
                <w:color w:val="auto"/>
              </w:rPr>
              <w:t>1980</w:t>
            </w:r>
          </w:p>
        </w:tc>
        <w:tc>
          <w:tcPr>
            <w:tcW w:w="0" w:type="dxa"/>
            <w:vAlign w:val="bottom"/>
          </w:tcPr>
          <w:p>
            <w:pPr>
              <w:spacing w:after="0"/>
              <w:rPr>
                <w:sz w:val="1"/>
                <w:szCs w:val="1"/>
                <w:color w:val="auto"/>
              </w:rPr>
            </w:pPr>
          </w:p>
        </w:tc>
      </w:tr>
      <w:tr>
        <w:trPr>
          <w:trHeight w:val="193"/>
        </w:trPr>
        <w:tc>
          <w:tcPr>
            <w:tcW w:w="3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Vice President and member of the</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Board of Directors of Honda of</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Seattle and Toyota of Seattle and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Vice President of Mountain View</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20" w:type="dxa"/>
            <w:vAlign w:val="bottom"/>
            <w:vMerge w:val="restart"/>
          </w:tcPr>
          <w:p>
            <w:pPr>
              <w:spacing w:after="0"/>
              <w:rPr>
                <w:sz w:val="20"/>
                <w:szCs w:val="20"/>
                <w:color w:val="auto"/>
              </w:rPr>
            </w:pPr>
            <w:r>
              <w:rPr>
                <w:rFonts w:ascii="Courier New" w:cs="Courier New" w:eastAsia="Courier New" w:hAnsi="Courier New"/>
                <w:sz w:val="17"/>
                <w:szCs w:val="17"/>
                <w:color w:val="auto"/>
              </w:rPr>
              <w:t>Don J. Simplot......................</w:t>
            </w:r>
          </w:p>
        </w:tc>
        <w:tc>
          <w:tcPr>
            <w:tcW w:w="940" w:type="dxa"/>
            <w:vAlign w:val="bottom"/>
            <w:vMerge w:val="restart"/>
          </w:tcPr>
          <w:p>
            <w:pPr>
              <w:jc w:val="right"/>
              <w:ind w:right="156"/>
              <w:spacing w:after="0"/>
              <w:rPr>
                <w:sz w:val="20"/>
                <w:szCs w:val="20"/>
                <w:color w:val="auto"/>
              </w:rPr>
            </w:pPr>
            <w:r>
              <w:rPr>
                <w:rFonts w:ascii="Courier New" w:cs="Courier New" w:eastAsia="Courier New" w:hAnsi="Courier New"/>
                <w:sz w:val="17"/>
                <w:szCs w:val="17"/>
                <w:color w:val="auto"/>
              </w:rPr>
              <w:t>65</w:t>
            </w: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Equipment Company</w:t>
            </w:r>
          </w:p>
        </w:tc>
        <w:tc>
          <w:tcPr>
            <w:tcW w:w="1600" w:type="dxa"/>
            <w:vAlign w:val="bottom"/>
            <w:vMerge w:val="restart"/>
          </w:tcPr>
          <w:p>
            <w:pPr>
              <w:jc w:val="right"/>
              <w:ind w:right="216"/>
              <w:spacing w:after="0"/>
              <w:rPr>
                <w:sz w:val="20"/>
                <w:szCs w:val="20"/>
                <w:color w:val="auto"/>
              </w:rPr>
            </w:pPr>
            <w:r>
              <w:rPr>
                <w:rFonts w:ascii="Courier New" w:cs="Courier New" w:eastAsia="Courier New" w:hAnsi="Courier New"/>
                <w:sz w:val="17"/>
                <w:szCs w:val="17"/>
                <w:color w:val="auto"/>
              </w:rPr>
              <w:t>1982</w:t>
            </w:r>
          </w:p>
        </w:tc>
        <w:tc>
          <w:tcPr>
            <w:tcW w:w="0" w:type="dxa"/>
            <w:vAlign w:val="bottom"/>
          </w:tcPr>
          <w:p>
            <w:pPr>
              <w:spacing w:after="0"/>
              <w:rPr>
                <w:sz w:val="1"/>
                <w:szCs w:val="1"/>
                <w:color w:val="auto"/>
              </w:rPr>
            </w:pPr>
          </w:p>
        </w:tc>
      </w:tr>
      <w:tr>
        <w:trPr>
          <w:trHeight w:val="193"/>
        </w:trPr>
        <w:tc>
          <w:tcPr>
            <w:tcW w:w="3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Member of Office of the Chairman and</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Corporate Vice President of J.R.</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20" w:type="dxa"/>
            <w:vAlign w:val="bottom"/>
            <w:vMerge w:val="restart"/>
          </w:tcPr>
          <w:p>
            <w:pPr>
              <w:spacing w:after="0"/>
              <w:rPr>
                <w:sz w:val="20"/>
                <w:szCs w:val="20"/>
                <w:color w:val="auto"/>
              </w:rPr>
            </w:pPr>
            <w:r>
              <w:rPr>
                <w:rFonts w:ascii="Courier New" w:cs="Courier New" w:eastAsia="Courier New" w:hAnsi="Courier New"/>
                <w:sz w:val="17"/>
                <w:szCs w:val="17"/>
                <w:color w:val="auto"/>
              </w:rPr>
              <w:t>Gordon C. Smith.....................</w:t>
            </w:r>
          </w:p>
        </w:tc>
        <w:tc>
          <w:tcPr>
            <w:tcW w:w="940" w:type="dxa"/>
            <w:vAlign w:val="bottom"/>
            <w:vMerge w:val="restart"/>
          </w:tcPr>
          <w:p>
            <w:pPr>
              <w:jc w:val="right"/>
              <w:ind w:right="156"/>
              <w:spacing w:after="0"/>
              <w:rPr>
                <w:sz w:val="20"/>
                <w:szCs w:val="20"/>
                <w:color w:val="auto"/>
              </w:rPr>
            </w:pPr>
            <w:r>
              <w:rPr>
                <w:rFonts w:ascii="Courier New" w:cs="Courier New" w:eastAsia="Courier New" w:hAnsi="Courier New"/>
                <w:sz w:val="17"/>
                <w:szCs w:val="17"/>
                <w:color w:val="auto"/>
              </w:rPr>
              <w:t>71</w:t>
            </w: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Simplot Company</w:t>
            </w:r>
          </w:p>
        </w:tc>
        <w:tc>
          <w:tcPr>
            <w:tcW w:w="1600" w:type="dxa"/>
            <w:vAlign w:val="bottom"/>
            <w:vMerge w:val="restart"/>
          </w:tcPr>
          <w:p>
            <w:pPr>
              <w:jc w:val="right"/>
              <w:ind w:right="216"/>
              <w:spacing w:after="0"/>
              <w:rPr>
                <w:sz w:val="20"/>
                <w:szCs w:val="20"/>
                <w:color w:val="auto"/>
              </w:rPr>
            </w:pPr>
            <w:r>
              <w:rPr>
                <w:rFonts w:ascii="Courier New" w:cs="Courier New" w:eastAsia="Courier New" w:hAnsi="Courier New"/>
                <w:sz w:val="17"/>
                <w:szCs w:val="17"/>
                <w:color w:val="auto"/>
              </w:rPr>
              <w:t>1990(3)</w:t>
            </w:r>
          </w:p>
        </w:tc>
        <w:tc>
          <w:tcPr>
            <w:tcW w:w="0" w:type="dxa"/>
            <w:vAlign w:val="bottom"/>
          </w:tcPr>
          <w:p>
            <w:pPr>
              <w:spacing w:after="0"/>
              <w:rPr>
                <w:sz w:val="1"/>
                <w:szCs w:val="1"/>
                <w:color w:val="auto"/>
              </w:rPr>
            </w:pPr>
          </w:p>
        </w:tc>
      </w:tr>
      <w:tr>
        <w:trPr>
          <w:trHeight w:val="193"/>
        </w:trPr>
        <w:tc>
          <w:tcPr>
            <w:tcW w:w="3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Chairman and Chief Executive Officer</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of G. C. Smith L.L.C. and Secretary</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and Treasurer of SSI Management</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20" w:type="dxa"/>
            <w:vAlign w:val="bottom"/>
            <w:vMerge w:val="restart"/>
          </w:tcPr>
          <w:p>
            <w:pPr>
              <w:spacing w:after="0"/>
              <w:rPr>
                <w:sz w:val="20"/>
                <w:szCs w:val="20"/>
                <w:color w:val="auto"/>
              </w:rPr>
            </w:pPr>
            <w:r>
              <w:rPr>
                <w:rFonts w:ascii="Courier New" w:cs="Courier New" w:eastAsia="Courier New" w:hAnsi="Courier New"/>
                <w:sz w:val="17"/>
                <w:szCs w:val="17"/>
                <w:color w:val="auto"/>
              </w:rPr>
              <w:t>William P. Weber....................</w:t>
            </w:r>
          </w:p>
        </w:tc>
        <w:tc>
          <w:tcPr>
            <w:tcW w:w="940" w:type="dxa"/>
            <w:vAlign w:val="bottom"/>
            <w:vMerge w:val="restart"/>
          </w:tcPr>
          <w:p>
            <w:pPr>
              <w:jc w:val="right"/>
              <w:ind w:right="156"/>
              <w:spacing w:after="0"/>
              <w:rPr>
                <w:sz w:val="20"/>
                <w:szCs w:val="20"/>
                <w:color w:val="auto"/>
              </w:rPr>
            </w:pPr>
            <w:r>
              <w:rPr>
                <w:rFonts w:ascii="Courier New" w:cs="Courier New" w:eastAsia="Courier New" w:hAnsi="Courier New"/>
                <w:sz w:val="17"/>
                <w:szCs w:val="17"/>
                <w:color w:val="auto"/>
              </w:rPr>
              <w:t>60</w:t>
            </w: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Corp.</w:t>
            </w:r>
          </w:p>
        </w:tc>
        <w:tc>
          <w:tcPr>
            <w:tcW w:w="1600" w:type="dxa"/>
            <w:vAlign w:val="bottom"/>
            <w:vMerge w:val="restart"/>
          </w:tcPr>
          <w:p>
            <w:pPr>
              <w:jc w:val="right"/>
              <w:ind w:right="216"/>
              <w:spacing w:after="0"/>
              <w:rPr>
                <w:sz w:val="20"/>
                <w:szCs w:val="20"/>
                <w:color w:val="auto"/>
              </w:rPr>
            </w:pPr>
            <w:r>
              <w:rPr>
                <w:rFonts w:ascii="Courier New" w:cs="Courier New" w:eastAsia="Courier New" w:hAnsi="Courier New"/>
                <w:sz w:val="17"/>
                <w:szCs w:val="17"/>
                <w:color w:val="auto"/>
              </w:rPr>
              <w:t>1998</w:t>
            </w:r>
          </w:p>
        </w:tc>
        <w:tc>
          <w:tcPr>
            <w:tcW w:w="0" w:type="dxa"/>
            <w:vAlign w:val="bottom"/>
          </w:tcPr>
          <w:p>
            <w:pPr>
              <w:spacing w:after="0"/>
              <w:rPr>
                <w:sz w:val="1"/>
                <w:szCs w:val="1"/>
                <w:color w:val="auto"/>
              </w:rPr>
            </w:pPr>
          </w:p>
        </w:tc>
      </w:tr>
      <w:tr>
        <w:trPr>
          <w:trHeight w:val="193"/>
        </w:trPr>
        <w:tc>
          <w:tcPr>
            <w:tcW w:w="39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Retired, former Vice Chairman of</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3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Texas Instruments Incorporated</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ind w:left="400" w:right="3000" w:hanging="397"/>
        <w:spacing w:after="0" w:line="350" w:lineRule="auto"/>
        <w:tabs>
          <w:tab w:leader="none" w:pos="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Appleton also served as a member of the Board of Directors of the Company between April 1991 and July 1992.</w:t>
      </w:r>
    </w:p>
    <w:p>
      <w:pPr>
        <w:spacing w:after="0" w:line="16" w:lineRule="exact"/>
        <w:rPr>
          <w:rFonts w:ascii="Courier New" w:cs="Courier New" w:eastAsia="Courier New" w:hAnsi="Courier New"/>
          <w:sz w:val="17"/>
          <w:szCs w:val="17"/>
          <w:color w:val="auto"/>
        </w:rPr>
      </w:pPr>
    </w:p>
    <w:p>
      <w:pPr>
        <w:ind w:left="400" w:right="2300" w:hanging="397"/>
        <w:spacing w:after="0" w:line="350" w:lineRule="auto"/>
        <w:tabs>
          <w:tab w:leader="none" w:pos="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Lothrop also served as a member of the Board of Directors of the Company between August 1986 and July 1992.</w:t>
      </w:r>
    </w:p>
    <w:p>
      <w:pPr>
        <w:spacing w:after="0" w:line="16" w:lineRule="exact"/>
        <w:rPr>
          <w:rFonts w:ascii="Courier New" w:cs="Courier New" w:eastAsia="Courier New" w:hAnsi="Courier New"/>
          <w:sz w:val="17"/>
          <w:szCs w:val="17"/>
          <w:color w:val="auto"/>
        </w:rPr>
      </w:pPr>
    </w:p>
    <w:p>
      <w:pPr>
        <w:ind w:left="400" w:right="2500" w:hanging="397"/>
        <w:spacing w:after="0" w:line="350" w:lineRule="auto"/>
        <w:tabs>
          <w:tab w:leader="none" w:pos="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Smith also served as a member of the Board of Directors of the Company between February 1982 and February 1984.</w:t>
      </w:r>
    </w:p>
    <w:p>
      <w:pPr>
        <w:spacing w:after="0" w:line="17" w:lineRule="exact"/>
        <w:rPr>
          <w:sz w:val="20"/>
          <w:szCs w:val="20"/>
          <w:color w:val="auto"/>
        </w:rPr>
      </w:pPr>
    </w:p>
    <w:p>
      <w:pPr>
        <w:ind w:right="2300" w:firstLine="401"/>
        <w:spacing w:after="0" w:line="350" w:lineRule="auto"/>
        <w:rPr>
          <w:sz w:val="20"/>
          <w:szCs w:val="20"/>
          <w:color w:val="auto"/>
        </w:rPr>
      </w:pPr>
      <w:r>
        <w:rPr>
          <w:rFonts w:ascii="Courier New" w:cs="Courier New" w:eastAsia="Courier New" w:hAnsi="Courier New"/>
          <w:sz w:val="17"/>
          <w:szCs w:val="17"/>
          <w:color w:val="auto"/>
        </w:rPr>
        <w:t>Each of the nominees has been engaged in the principal occupations set forth below during the past five years:</w:t>
      </w:r>
    </w:p>
    <w:p>
      <w:pPr>
        <w:spacing w:after="0" w:line="17" w:lineRule="exact"/>
        <w:rPr>
          <w:sz w:val="20"/>
          <w:szCs w:val="20"/>
          <w:color w:val="auto"/>
        </w:rPr>
      </w:pPr>
    </w:p>
    <w:p>
      <w:pPr>
        <w:ind w:right="2500" w:firstLine="401"/>
        <w:spacing w:after="0" w:line="247" w:lineRule="auto"/>
        <w:rPr>
          <w:sz w:val="20"/>
          <w:szCs w:val="20"/>
          <w:color w:val="auto"/>
        </w:rPr>
      </w:pPr>
      <w:r>
        <w:rPr>
          <w:rFonts w:ascii="Courier New" w:cs="Courier New" w:eastAsia="Courier New" w:hAnsi="Courier New"/>
          <w:sz w:val="17"/>
          <w:szCs w:val="17"/>
          <w:color w:val="auto"/>
        </w:rPr>
        <w:t>STEVEN R. APPLETON joined the Company in February 1983 and has served in various capacities with the Company and its subsidiaries. Mr. Appleton first became an officer of the Company in August 1989 and has served in various officer positions, including overseeing the Company's semiconductor operations as President, Chief Executive Officer and Director of Micron</w:t>
      </w:r>
    </w:p>
    <w:p>
      <w:pPr>
        <w:spacing w:after="0" w:line="3" w:lineRule="exact"/>
        <w:rPr>
          <w:sz w:val="20"/>
          <w:szCs w:val="20"/>
          <w:color w:val="auto"/>
        </w:rPr>
      </w:pPr>
    </w:p>
    <w:p>
      <w:pPr>
        <w:ind w:right="2300"/>
        <w:spacing w:after="0" w:line="313" w:lineRule="auto"/>
        <w:rPr>
          <w:sz w:val="20"/>
          <w:szCs w:val="20"/>
          <w:color w:val="auto"/>
        </w:rPr>
      </w:pPr>
      <w:r>
        <w:rPr>
          <w:rFonts w:ascii="Courier New" w:cs="Courier New" w:eastAsia="Courier New" w:hAnsi="Courier New"/>
          <w:sz w:val="17"/>
          <w:szCs w:val="17"/>
          <w:color w:val="auto"/>
        </w:rPr>
        <w:t>Semiconductor, Inc. ("MSI"), then a wholly-owned subsidiary of the Company, from July 1992 to November 1994. From April 1991 until July 1992 and</w:t>
      </w:r>
    </w:p>
    <w:p>
      <w:pPr>
        <w:spacing w:after="0" w:line="4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320"/>
          </w:cols>
          <w:pgMar w:left="240" w:top="471" w:right="1339" w:bottom="1155" w:gutter="0" w:footer="0" w:header="0"/>
        </w:sectPr>
      </w:pPr>
    </w:p>
    <w:bookmarkStart w:id="6" w:name="page7"/>
    <w:bookmarkEnd w:id="6"/>
    <w:p>
      <w:pPr>
        <w:ind w:right="2199"/>
        <w:spacing w:after="0" w:line="267" w:lineRule="auto"/>
        <w:rPr>
          <w:sz w:val="20"/>
          <w:szCs w:val="20"/>
          <w:color w:val="auto"/>
        </w:rPr>
      </w:pPr>
      <w:r>
        <w:rPr>
          <w:rFonts w:ascii="Courier New" w:cs="Courier New" w:eastAsia="Courier New" w:hAnsi="Courier New"/>
          <w:sz w:val="17"/>
          <w:szCs w:val="17"/>
          <w:color w:val="auto"/>
        </w:rPr>
        <w:t>since May 1994, Mr. Appleton has served on the Company's Board of Directors. Since September 1994, Mr. Appleton has served as the Chief Executive Officer, President and Chairman of the Board of Directors of the Company. Mr. Appleton also serves as a Director of MEI. Mr. Appleton holds a BA in Business Management from Boise State University.</w:t>
      </w:r>
    </w:p>
    <w:p>
      <w:pPr>
        <w:spacing w:after="0" w:line="85" w:lineRule="exact"/>
        <w:rPr>
          <w:sz w:val="20"/>
          <w:szCs w:val="20"/>
          <w:color w:val="auto"/>
        </w:rPr>
      </w:pPr>
    </w:p>
    <w:p>
      <w:pPr>
        <w:ind w:right="2799" w:firstLine="401"/>
        <w:spacing w:after="0" w:line="268" w:lineRule="auto"/>
        <w:rPr>
          <w:sz w:val="20"/>
          <w:szCs w:val="20"/>
          <w:color w:val="auto"/>
        </w:rPr>
      </w:pPr>
      <w:r>
        <w:rPr>
          <w:rFonts w:ascii="Courier New" w:cs="Courier New" w:eastAsia="Courier New" w:hAnsi="Courier New"/>
          <w:sz w:val="16"/>
          <w:szCs w:val="16"/>
          <w:color w:val="auto"/>
        </w:rPr>
        <w:t>JAMES W. BAGLEY became the Chairman and Chief Executive Officer of Lam Research Corporation ("Lam"), a supplier of semiconductor manufacturing equipment, in August 1997, upon consummation of a merger of OnTrak</w:t>
      </w:r>
    </w:p>
    <w:p>
      <w:pPr>
        <w:spacing w:after="0" w:line="1" w:lineRule="exact"/>
        <w:rPr>
          <w:sz w:val="20"/>
          <w:szCs w:val="20"/>
          <w:color w:val="auto"/>
        </w:rPr>
      </w:pPr>
    </w:p>
    <w:p>
      <w:pPr>
        <w:ind w:right="2399"/>
        <w:spacing w:after="0" w:line="255" w:lineRule="auto"/>
        <w:rPr>
          <w:sz w:val="20"/>
          <w:szCs w:val="20"/>
          <w:color w:val="auto"/>
        </w:rPr>
      </w:pPr>
      <w:r>
        <w:rPr>
          <w:rFonts w:ascii="Courier New" w:cs="Courier New" w:eastAsia="Courier New" w:hAnsi="Courier New"/>
          <w:sz w:val="16"/>
          <w:szCs w:val="16"/>
          <w:color w:val="auto"/>
        </w:rPr>
        <w:t>Systems, Inc. ("OnTrak"), a supplier of semiconductor manufacturing equipment, into Lam. From June 1996 to August 1997, Mr. Bagley served as the Chairman and Chief Executive Officer of OnTrak. Prior to joining OnTrak, Mr. Bagley was employed by Applied Materials, Inc., also a supplier of semiconductor manufacturing equipment, for 15 years in various senior management positions, including Chief Operating Officer and Vice Chairman of the Board. Mr. Bagley currently is a Director of three suppliers of semiconductor manufacturing equipment: KLA-Tencor Corporation, Teradyne, Inc. and Kulicke &amp; Soffe Industries, Inc. He has served on the Company's Board of Directors since</w:t>
      </w:r>
    </w:p>
    <w:p>
      <w:pPr>
        <w:spacing w:after="0" w:line="1" w:lineRule="exact"/>
        <w:rPr>
          <w:sz w:val="20"/>
          <w:szCs w:val="20"/>
          <w:color w:val="auto"/>
        </w:rPr>
      </w:pPr>
    </w:p>
    <w:p>
      <w:pPr>
        <w:ind w:right="2299"/>
        <w:spacing w:after="0" w:line="313" w:lineRule="auto"/>
        <w:rPr>
          <w:sz w:val="20"/>
          <w:szCs w:val="20"/>
          <w:color w:val="auto"/>
        </w:rPr>
      </w:pPr>
      <w:r>
        <w:rPr>
          <w:rFonts w:ascii="Courier New" w:cs="Courier New" w:eastAsia="Courier New" w:hAnsi="Courier New"/>
          <w:sz w:val="17"/>
          <w:szCs w:val="17"/>
          <w:color w:val="auto"/>
        </w:rPr>
        <w:t>June 1997. Mr. Bagley holds a BS in Electrical Engineering and MS in Electrical Engineering from Mississippi State University.</w:t>
      </w:r>
    </w:p>
    <w:p>
      <w:pPr>
        <w:spacing w:after="0" w:line="46" w:lineRule="exact"/>
        <w:rPr>
          <w:sz w:val="20"/>
          <w:szCs w:val="20"/>
          <w:color w:val="auto"/>
        </w:rPr>
      </w:pPr>
    </w:p>
    <w:p>
      <w:pPr>
        <w:ind w:right="2399" w:firstLine="401"/>
        <w:spacing w:after="0" w:line="258" w:lineRule="auto"/>
        <w:rPr>
          <w:sz w:val="20"/>
          <w:szCs w:val="20"/>
          <w:color w:val="auto"/>
        </w:rPr>
      </w:pPr>
      <w:r>
        <w:rPr>
          <w:rFonts w:ascii="Courier New" w:cs="Courier New" w:eastAsia="Courier New" w:hAnsi="Courier New"/>
          <w:sz w:val="17"/>
          <w:szCs w:val="17"/>
          <w:color w:val="auto"/>
        </w:rPr>
        <w:t>ROBERT A. LOTHROP served as Senior Vice President of J.R. Simplot Company, an agribusiness company, from January 1986 until his retirement in</w:t>
      </w:r>
    </w:p>
    <w:p>
      <w:pPr>
        <w:spacing w:after="0" w:line="1" w:lineRule="exact"/>
        <w:rPr>
          <w:sz w:val="20"/>
          <w:szCs w:val="20"/>
          <w:color w:val="auto"/>
        </w:rPr>
      </w:pPr>
    </w:p>
    <w:p>
      <w:pPr>
        <w:ind w:right="2399"/>
        <w:spacing w:after="0" w:line="258" w:lineRule="auto"/>
        <w:rPr>
          <w:sz w:val="20"/>
          <w:szCs w:val="20"/>
          <w:color w:val="auto"/>
        </w:rPr>
      </w:pPr>
      <w:r>
        <w:rPr>
          <w:rFonts w:ascii="Courier New" w:cs="Courier New" w:eastAsia="Courier New" w:hAnsi="Courier New"/>
          <w:sz w:val="17"/>
          <w:szCs w:val="17"/>
          <w:color w:val="auto"/>
        </w:rPr>
        <w:t>January 1991. From August 1986 until July 1992 and since May 1994, Mr. Lothrop has served on the Company's Board of Directors. From July 1992 until November 1994, he served as a Director of MSI. Mr. Lothrop also serves as a Director of MEI. Mr. Lothrop holds a BS in Engineering from the University of Idaho.</w:t>
      </w:r>
    </w:p>
    <w:p>
      <w:pPr>
        <w:spacing w:after="0" w:line="91" w:lineRule="exact"/>
        <w:rPr>
          <w:sz w:val="20"/>
          <w:szCs w:val="20"/>
          <w:color w:val="auto"/>
        </w:rPr>
      </w:pPr>
    </w:p>
    <w:p>
      <w:pPr>
        <w:ind w:right="2399" w:firstLine="401"/>
        <w:spacing w:after="0" w:line="258" w:lineRule="auto"/>
        <w:rPr>
          <w:sz w:val="20"/>
          <w:szCs w:val="20"/>
          <w:color w:val="auto"/>
        </w:rPr>
      </w:pPr>
      <w:r>
        <w:rPr>
          <w:rFonts w:ascii="Courier New" w:cs="Courier New" w:eastAsia="Courier New" w:hAnsi="Courier New"/>
          <w:sz w:val="17"/>
          <w:szCs w:val="17"/>
          <w:color w:val="auto"/>
        </w:rPr>
        <w:t>THOMAS T. NICHOLSON has served as Vice President and a member of the Board of Directors of Honda of Seattle and Toyota of Seattle since 1988.</w:t>
      </w:r>
    </w:p>
    <w:p>
      <w:pPr>
        <w:spacing w:after="0" w:line="1" w:lineRule="exact"/>
        <w:rPr>
          <w:sz w:val="20"/>
          <w:szCs w:val="20"/>
          <w:color w:val="auto"/>
        </w:rPr>
      </w:pPr>
    </w:p>
    <w:p>
      <w:pPr>
        <w:jc w:val="both"/>
        <w:ind w:right="2199"/>
        <w:spacing w:after="0" w:line="255" w:lineRule="auto"/>
        <w:rPr>
          <w:sz w:val="20"/>
          <w:szCs w:val="20"/>
          <w:color w:val="auto"/>
        </w:rPr>
      </w:pPr>
      <w:r>
        <w:rPr>
          <w:rFonts w:ascii="Courier New" w:cs="Courier New" w:eastAsia="Courier New" w:hAnsi="Courier New"/>
          <w:sz w:val="16"/>
          <w:szCs w:val="16"/>
          <w:color w:val="auto"/>
        </w:rPr>
        <w:t>Mr. Nicholson has also served since May 2000 as Vice President of Mountain View Equipment Company and from 1982 to May 2000 served as President of Mountain View Equipment Company. He has served on the Company's Board of Directors since</w:t>
      </w:r>
    </w:p>
    <w:p>
      <w:pPr>
        <w:spacing w:after="0"/>
        <w:rPr>
          <w:sz w:val="20"/>
          <w:szCs w:val="20"/>
          <w:color w:val="auto"/>
        </w:rPr>
      </w:pPr>
      <w:r>
        <w:rPr>
          <w:rFonts w:ascii="Courier New" w:cs="Courier New" w:eastAsia="Courier New" w:hAnsi="Courier New"/>
          <w:sz w:val="16"/>
          <w:szCs w:val="16"/>
          <w:color w:val="auto"/>
        </w:rPr>
        <w:t>May 1980. Mr. Nicholson holds a BS in Agriculture from the University of Idaho.</w:t>
      </w:r>
    </w:p>
    <w:p>
      <w:pPr>
        <w:spacing w:after="0" w:line="174"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DON J. SIMPLOT served as the President of Simplot Financial Corporation, a</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wholly-owned subsidiary of J.R. Simplot Company, from February 1985 until</w:t>
      </w:r>
    </w:p>
    <w:p>
      <w:pPr>
        <w:spacing w:after="0"/>
        <w:rPr>
          <w:sz w:val="20"/>
          <w:szCs w:val="20"/>
          <w:color w:val="auto"/>
        </w:rPr>
      </w:pPr>
      <w:r>
        <w:rPr>
          <w:rFonts w:ascii="Courier New" w:cs="Courier New" w:eastAsia="Courier New" w:hAnsi="Courier New"/>
          <w:sz w:val="16"/>
          <w:szCs w:val="16"/>
          <w:color w:val="auto"/>
        </w:rPr>
        <w:t>January 1992. Since 1955, Mr. Simplot has served in various capacities with J.R.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Simplot Company and presently serves as a Corporate Vice President. Since</w:t>
      </w:r>
    </w:p>
    <w:p>
      <w:pPr>
        <w:spacing w:after="0"/>
        <w:rPr>
          <w:sz w:val="20"/>
          <w:szCs w:val="20"/>
          <w:color w:val="auto"/>
        </w:rPr>
      </w:pPr>
      <w:r>
        <w:rPr>
          <w:rFonts w:ascii="Courier New" w:cs="Courier New" w:eastAsia="Courier New" w:hAnsi="Courier New"/>
          <w:sz w:val="16"/>
          <w:szCs w:val="16"/>
          <w:color w:val="auto"/>
        </w:rPr>
        <w:t>April 1994, he has also served as a member of the Office of the Chairman of J.R.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Simplot Company. He has served on the Company's Board of Directors since</w:t>
      </w:r>
    </w:p>
    <w:p>
      <w:pPr>
        <w:spacing w:after="0"/>
        <w:rPr>
          <w:sz w:val="20"/>
          <w:szCs w:val="20"/>
          <w:color w:val="auto"/>
        </w:rPr>
      </w:pPr>
      <w:r>
        <w:rPr>
          <w:rFonts w:ascii="Courier New" w:cs="Courier New" w:eastAsia="Courier New" w:hAnsi="Courier New"/>
          <w:sz w:val="17"/>
          <w:szCs w:val="17"/>
          <w:color w:val="auto"/>
        </w:rPr>
        <w:t>February 1982. Mr. Simplot is also a Director of IMPCO Technologies, Inc.</w:t>
      </w:r>
    </w:p>
    <w:p>
      <w:pPr>
        <w:spacing w:after="0" w:line="163" w:lineRule="exact"/>
        <w:rPr>
          <w:sz w:val="20"/>
          <w:szCs w:val="20"/>
          <w:color w:val="auto"/>
        </w:rPr>
      </w:pPr>
    </w:p>
    <w:p>
      <w:pPr>
        <w:ind w:right="2299" w:firstLine="401"/>
        <w:spacing w:after="0" w:line="267" w:lineRule="auto"/>
        <w:rPr>
          <w:sz w:val="20"/>
          <w:szCs w:val="20"/>
          <w:color w:val="auto"/>
        </w:rPr>
      </w:pPr>
      <w:r>
        <w:rPr>
          <w:rFonts w:ascii="Courier New" w:cs="Courier New" w:eastAsia="Courier New" w:hAnsi="Courier New"/>
          <w:sz w:val="16"/>
          <w:szCs w:val="16"/>
          <w:color w:val="auto"/>
        </w:rPr>
        <w:t>GORDON C. SMITH has served as Chairman and Chief Executive Officer of G. C. Smith L.L.C., a holding company for ranch operations and other investments, since May 2000 and has served as Secretary and Treasurer of SSI Management Corp., which manages food service, land, livestock and aircraft operations, since September 1994. Mr. Smith served in various management positions from July 1980 until January 1992 for Simplot Financial Corporation, a wholly-owned subsidiary of the J.R. Simplot Company. From May 1988 until his retirement in March 1994, Mr. Smith served as the President and Chief Executive Officer of J.R. Simplot Company. From September 1996 until September 1999, he served as President of Wesmar, Inc., a food service company. From February 1982 until February 1984 and since September 1990, he has served on the Company's Board of Directors. Mr. Smith holds a BS in Accounting from Idaho State University.</w:t>
      </w:r>
    </w:p>
    <w:p>
      <w:pPr>
        <w:spacing w:after="0" w:line="86" w:lineRule="exact"/>
        <w:rPr>
          <w:sz w:val="20"/>
          <w:szCs w:val="20"/>
          <w:color w:val="auto"/>
        </w:rPr>
      </w:pPr>
    </w:p>
    <w:p>
      <w:pPr>
        <w:ind w:right="2199" w:firstLine="401"/>
        <w:spacing w:after="0" w:line="271" w:lineRule="auto"/>
        <w:rPr>
          <w:sz w:val="20"/>
          <w:szCs w:val="20"/>
          <w:color w:val="auto"/>
        </w:rPr>
      </w:pPr>
      <w:r>
        <w:rPr>
          <w:rFonts w:ascii="Courier New" w:cs="Courier New" w:eastAsia="Courier New" w:hAnsi="Courier New"/>
          <w:sz w:val="16"/>
          <w:szCs w:val="16"/>
          <w:color w:val="auto"/>
        </w:rPr>
        <w:t>WILLIAM P. WEBER served in various capacities with Texas Instruments Incorporated, a semiconductor manufacturing company, and its subsidiaries from 1962 until April 1998. From December 1986 until December 1993 he served as the President of Texas Instruments Incorporated's worldwide semiconductor operations and from December 1993, until his retirement in April 1998, he served as Vice Chairman of Texas Instruments Incorporated. He is a member of the Board of Directors of Unigraphics Solutions, Inc. He has served on the Company's Board of Directors since July 1998. Mr. Weber holds a BS in Engineering from Lamar University and a MS in Engineering from Southern Methodist University.</w:t>
      </w:r>
    </w:p>
    <w:p>
      <w:pPr>
        <w:spacing w:after="0" w:line="8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47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193" w:lineRule="exact"/>
        <w:rPr>
          <w:sz w:val="20"/>
          <w:szCs w:val="20"/>
          <w:color w:val="auto"/>
        </w:rPr>
      </w:pPr>
    </w:p>
    <w:p>
      <w:pPr>
        <w:ind w:right="2299" w:firstLine="401"/>
        <w:spacing w:after="0" w:line="258" w:lineRule="auto"/>
        <w:rPr>
          <w:sz w:val="20"/>
          <w:szCs w:val="20"/>
          <w:color w:val="auto"/>
        </w:rPr>
      </w:pPr>
      <w:r>
        <w:rPr>
          <w:rFonts w:ascii="Courier New" w:cs="Courier New" w:eastAsia="Courier New" w:hAnsi="Courier New"/>
          <w:sz w:val="16"/>
          <w:szCs w:val="16"/>
          <w:color w:val="auto"/>
        </w:rPr>
        <w:t>Section 16(a) of the Securities and Exchange Act of 1934 requires the Company's directors and executive officers, and persons who own beneficially more than ten percent (10%) of the Common Stock of the Company, to file reports of ownership and changes of ownership with the Securities and Exchange Commission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ten percent (10%) beneficial owners complied with all applicable filing requirements during the fiscal year ended August 31, 2000, except for Mr. Nicholson and Mr. Simplot. Timely reports on SEC Form 4 (Statement of Changes in Beneficial Ownership) were not filed for the disposition of the following shares of the Company's Common Stock which may be deemed to have been beneficially owned by Mr. Nicholson: 16,000 shares on</w:t>
      </w:r>
    </w:p>
    <w:tbl>
      <w:tblPr>
        <w:tblLayout w:type="fixed"/>
        <w:tblInd w:w="0" w:type="dxa"/>
        <w:tblCellMar>
          <w:top w:w="0" w:type="dxa"/>
          <w:left w:w="0" w:type="dxa"/>
          <w:bottom w:w="0" w:type="dxa"/>
          <w:right w:w="0" w:type="dxa"/>
        </w:tblCellMar>
      </w:tblPr>
      <w:tr>
        <w:trPr>
          <w:trHeight w:val="163"/>
        </w:trPr>
        <w:tc>
          <w:tcPr>
            <w:tcW w:w="1500" w:type="dxa"/>
            <w:vAlign w:val="bottom"/>
          </w:tcPr>
          <w:p>
            <w:pPr>
              <w:ind w:left="1200"/>
              <w:spacing w:after="0" w:line="163" w:lineRule="exact"/>
              <w:rPr>
                <w:sz w:val="20"/>
                <w:szCs w:val="20"/>
                <w:color w:val="auto"/>
              </w:rPr>
            </w:pPr>
            <w:r>
              <w:rPr>
                <w:rFonts w:ascii="Courier New" w:cs="Courier New" w:eastAsia="Courier New" w:hAnsi="Courier New"/>
                <w:sz w:val="17"/>
                <w:szCs w:val="17"/>
                <w:color w:val="auto"/>
              </w:rPr>
              <w:t>by</w:t>
            </w:r>
          </w:p>
        </w:tc>
        <w:tc>
          <w:tcPr>
            <w:tcW w:w="3760" w:type="dxa"/>
            <w:vAlign w:val="bottom"/>
            <w:gridSpan w:val="2"/>
          </w:tcPr>
          <w:p>
            <w:pPr>
              <w:jc w:val="right"/>
              <w:spacing w:after="0" w:line="163" w:lineRule="exact"/>
              <w:rPr>
                <w:sz w:val="20"/>
                <w:szCs w:val="20"/>
                <w:color w:val="auto"/>
              </w:rPr>
            </w:pPr>
            <w:r>
              <w:rPr>
                <w:rFonts w:ascii="Courier New" w:cs="Courier New" w:eastAsia="Courier New" w:hAnsi="Courier New"/>
                <w:sz w:val="17"/>
                <w:szCs w:val="17"/>
                <w:color w:val="auto"/>
                <w:w w:val="98"/>
              </w:rPr>
              <w:t>Miller-Nicholson, Inc.; 14,000 shares</w:t>
            </w:r>
          </w:p>
        </w:tc>
        <w:tc>
          <w:tcPr>
            <w:tcW w:w="900" w:type="dxa"/>
            <w:vAlign w:val="bottom"/>
          </w:tcPr>
          <w:p>
            <w:pPr>
              <w:ind w:left="60"/>
              <w:spacing w:after="0" w:line="163" w:lineRule="exact"/>
              <w:rPr>
                <w:sz w:val="20"/>
                <w:szCs w:val="20"/>
                <w:color w:val="auto"/>
              </w:rPr>
            </w:pPr>
            <w:r>
              <w:rPr>
                <w:rFonts w:ascii="Courier New" w:cs="Courier New" w:eastAsia="Courier New" w:hAnsi="Courier New"/>
                <w:sz w:val="17"/>
                <w:szCs w:val="17"/>
                <w:color w:val="auto"/>
              </w:rPr>
              <w:t>on</w:t>
            </w:r>
          </w:p>
        </w:tc>
        <w:tc>
          <w:tcPr>
            <w:tcW w:w="1860" w:type="dxa"/>
            <w:vAlign w:val="bottom"/>
          </w:tcPr>
          <w:p>
            <w:pPr>
              <w:ind w:left="660"/>
              <w:spacing w:after="0" w:line="163" w:lineRule="exact"/>
              <w:rPr>
                <w:sz w:val="20"/>
                <w:szCs w:val="20"/>
                <w:color w:val="auto"/>
              </w:rPr>
            </w:pPr>
            <w:r>
              <w:rPr>
                <w:rFonts w:ascii="Courier New" w:cs="Courier New" w:eastAsia="Courier New" w:hAnsi="Courier New"/>
                <w:sz w:val="17"/>
                <w:szCs w:val="17"/>
                <w:color w:val="auto"/>
              </w:rPr>
              <w:t>by MN</w:t>
            </w:r>
          </w:p>
        </w:tc>
      </w:tr>
      <w:tr>
        <w:trPr>
          <w:trHeight w:val="193"/>
        </w:trPr>
        <w:tc>
          <w:tcPr>
            <w:tcW w:w="1500" w:type="dxa"/>
            <w:vAlign w:val="bottom"/>
          </w:tcPr>
          <w:p>
            <w:pPr>
              <w:spacing w:after="0"/>
              <w:rPr>
                <w:sz w:val="20"/>
                <w:szCs w:val="20"/>
                <w:color w:val="auto"/>
              </w:rPr>
            </w:pPr>
            <w:r>
              <w:rPr>
                <w:rFonts w:ascii="Courier New" w:cs="Courier New" w:eastAsia="Courier New" w:hAnsi="Courier New"/>
                <w:sz w:val="17"/>
                <w:szCs w:val="17"/>
                <w:color w:val="auto"/>
              </w:rPr>
              <w:t>One, Inc.; and</w:t>
            </w:r>
          </w:p>
        </w:tc>
        <w:tc>
          <w:tcPr>
            <w:tcW w:w="1860" w:type="dxa"/>
            <w:vAlign w:val="bottom"/>
          </w:tcPr>
          <w:p>
            <w:pPr>
              <w:spacing w:after="0"/>
              <w:rPr>
                <w:sz w:val="20"/>
                <w:szCs w:val="20"/>
                <w:color w:val="auto"/>
              </w:rPr>
            </w:pPr>
            <w:r>
              <w:rPr>
                <w:rFonts w:ascii="Courier New" w:cs="Courier New" w:eastAsia="Courier New" w:hAnsi="Courier New"/>
                <w:sz w:val="17"/>
                <w:szCs w:val="17"/>
                <w:color w:val="auto"/>
              </w:rPr>
              <w:t>10,000 shares on</w:t>
            </w:r>
          </w:p>
        </w:tc>
        <w:tc>
          <w:tcPr>
            <w:tcW w:w="4660" w:type="dxa"/>
            <w:vAlign w:val="bottom"/>
            <w:gridSpan w:val="3"/>
          </w:tcPr>
          <w:p>
            <w:pPr>
              <w:ind w:left="1060"/>
              <w:spacing w:after="0"/>
              <w:rPr>
                <w:sz w:val="20"/>
                <w:szCs w:val="20"/>
                <w:color w:val="auto"/>
              </w:rPr>
            </w:pPr>
            <w:r>
              <w:rPr>
                <w:rFonts w:ascii="Courier New" w:cs="Courier New" w:eastAsia="Courier New" w:hAnsi="Courier New"/>
                <w:sz w:val="17"/>
                <w:szCs w:val="17"/>
                <w:color w:val="auto"/>
              </w:rPr>
              <w:t>by MN II, Inc. In addition,</w:t>
            </w:r>
          </w:p>
        </w:tc>
      </w:tr>
      <w:tr>
        <w:trPr>
          <w:trHeight w:val="193"/>
        </w:trPr>
        <w:tc>
          <w:tcPr>
            <w:tcW w:w="3360" w:type="dxa"/>
            <w:vAlign w:val="bottom"/>
            <w:gridSpan w:val="2"/>
          </w:tcPr>
          <w:p>
            <w:pPr>
              <w:spacing w:after="0"/>
              <w:rPr>
                <w:sz w:val="20"/>
                <w:szCs w:val="20"/>
                <w:color w:val="auto"/>
              </w:rPr>
            </w:pPr>
            <w:r>
              <w:rPr>
                <w:rFonts w:ascii="Courier New" w:cs="Courier New" w:eastAsia="Courier New" w:hAnsi="Courier New"/>
                <w:sz w:val="17"/>
                <w:szCs w:val="17"/>
                <w:color w:val="auto"/>
                <w:w w:val="99"/>
              </w:rPr>
              <w:t>Mr. Simplot did not timely report</w:t>
            </w:r>
          </w:p>
        </w:tc>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the acquisition of</w:t>
            </w:r>
          </w:p>
        </w:tc>
        <w:tc>
          <w:tcPr>
            <w:tcW w:w="276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808 shares of the Company's</w:t>
            </w:r>
          </w:p>
        </w:tc>
      </w:tr>
      <w:tr>
        <w:trPr>
          <w:trHeight w:val="223"/>
        </w:trPr>
        <w:tc>
          <w:tcPr>
            <w:tcW w:w="1500" w:type="dxa"/>
            <w:vAlign w:val="bottom"/>
          </w:tcPr>
          <w:p>
            <w:pPr>
              <w:spacing w:after="0"/>
              <w:rPr>
                <w:sz w:val="20"/>
                <w:szCs w:val="20"/>
                <w:color w:val="auto"/>
              </w:rPr>
            </w:pPr>
            <w:r>
              <w:rPr>
                <w:rFonts w:ascii="Courier New" w:cs="Courier New" w:eastAsia="Courier New" w:hAnsi="Courier New"/>
                <w:sz w:val="17"/>
                <w:szCs w:val="17"/>
                <w:color w:val="auto"/>
                <w:w w:val="96"/>
              </w:rPr>
              <w:t>Common Stock on</w:t>
            </w:r>
          </w:p>
        </w:tc>
        <w:tc>
          <w:tcPr>
            <w:tcW w:w="1860" w:type="dxa"/>
            <w:vAlign w:val="bottom"/>
          </w:tcPr>
          <w:p>
            <w:pPr>
              <w:ind w:left="1300"/>
              <w:spacing w:after="0"/>
              <w:rPr>
                <w:sz w:val="20"/>
                <w:szCs w:val="20"/>
                <w:color w:val="auto"/>
              </w:rPr>
            </w:pPr>
            <w:r>
              <w:rPr>
                <w:rFonts w:ascii="Courier New" w:cs="Courier New" w:eastAsia="Courier New" w:hAnsi="Courier New"/>
                <w:sz w:val="17"/>
                <w:szCs w:val="17"/>
                <w:color w:val="auto"/>
              </w:rPr>
              <w:t>. All</w:t>
            </w:r>
          </w:p>
        </w:tc>
        <w:tc>
          <w:tcPr>
            <w:tcW w:w="1900" w:type="dxa"/>
            <w:vAlign w:val="bottom"/>
          </w:tcPr>
          <w:p>
            <w:pPr>
              <w:jc w:val="right"/>
              <w:spacing w:after="0"/>
              <w:rPr>
                <w:sz w:val="20"/>
                <w:szCs w:val="20"/>
                <w:color w:val="auto"/>
              </w:rPr>
            </w:pPr>
            <w:r>
              <w:rPr>
                <w:rFonts w:ascii="Courier New" w:cs="Courier New" w:eastAsia="Courier New" w:hAnsi="Courier New"/>
                <w:sz w:val="17"/>
                <w:szCs w:val="17"/>
                <w:color w:val="auto"/>
              </w:rPr>
              <w:t>of the above share</w:t>
            </w:r>
          </w:p>
        </w:tc>
        <w:tc>
          <w:tcPr>
            <w:tcW w:w="27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amounts have been adjusted</w:t>
            </w:r>
          </w:p>
        </w:tc>
      </w:tr>
    </w:tbl>
    <w:p>
      <w:pPr>
        <w:spacing w:after="0"/>
        <w:rPr>
          <w:sz w:val="20"/>
          <w:szCs w:val="20"/>
          <w:color w:val="auto"/>
        </w:rPr>
      </w:pPr>
      <w:r>
        <w:rPr>
          <w:rFonts w:ascii="Courier New" w:cs="Courier New" w:eastAsia="Courier New" w:hAnsi="Courier New"/>
          <w:sz w:val="17"/>
          <w:szCs w:val="17"/>
          <w:color w:val="auto"/>
        </w:rPr>
        <w:t>for the Company's 2-for-1 stock split which was effected on May 1,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During fiscal 2000, TI purchased used equipment from the Company.</w:t>
      </w:r>
    </w:p>
    <w:p>
      <w:pPr>
        <w:spacing w:after="0" w:line="193" w:lineRule="exact"/>
        <w:rPr>
          <w:sz w:val="20"/>
          <w:szCs w:val="20"/>
          <w:color w:val="auto"/>
        </w:rPr>
      </w:pPr>
    </w:p>
    <w:p>
      <w:pPr>
        <w:jc w:val="both"/>
        <w:ind w:right="2799" w:firstLine="401"/>
        <w:spacing w:after="0" w:line="295" w:lineRule="auto"/>
        <w:rPr>
          <w:sz w:val="20"/>
          <w:szCs w:val="20"/>
          <w:color w:val="auto"/>
        </w:rPr>
      </w:pPr>
      <w:r>
        <w:rPr>
          <w:rFonts w:ascii="Courier New" w:cs="Courier New" w:eastAsia="Courier New" w:hAnsi="Courier New"/>
          <w:sz w:val="17"/>
          <w:szCs w:val="17"/>
          <w:color w:val="auto"/>
        </w:rPr>
        <w:t>During fiscal 2000, the Company purchased semiconductor manufacturing equipment and related services from Lam Research Corporation and sold used equipment to Lam Research Corporation.</w:t>
      </w:r>
    </w:p>
    <w:p>
      <w:pPr>
        <w:sectPr>
          <w:pgSz w:w="11900" w:h="16838" w:orient="portrait"/>
          <w:cols w:equalWidth="0" w:num="1">
            <w:col w:w="10219"/>
          </w:cols>
          <w:pgMar w:left="240" w:top="471" w:right="1440" w:bottom="1440" w:gutter="0" w:footer="0" w:header="0"/>
        </w:sectPr>
      </w:pPr>
    </w:p>
    <w:p>
      <w:pPr>
        <w:spacing w:after="0" w:line="61" w:lineRule="exact"/>
        <w:rPr>
          <w:sz w:val="20"/>
          <w:szCs w:val="20"/>
          <w:color w:val="auto"/>
        </w:rPr>
      </w:pPr>
    </w:p>
    <w:p>
      <w:pPr>
        <w:ind w:firstLine="401"/>
        <w:spacing w:after="0" w:line="350" w:lineRule="auto"/>
        <w:rPr>
          <w:sz w:val="20"/>
          <w:szCs w:val="20"/>
          <w:color w:val="auto"/>
        </w:rPr>
      </w:pPr>
      <w:r>
        <w:rPr>
          <w:rFonts w:ascii="Courier New" w:cs="Courier New" w:eastAsia="Courier New" w:hAnsi="Courier New"/>
          <w:sz w:val="17"/>
          <w:szCs w:val="17"/>
          <w:color w:val="auto"/>
        </w:rPr>
        <w:t>During fiscal 2000, J.R. Simplot Company purchase $ equipment and e-services from MEI.</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computer</w:t>
      </w:r>
    </w:p>
    <w:p>
      <w:pPr>
        <w:spacing w:after="0" w:line="397" w:lineRule="exact"/>
        <w:rPr>
          <w:sz w:val="20"/>
          <w:szCs w:val="20"/>
          <w:color w:val="auto"/>
        </w:rPr>
      </w:pPr>
    </w:p>
    <w:p>
      <w:pPr>
        <w:sectPr>
          <w:pgSz w:w="11900" w:h="16838" w:orient="portrait"/>
          <w:cols w:equalWidth="0" w:num="2">
            <w:col w:w="5520" w:space="600"/>
            <w:col w:w="4099"/>
          </w:cols>
          <w:pgMar w:left="240" w:top="471" w:right="1440" w:bottom="1440" w:gutter="0" w:footer="0" w:header="0"/>
          <w:type w:val="continuous"/>
        </w:sectPr>
      </w:pPr>
    </w:p>
    <w:p>
      <w:pPr>
        <w:ind w:left="400"/>
        <w:spacing w:after="0"/>
        <w:tabs>
          <w:tab w:leader="none" w:pos="4800" w:val="left"/>
        </w:tabs>
        <w:rPr>
          <w:sz w:val="20"/>
          <w:szCs w:val="20"/>
          <w:color w:val="auto"/>
        </w:rPr>
      </w:pPr>
      <w:r>
        <w:rPr>
          <w:rFonts w:ascii="Courier New" w:cs="Courier New" w:eastAsia="Courier New" w:hAnsi="Courier New"/>
          <w:sz w:val="17"/>
          <w:szCs w:val="17"/>
          <w:color w:val="auto"/>
        </w:rPr>
        <w:t>During fiscal 2000, the Company paid $</w:t>
      </w:r>
      <w:r>
        <w:rPr>
          <w:sz w:val="20"/>
          <w:szCs w:val="20"/>
          <w:color w:val="auto"/>
        </w:rPr>
        <w:tab/>
      </w:r>
      <w:r>
        <w:rPr>
          <w:rFonts w:ascii="Courier New" w:cs="Courier New" w:eastAsia="Courier New" w:hAnsi="Courier New"/>
          <w:sz w:val="16"/>
          <w:szCs w:val="16"/>
          <w:color w:val="auto"/>
        </w:rPr>
        <w:t>for discount admission tickets</w:t>
      </w:r>
    </w:p>
    <w:p>
      <w:pPr>
        <w:sectPr>
          <w:pgSz w:w="11900" w:h="16838" w:orient="portrait"/>
          <w:cols w:equalWidth="0" w:num="1">
            <w:col w:w="10219"/>
          </w:cols>
          <w:pgMar w:left="240" w:top="471" w:right="1440" w:bottom="1440" w:gutter="0" w:footer="0" w:header="0"/>
          <w:type w:val="continuous"/>
        </w:sectPr>
      </w:pPr>
    </w:p>
    <w:p>
      <w:pPr>
        <w:spacing w:after="0" w:line="89" w:lineRule="exact"/>
        <w:rPr>
          <w:sz w:val="20"/>
          <w:szCs w:val="20"/>
          <w:color w:val="auto"/>
        </w:rPr>
      </w:pPr>
    </w:p>
    <w:p>
      <w:pPr>
        <w:jc w:val="both"/>
        <w:ind w:right="2399"/>
        <w:spacing w:after="0"/>
        <w:rPr>
          <w:sz w:val="20"/>
          <w:szCs w:val="20"/>
          <w:color w:val="auto"/>
        </w:rPr>
      </w:pPr>
      <w:r>
        <w:rPr>
          <w:rFonts w:ascii="Courier New" w:cs="Courier New" w:eastAsia="Courier New" w:hAnsi="Courier New"/>
          <w:sz w:val="17"/>
          <w:szCs w:val="17"/>
          <w:color w:val="auto"/>
        </w:rPr>
        <w:t>to BowDen Properties, LLC d.b.a. Roaring Springs Water Park. The tickets were subsequently resold at cost to Company employees. Mr. Nicholson is a member of BowDen Properties, LLC.</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MEETINGS AND COMMITTEES</w:t>
      </w:r>
    </w:p>
    <w:p>
      <w:pPr>
        <w:spacing w:after="0" w:line="193" w:lineRule="exact"/>
        <w:rPr>
          <w:sz w:val="20"/>
          <w:szCs w:val="20"/>
          <w:color w:val="auto"/>
        </w:rPr>
      </w:pPr>
    </w:p>
    <w:p>
      <w:pPr>
        <w:jc w:val="both"/>
        <w:ind w:right="2499" w:firstLine="401"/>
        <w:spacing w:after="0" w:line="295" w:lineRule="auto"/>
        <w:rPr>
          <w:sz w:val="20"/>
          <w:szCs w:val="20"/>
          <w:color w:val="auto"/>
        </w:rPr>
      </w:pPr>
      <w:r>
        <w:rPr>
          <w:rFonts w:ascii="Courier New" w:cs="Courier New" w:eastAsia="Courier New" w:hAnsi="Courier New"/>
          <w:sz w:val="17"/>
          <w:szCs w:val="17"/>
          <w:color w:val="auto"/>
        </w:rPr>
        <w:t>The Board of Directors of the Company held a total of six meetings during the fiscal year ended August 31, 2000. The Board of Directors has a standing Audit Committee and a standing Compensation Committee.</w:t>
      </w:r>
    </w:p>
    <w:p>
      <w:pPr>
        <w:spacing w:after="0" w:line="61"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 Audit Committee held three meetings during fiscal 2000.</w:t>
      </w:r>
    </w:p>
    <w:p>
      <w:pPr>
        <w:spacing w:after="0" w:line="30" w:lineRule="exact"/>
        <w:rPr>
          <w:sz w:val="20"/>
          <w:szCs w:val="20"/>
          <w:color w:val="auto"/>
        </w:rPr>
      </w:pPr>
    </w:p>
    <w:p>
      <w:pPr>
        <w:ind w:right="2299"/>
        <w:spacing w:after="0" w:line="286" w:lineRule="auto"/>
        <w:rPr>
          <w:sz w:val="20"/>
          <w:szCs w:val="20"/>
          <w:color w:val="auto"/>
        </w:rPr>
      </w:pPr>
      <w:r>
        <w:rPr>
          <w:rFonts w:ascii="Courier New" w:cs="Courier New" w:eastAsia="Courier New" w:hAnsi="Courier New"/>
          <w:sz w:val="16"/>
          <w:szCs w:val="16"/>
          <w:color w:val="auto"/>
        </w:rPr>
        <w:t>Messrs. Nicholson, Smith, and Weber served on the Audit Committee during all of fiscal 2000. The Audit Committee is primarily responsible for reviewing the services performed by the Company's independent accountants and evaluating the Company's accounting principles and system of internal accounting controls.</w:t>
      </w:r>
    </w:p>
    <w:p>
      <w:pPr>
        <w:spacing w:after="0" w:line="7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 Compensation Committee held three meetings during fiscal 2000.</w:t>
      </w:r>
    </w:p>
    <w:p>
      <w:pPr>
        <w:spacing w:after="0" w:line="30" w:lineRule="exact"/>
        <w:rPr>
          <w:sz w:val="20"/>
          <w:szCs w:val="20"/>
          <w:color w:val="auto"/>
        </w:rPr>
      </w:pPr>
    </w:p>
    <w:p>
      <w:pPr>
        <w:ind w:right="2399"/>
        <w:spacing w:after="0" w:line="258" w:lineRule="auto"/>
        <w:rPr>
          <w:sz w:val="20"/>
          <w:szCs w:val="20"/>
          <w:color w:val="auto"/>
        </w:rPr>
      </w:pPr>
      <w:r>
        <w:rPr>
          <w:rFonts w:ascii="Courier New" w:cs="Courier New" w:eastAsia="Courier New" w:hAnsi="Courier New"/>
          <w:sz w:val="17"/>
          <w:szCs w:val="17"/>
          <w:color w:val="auto"/>
        </w:rPr>
        <w:t>Mr. Bagley, Mr. Lothrop and Mr. Nicholson served on the Compensation Committee during all of fiscal 2000. The Compensation Committee is primarily responsible for reviewing and approving the compensation for the Company's officers. See "Report of the Compensation Committee of the Board of Directors Regarding Executive Compensation."</w:t>
      </w:r>
    </w:p>
    <w:p>
      <w:pPr>
        <w:spacing w:after="0" w:line="91" w:lineRule="exact"/>
        <w:rPr>
          <w:sz w:val="20"/>
          <w:szCs w:val="20"/>
          <w:color w:val="auto"/>
        </w:rPr>
      </w:pPr>
    </w:p>
    <w:p>
      <w:pPr>
        <w:ind w:right="2699" w:firstLine="401"/>
        <w:spacing w:after="0" w:line="275" w:lineRule="auto"/>
        <w:rPr>
          <w:sz w:val="20"/>
          <w:szCs w:val="20"/>
          <w:color w:val="auto"/>
        </w:rPr>
      </w:pPr>
      <w:r>
        <w:rPr>
          <w:rFonts w:ascii="Courier New" w:cs="Courier New" w:eastAsia="Courier New" w:hAnsi="Courier New"/>
          <w:sz w:val="16"/>
          <w:szCs w:val="16"/>
          <w:color w:val="auto"/>
        </w:rPr>
        <w:t>During fiscal 2000, all incumbent directors attended 75% or more of the aggregate of (i) the total number of meetings of the Board of Directors and</w:t>
      </w:r>
    </w:p>
    <w:p>
      <w:pPr>
        <w:ind w:right="2399" w:firstLine="3"/>
        <w:spacing w:after="0" w:line="313" w:lineRule="auto"/>
        <w:tabs>
          <w:tab w:leader="none" w:pos="501"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total number of meetings of all committees of the Board on which they served.</w:t>
      </w:r>
    </w:p>
    <w:p>
      <w:pPr>
        <w:spacing w:after="0" w:line="4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471" w:right="1440" w:bottom="1440" w:gutter="0" w:footer="0" w:header="0"/>
          <w:type w:val="continuous"/>
        </w:sectPr>
      </w:pPr>
    </w:p>
    <w:bookmarkStart w:id="8" w:name="page9"/>
    <w:bookmarkEnd w:id="8"/>
    <w:p>
      <w:pPr>
        <w:jc w:val="center"/>
        <w:ind w:right="3100"/>
        <w:spacing w:after="0"/>
        <w:rPr>
          <w:sz w:val="20"/>
          <w:szCs w:val="20"/>
          <w:color w:val="auto"/>
        </w:rPr>
      </w:pPr>
      <w:r>
        <w:rPr>
          <w:rFonts w:ascii="Courier New" w:cs="Courier New" w:eastAsia="Courier New" w:hAnsi="Courier New"/>
          <w:sz w:val="17"/>
          <w:szCs w:val="17"/>
          <w:color w:val="auto"/>
        </w:rPr>
        <w:t>COMPENSATION OF DIRECTORS AND EXECUTIVE OFFICERS</w:t>
      </w:r>
    </w:p>
    <w:p>
      <w:pPr>
        <w:spacing w:after="0" w:line="193" w:lineRule="exact"/>
        <w:rPr>
          <w:sz w:val="20"/>
          <w:szCs w:val="20"/>
          <w:color w:val="auto"/>
        </w:rPr>
      </w:pPr>
    </w:p>
    <w:p>
      <w:pPr>
        <w:ind w:right="3100" w:firstLine="401"/>
        <w:spacing w:after="0" w:line="267" w:lineRule="auto"/>
        <w:rPr>
          <w:sz w:val="20"/>
          <w:szCs w:val="20"/>
          <w:color w:val="auto"/>
        </w:rPr>
      </w:pPr>
      <w:r>
        <w:rPr>
          <w:rFonts w:ascii="Courier New" w:cs="Courier New" w:eastAsia="Courier New" w:hAnsi="Courier New"/>
          <w:sz w:val="17"/>
          <w:szCs w:val="17"/>
          <w:color w:val="auto"/>
        </w:rPr>
        <w:t>The following table shows all compensation earned by the Company's Chief Executive Officer and the Company's other four most highly compensated executive officers who were serving as executive officers at the end of fiscal 2000 for all services rendered to the Company and its subsidiaries for each of the last three completed fiscal years: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020" w:type="dxa"/>
            <w:vAlign w:val="bottom"/>
            <w:gridSpan w:val="3"/>
          </w:tcPr>
          <w:p>
            <w:pPr>
              <w:ind w:left="2700"/>
              <w:spacing w:after="0"/>
              <w:rPr>
                <w:sz w:val="20"/>
                <w:szCs w:val="20"/>
                <w:color w:val="auto"/>
              </w:rPr>
            </w:pPr>
            <w:r>
              <w:rPr>
                <w:rFonts w:ascii="Courier New" w:cs="Courier New" w:eastAsia="Courier New" w:hAnsi="Courier New"/>
                <w:sz w:val="17"/>
                <w:szCs w:val="17"/>
                <w:color w:val="auto"/>
              </w:rPr>
              <w:t>SUMMARY COMPENSATION TABLE</w:t>
            </w: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3"/>
        </w:trPr>
        <w:tc>
          <w:tcPr>
            <w:tcW w:w="3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LONG-TERM</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00" w:type="dxa"/>
            <w:vAlign w:val="bottom"/>
            <w:gridSpan w:val="2"/>
            <w:vMerge w:val="restart"/>
          </w:tcPr>
          <w:p>
            <w:pPr>
              <w:jc w:val="center"/>
              <w:ind w:right="96"/>
              <w:spacing w:after="0"/>
              <w:rPr>
                <w:sz w:val="20"/>
                <w:szCs w:val="20"/>
                <w:color w:val="auto"/>
              </w:rPr>
            </w:pPr>
            <w:r>
              <w:rPr>
                <w:rFonts w:ascii="Courier New" w:cs="Courier New" w:eastAsia="Courier New" w:hAnsi="Courier New"/>
                <w:sz w:val="17"/>
                <w:szCs w:val="17"/>
                <w:color w:val="auto"/>
                <w:w w:val="97"/>
              </w:rPr>
              <w:t>ANNUAL</w:t>
            </w:r>
          </w:p>
        </w:tc>
        <w:tc>
          <w:tcPr>
            <w:tcW w:w="2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COMPENSATION</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9"/>
                <w:szCs w:val="9"/>
                <w:color w:val="auto"/>
                <w:w w:val="70"/>
              </w:rPr>
              <w:t>--------------------------------------</w:t>
            </w:r>
          </w:p>
        </w:tc>
        <w:tc>
          <w:tcPr>
            <w:tcW w:w="1160" w:type="dxa"/>
            <w:vAlign w:val="bottom"/>
            <w:vMerge w:val="restart"/>
          </w:tcPr>
          <w:p>
            <w:pPr>
              <w:jc w:val="right"/>
              <w:ind w:right="276"/>
              <w:spacing w:after="0"/>
              <w:rPr>
                <w:sz w:val="20"/>
                <w:szCs w:val="20"/>
                <w:color w:val="auto"/>
              </w:rPr>
            </w:pPr>
            <w:r>
              <w:rPr>
                <w:rFonts w:ascii="Courier New" w:cs="Courier New" w:eastAsia="Courier New" w:hAnsi="Courier New"/>
                <w:sz w:val="17"/>
                <w:szCs w:val="17"/>
                <w:color w:val="auto"/>
              </w:rPr>
              <w:t>OPTIONS</w:t>
            </w:r>
          </w:p>
        </w:tc>
        <w:tc>
          <w:tcPr>
            <w:tcW w:w="1440" w:type="dxa"/>
            <w:vAlign w:val="bottom"/>
            <w:vMerge w:val="restart"/>
          </w:tcPr>
          <w:p>
            <w:pPr>
              <w:jc w:val="center"/>
              <w:ind w:right="176"/>
              <w:spacing w:after="0"/>
              <w:rPr>
                <w:sz w:val="20"/>
                <w:szCs w:val="20"/>
                <w:color w:val="auto"/>
              </w:rPr>
            </w:pPr>
            <w:r>
              <w:rPr>
                <w:rFonts w:ascii="Courier New" w:cs="Courier New" w:eastAsia="Courier New" w:hAnsi="Courier New"/>
                <w:sz w:val="17"/>
                <w:szCs w:val="17"/>
                <w:color w:val="auto"/>
                <w:w w:val="97"/>
              </w:rPr>
              <w:t>ALL OTHER</w:t>
            </w:r>
          </w:p>
        </w:tc>
        <w:tc>
          <w:tcPr>
            <w:tcW w:w="0" w:type="dxa"/>
            <w:vAlign w:val="bottom"/>
          </w:tcPr>
          <w:p>
            <w:pPr>
              <w:spacing w:after="0"/>
              <w:rPr>
                <w:sz w:val="1"/>
                <w:szCs w:val="1"/>
                <w:color w:val="auto"/>
              </w:rPr>
            </w:pPr>
          </w:p>
        </w:tc>
      </w:tr>
      <w:tr>
        <w:trPr>
          <w:trHeight w:val="193"/>
        </w:trPr>
        <w:tc>
          <w:tcPr>
            <w:tcW w:w="3660" w:type="dxa"/>
            <w:vAlign w:val="bottom"/>
          </w:tcPr>
          <w:p>
            <w:pPr>
              <w:spacing w:after="0"/>
              <w:rPr>
                <w:sz w:val="16"/>
                <w:szCs w:val="16"/>
                <w:color w:val="auto"/>
              </w:rPr>
            </w:pPr>
          </w:p>
        </w:tc>
        <w:tc>
          <w:tcPr>
            <w:tcW w:w="110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FISCAL</w:t>
            </w:r>
          </w:p>
        </w:tc>
        <w:tc>
          <w:tcPr>
            <w:tcW w:w="2300" w:type="dxa"/>
            <w:vAlign w:val="bottom"/>
            <w:gridSpan w:val="2"/>
          </w:tcPr>
          <w:p>
            <w:pPr>
              <w:jc w:val="center"/>
              <w:ind w:right="96"/>
              <w:spacing w:after="0"/>
              <w:rPr>
                <w:sz w:val="20"/>
                <w:szCs w:val="20"/>
                <w:color w:val="auto"/>
              </w:rPr>
            </w:pPr>
            <w:r>
              <w:rPr>
                <w:rFonts w:ascii="Courier New" w:cs="Courier New" w:eastAsia="Courier New" w:hAnsi="Courier New"/>
                <w:sz w:val="17"/>
                <w:szCs w:val="17"/>
                <w:color w:val="auto"/>
                <w:w w:val="98"/>
              </w:rPr>
              <w:t>COMPENSATION</w:t>
            </w:r>
          </w:p>
        </w:tc>
        <w:tc>
          <w:tcPr>
            <w:tcW w:w="1460" w:type="dxa"/>
            <w:vAlign w:val="bottom"/>
            <w:vMerge w:val="restart"/>
          </w:tcPr>
          <w:p>
            <w:pPr>
              <w:jc w:val="right"/>
              <w:ind w:right="124"/>
              <w:spacing w:after="0"/>
              <w:rPr>
                <w:sz w:val="20"/>
                <w:szCs w:val="20"/>
                <w:color w:val="auto"/>
              </w:rPr>
            </w:pPr>
            <w:r>
              <w:rPr>
                <w:rFonts w:ascii="Courier New" w:cs="Courier New" w:eastAsia="Courier New" w:hAnsi="Courier New"/>
                <w:sz w:val="17"/>
                <w:szCs w:val="17"/>
                <w:color w:val="auto"/>
              </w:rPr>
              <w:t>OTHER ANNUAL</w:t>
            </w:r>
          </w:p>
        </w:tc>
        <w:tc>
          <w:tcPr>
            <w:tcW w:w="116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vMerge w:val="restart"/>
          </w:tcPr>
          <w:p>
            <w:pPr>
              <w:spacing w:after="0"/>
              <w:rPr>
                <w:sz w:val="20"/>
                <w:szCs w:val="20"/>
                <w:color w:val="auto"/>
              </w:rPr>
            </w:pPr>
            <w:r>
              <w:rPr>
                <w:rFonts w:ascii="Courier New" w:cs="Courier New" w:eastAsia="Courier New" w:hAnsi="Courier New"/>
                <w:sz w:val="17"/>
                <w:szCs w:val="17"/>
                <w:color w:val="auto"/>
              </w:rPr>
              <w:t>NAME AND PRINCIPAL POSITION</w:t>
            </w:r>
          </w:p>
        </w:tc>
        <w:tc>
          <w:tcPr>
            <w:tcW w:w="1100" w:type="dxa"/>
            <w:vAlign w:val="bottom"/>
            <w:vMerge w:val="continue"/>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1"/>
                <w:vertAlign w:val="subscript"/>
              </w:rPr>
              <w:t>SALARY(1)</w:t>
            </w:r>
            <w:r>
              <w:rPr>
                <w:rFonts w:ascii="Courier New" w:cs="Courier New" w:eastAsia="Courier New" w:hAnsi="Courier New"/>
                <w:sz w:val="10"/>
                <w:szCs w:val="10"/>
                <w:color w:val="auto"/>
                <w:w w:val="71"/>
              </w:rPr>
              <w:t>--------------------</w:t>
            </w:r>
          </w:p>
        </w:tc>
        <w:tc>
          <w:tcPr>
            <w:tcW w:w="1040" w:type="dxa"/>
            <w:vAlign w:val="bottom"/>
            <w:vMerge w:val="restart"/>
          </w:tcPr>
          <w:p>
            <w:pPr>
              <w:jc w:val="right"/>
              <w:ind w:right="156"/>
              <w:spacing w:after="0"/>
              <w:rPr>
                <w:sz w:val="20"/>
                <w:szCs w:val="20"/>
                <w:color w:val="auto"/>
              </w:rPr>
            </w:pPr>
            <w:r>
              <w:rPr>
                <w:rFonts w:ascii="Courier New" w:cs="Courier New" w:eastAsia="Courier New" w:hAnsi="Courier New"/>
                <w:sz w:val="17"/>
                <w:szCs w:val="17"/>
                <w:color w:val="auto"/>
                <w:w w:val="95"/>
              </w:rPr>
              <w:t>BONUS(2)</w:t>
            </w:r>
          </w:p>
        </w:tc>
        <w:tc>
          <w:tcPr>
            <w:tcW w:w="1460" w:type="dxa"/>
            <w:vAlign w:val="bottom"/>
            <w:vMerge w:val="continue"/>
          </w:tcPr>
          <w:p>
            <w:pPr>
              <w:spacing w:after="0"/>
              <w:rPr>
                <w:sz w:val="16"/>
                <w:szCs w:val="16"/>
                <w:color w:val="auto"/>
              </w:rPr>
            </w:pP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GRANTED</w:t>
            </w:r>
          </w:p>
        </w:tc>
        <w:tc>
          <w:tcPr>
            <w:tcW w:w="144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9"/>
              </w:rPr>
              <w:t>COMPENSATION</w:t>
            </w:r>
          </w:p>
        </w:tc>
        <w:tc>
          <w:tcPr>
            <w:tcW w:w="0" w:type="dxa"/>
            <w:vAlign w:val="bottom"/>
          </w:tcPr>
          <w:p>
            <w:pPr>
              <w:spacing w:after="0"/>
              <w:rPr>
                <w:sz w:val="1"/>
                <w:szCs w:val="1"/>
                <w:color w:val="auto"/>
              </w:rPr>
            </w:pPr>
          </w:p>
        </w:tc>
      </w:tr>
      <w:tr>
        <w:trPr>
          <w:trHeight w:val="193"/>
        </w:trPr>
        <w:tc>
          <w:tcPr>
            <w:tcW w:w="3660" w:type="dxa"/>
            <w:vAlign w:val="bottom"/>
            <w:vMerge w:val="continue"/>
          </w:tcPr>
          <w:p>
            <w:pPr>
              <w:spacing w:after="0"/>
              <w:rPr>
                <w:sz w:val="16"/>
                <w:szCs w:val="16"/>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YEAR</w:t>
            </w:r>
          </w:p>
        </w:tc>
        <w:tc>
          <w:tcPr>
            <w:tcW w:w="12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460" w:type="dxa"/>
            <w:vAlign w:val="bottom"/>
          </w:tcPr>
          <w:p>
            <w:pPr>
              <w:jc w:val="right"/>
              <w:ind w:right="124"/>
              <w:spacing w:after="0"/>
              <w:rPr>
                <w:sz w:val="20"/>
                <w:szCs w:val="20"/>
                <w:color w:val="auto"/>
              </w:rPr>
            </w:pPr>
            <w:r>
              <w:rPr>
                <w:rFonts w:ascii="Courier New" w:cs="Courier New" w:eastAsia="Courier New" w:hAnsi="Courier New"/>
                <w:sz w:val="17"/>
                <w:szCs w:val="17"/>
                <w:color w:val="auto"/>
              </w:rPr>
              <w:t>COMPENSATION</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(3)(4)</w:t>
            </w:r>
          </w:p>
        </w:tc>
        <w:tc>
          <w:tcPr>
            <w:tcW w:w="14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(5)</w:t>
            </w:r>
          </w:p>
        </w:tc>
        <w:tc>
          <w:tcPr>
            <w:tcW w:w="0" w:type="dxa"/>
            <w:vAlign w:val="bottom"/>
          </w:tcPr>
          <w:p>
            <w:pPr>
              <w:spacing w:after="0"/>
              <w:rPr>
                <w:sz w:val="1"/>
                <w:szCs w:val="1"/>
                <w:color w:val="auto"/>
              </w:rPr>
            </w:pPr>
          </w:p>
        </w:tc>
      </w:tr>
      <w:tr>
        <w:trPr>
          <w:trHeight w:val="281"/>
        </w:trPr>
        <w:tc>
          <w:tcPr>
            <w:tcW w:w="36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0"/>
                <w:szCs w:val="20"/>
                <w:color w:val="auto"/>
              </w:rPr>
            </w:pPr>
            <w:r>
              <w:rPr>
                <w:rFonts w:ascii="Courier New" w:cs="Courier New" w:eastAsia="Courier New" w:hAnsi="Courier New"/>
                <w:sz w:val="17"/>
                <w:szCs w:val="17"/>
                <w:color w:val="auto"/>
              </w:rPr>
              <w:t>Steven R. Appleton ................</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2000</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Chairman, CEO &amp; President</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1999</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vMerge w:val="restart"/>
          </w:tcPr>
          <w:p>
            <w:pPr>
              <w:spacing w:after="0"/>
              <w:rPr>
                <w:sz w:val="20"/>
                <w:szCs w:val="20"/>
                <w:color w:val="auto"/>
              </w:rPr>
            </w:pPr>
            <w:r>
              <w:rPr>
                <w:rFonts w:ascii="Courier New" w:cs="Courier New" w:eastAsia="Courier New" w:hAnsi="Courier New"/>
                <w:sz w:val="17"/>
                <w:szCs w:val="17"/>
                <w:color w:val="auto"/>
              </w:rPr>
              <w:t>D. Mark Durcan ....................</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1998</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vMerge w:val="continue"/>
          </w:tcPr>
          <w:p>
            <w:pPr>
              <w:spacing w:after="0"/>
              <w:rPr>
                <w:sz w:val="16"/>
                <w:szCs w:val="16"/>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2000</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CTO &amp; Vice President of Research</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1999</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&amp; Development</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1998</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tcPr>
          <w:p>
            <w:pPr>
              <w:spacing w:after="0"/>
              <w:rPr>
                <w:sz w:val="20"/>
                <w:szCs w:val="20"/>
                <w:color w:val="auto"/>
              </w:rPr>
            </w:pPr>
            <w:r>
              <w:rPr>
                <w:rFonts w:ascii="Courier New" w:cs="Courier New" w:eastAsia="Courier New" w:hAnsi="Courier New"/>
                <w:sz w:val="17"/>
                <w:szCs w:val="17"/>
                <w:color w:val="auto"/>
              </w:rPr>
              <w:t>Jay L. Hawkins ....................</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2000</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of Operations</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1999</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vMerge w:val="restart"/>
          </w:tcPr>
          <w:p>
            <w:pPr>
              <w:spacing w:after="0"/>
              <w:rPr>
                <w:sz w:val="20"/>
                <w:szCs w:val="20"/>
                <w:color w:val="auto"/>
              </w:rPr>
            </w:pPr>
            <w:r>
              <w:rPr>
                <w:rFonts w:ascii="Courier New" w:cs="Courier New" w:eastAsia="Courier New" w:hAnsi="Courier New"/>
                <w:sz w:val="17"/>
                <w:szCs w:val="17"/>
                <w:color w:val="auto"/>
              </w:rPr>
              <w:t>Roderic W. Lewis ..................</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1998</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vMerge w:val="continue"/>
          </w:tcPr>
          <w:p>
            <w:pPr>
              <w:spacing w:after="0"/>
              <w:rPr>
                <w:sz w:val="16"/>
                <w:szCs w:val="16"/>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2000</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of Legal Affairs,</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1999</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General Counsel &amp; Corp. Secretary</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1998</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tcPr>
          <w:p>
            <w:pPr>
              <w:spacing w:after="0"/>
              <w:rPr>
                <w:sz w:val="20"/>
                <w:szCs w:val="20"/>
                <w:color w:val="auto"/>
              </w:rPr>
            </w:pPr>
            <w:r>
              <w:rPr>
                <w:rFonts w:ascii="Courier New" w:cs="Courier New" w:eastAsia="Courier New" w:hAnsi="Courier New"/>
                <w:sz w:val="17"/>
                <w:szCs w:val="17"/>
                <w:color w:val="auto"/>
              </w:rPr>
              <w:t>Wilbur G. Stover, Jr. .............</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2000</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60" w:type="dxa"/>
            <w:vAlign w:val="bottom"/>
          </w:tcPr>
          <w:p>
            <w:pPr>
              <w:ind w:left="200"/>
              <w:spacing w:after="0"/>
              <w:rPr>
                <w:sz w:val="20"/>
                <w:szCs w:val="20"/>
                <w:color w:val="auto"/>
              </w:rPr>
            </w:pPr>
            <w:r>
              <w:rPr>
                <w:rFonts w:ascii="Courier New" w:cs="Courier New" w:eastAsia="Courier New" w:hAnsi="Courier New"/>
                <w:sz w:val="17"/>
                <w:szCs w:val="17"/>
                <w:color w:val="auto"/>
              </w:rPr>
              <w:t>Vice President of Finance &amp; CFO</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1999</w:t>
            </w: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3660" w:type="dxa"/>
            <w:vAlign w:val="bottom"/>
          </w:tcPr>
          <w:p>
            <w:pPr>
              <w:spacing w:after="0"/>
              <w:rPr>
                <w:sz w:val="24"/>
                <w:szCs w:val="24"/>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1998</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3660" w:type="dxa"/>
            <w:vAlign w:val="bottom"/>
          </w:tcPr>
          <w:p>
            <w:pPr>
              <w:spacing w:after="0"/>
              <w:rPr>
                <w:sz w:val="24"/>
                <w:szCs w:val="24"/>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7</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71" w:right="539" w:bottom="1440" w:gutter="0" w:footer="0" w:header="0"/>
        </w:sectPr>
      </w:pPr>
    </w:p>
    <w:bookmarkStart w:id="9" w:name="page10"/>
    <w:bookmarkEnd w:id="9"/>
    <w:p>
      <w:pPr>
        <w:ind w:left="2300"/>
        <w:spacing w:after="0"/>
        <w:rPr>
          <w:sz w:val="20"/>
          <w:szCs w:val="20"/>
          <w:color w:val="auto"/>
        </w:rPr>
      </w:pPr>
      <w:r>
        <w:rPr>
          <w:rFonts w:ascii="Courier New" w:cs="Courier New" w:eastAsia="Courier New" w:hAnsi="Courier New"/>
          <w:sz w:val="17"/>
          <w:szCs w:val="17"/>
          <w:color w:val="auto"/>
        </w:rPr>
        <w:t>OPTION GRANTS IN LAST FISCAL YEAR</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 following table provides information on options to purchase the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Company's Common Stock granted to the Named Executive Officers in fiscal 2000:</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10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INDIVIDUAL GRANTS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16"/>
                <w:szCs w:val="16"/>
                <w:color w:val="auto"/>
              </w:rPr>
            </w:pPr>
          </w:p>
        </w:tc>
        <w:tc>
          <w:tcPr>
            <w:tcW w:w="6520" w:type="dxa"/>
            <w:vAlign w:val="bottom"/>
            <w:gridSpan w:val="4"/>
          </w:tcPr>
          <w:p>
            <w:pPr>
              <w:ind w:left="1100"/>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3"/>
        </w:trPr>
        <w:tc>
          <w:tcPr>
            <w:tcW w:w="17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0" w:type="dxa"/>
            <w:vAlign w:val="bottom"/>
          </w:tcPr>
          <w:p>
            <w:pPr>
              <w:ind w:left="160"/>
              <w:spacing w:after="0"/>
              <w:rPr>
                <w:sz w:val="20"/>
                <w:szCs w:val="20"/>
                <w:color w:val="auto"/>
              </w:rPr>
            </w:pPr>
            <w:r>
              <w:rPr>
                <w:rFonts w:ascii="Courier New" w:cs="Courier New" w:eastAsia="Courier New" w:hAnsi="Courier New"/>
                <w:sz w:val="17"/>
                <w:szCs w:val="17"/>
                <w:color w:val="auto"/>
              </w:rPr>
              <w:t>PERCENT OF</w:t>
            </w:r>
          </w:p>
        </w:tc>
        <w:tc>
          <w:tcPr>
            <w:tcW w:w="1500" w:type="dxa"/>
            <w:vAlign w:val="bottom"/>
            <w:vMerge w:val="restart"/>
          </w:tcPr>
          <w:p>
            <w:pPr>
              <w:ind w:left="260"/>
              <w:spacing w:after="0"/>
              <w:rPr>
                <w:sz w:val="20"/>
                <w:szCs w:val="20"/>
                <w:color w:val="auto"/>
              </w:rPr>
            </w:pPr>
            <w:r>
              <w:rPr>
                <w:rFonts w:ascii="Courier New" w:cs="Courier New" w:eastAsia="Courier New" w:hAnsi="Courier New"/>
                <w:sz w:val="17"/>
                <w:szCs w:val="17"/>
                <w:color w:val="auto"/>
              </w:rPr>
              <w:t>EXERCISE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0" w:type="dxa"/>
            <w:vAlign w:val="bottom"/>
          </w:tcPr>
          <w:p>
            <w:pPr>
              <w:ind w:left="60"/>
              <w:spacing w:after="0"/>
              <w:rPr>
                <w:sz w:val="20"/>
                <w:szCs w:val="20"/>
                <w:color w:val="auto"/>
              </w:rPr>
            </w:pPr>
            <w:r>
              <w:rPr>
                <w:rFonts w:ascii="Courier New" w:cs="Courier New" w:eastAsia="Courier New" w:hAnsi="Courier New"/>
                <w:sz w:val="17"/>
                <w:szCs w:val="17"/>
                <w:color w:val="auto"/>
              </w:rPr>
              <w:t>TOTAL OPTIONS</w:t>
            </w:r>
          </w:p>
        </w:tc>
        <w:tc>
          <w:tcPr>
            <w:tcW w:w="150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00" w:type="dxa"/>
            <w:vAlign w:val="bottom"/>
          </w:tcPr>
          <w:p>
            <w:pPr>
              <w:spacing w:after="0"/>
              <w:rPr>
                <w:sz w:val="16"/>
                <w:szCs w:val="16"/>
                <w:color w:val="auto"/>
              </w:rPr>
            </w:pPr>
          </w:p>
        </w:tc>
        <w:tc>
          <w:tcPr>
            <w:tcW w:w="2160" w:type="dxa"/>
            <w:vAlign w:val="bottom"/>
            <w:vMerge w:val="restart"/>
          </w:tcPr>
          <w:p>
            <w:pPr>
              <w:ind w:left="1100"/>
              <w:spacing w:after="0"/>
              <w:rPr>
                <w:sz w:val="20"/>
                <w:szCs w:val="20"/>
                <w:color w:val="auto"/>
              </w:rPr>
            </w:pPr>
            <w:r>
              <w:rPr>
                <w:rFonts w:ascii="Courier New" w:cs="Courier New" w:eastAsia="Courier New" w:hAnsi="Courier New"/>
                <w:sz w:val="17"/>
                <w:szCs w:val="17"/>
                <w:color w:val="auto"/>
              </w:rPr>
              <w:t>OPTIONS</w:t>
            </w:r>
          </w:p>
        </w:tc>
        <w:tc>
          <w:tcPr>
            <w:tcW w:w="1600" w:type="dxa"/>
            <w:vAlign w:val="bottom"/>
          </w:tcPr>
          <w:p>
            <w:pPr>
              <w:ind w:left="160"/>
              <w:spacing w:after="0"/>
              <w:rPr>
                <w:sz w:val="20"/>
                <w:szCs w:val="20"/>
                <w:color w:val="auto"/>
              </w:rPr>
            </w:pPr>
            <w:r>
              <w:rPr>
                <w:rFonts w:ascii="Courier New" w:cs="Courier New" w:eastAsia="Courier New" w:hAnsi="Courier New"/>
                <w:sz w:val="17"/>
                <w:szCs w:val="17"/>
                <w:color w:val="auto"/>
              </w:rPr>
              <w:t>GRANTED TO</w:t>
            </w:r>
          </w:p>
        </w:tc>
        <w:tc>
          <w:tcPr>
            <w:tcW w:w="1500" w:type="dxa"/>
            <w:vAlign w:val="bottom"/>
          </w:tcPr>
          <w:p>
            <w:pPr>
              <w:ind w:left="260"/>
              <w:spacing w:after="0"/>
              <w:rPr>
                <w:sz w:val="20"/>
                <w:szCs w:val="20"/>
                <w:color w:val="auto"/>
              </w:rPr>
            </w:pPr>
            <w:r>
              <w:rPr>
                <w:rFonts w:ascii="Courier New" w:cs="Courier New" w:eastAsia="Courier New" w:hAnsi="Courier New"/>
                <w:sz w:val="17"/>
                <w:szCs w:val="17"/>
                <w:color w:val="auto"/>
              </w:rPr>
              <w:t>OR BASE</w:t>
            </w:r>
          </w:p>
        </w:tc>
        <w:tc>
          <w:tcPr>
            <w:tcW w:w="1260" w:type="dxa"/>
            <w:vAlign w:val="bottom"/>
            <w:vMerge w:val="restart"/>
          </w:tcPr>
          <w:p>
            <w:pPr>
              <w:jc w:val="center"/>
              <w:ind w:right="56"/>
              <w:spacing w:after="0"/>
              <w:rPr>
                <w:sz w:val="20"/>
                <w:szCs w:val="20"/>
                <w:color w:val="auto"/>
              </w:rPr>
            </w:pPr>
            <w:r>
              <w:rPr>
                <w:rFonts w:ascii="Courier New" w:cs="Courier New" w:eastAsia="Courier New" w:hAnsi="Courier New"/>
                <w:sz w:val="17"/>
                <w:szCs w:val="17"/>
                <w:color w:val="auto"/>
                <w:w w:val="97"/>
              </w:rPr>
              <w:t>EXPIRATION</w:t>
            </w:r>
          </w:p>
        </w:tc>
        <w:tc>
          <w:tcPr>
            <w:tcW w:w="0" w:type="dxa"/>
            <w:vAlign w:val="bottom"/>
          </w:tcPr>
          <w:p>
            <w:pPr>
              <w:spacing w:after="0"/>
              <w:rPr>
                <w:sz w:val="1"/>
                <w:szCs w:val="1"/>
                <w:color w:val="auto"/>
              </w:rPr>
            </w:pPr>
          </w:p>
        </w:tc>
      </w:tr>
      <w:tr>
        <w:trPr>
          <w:trHeight w:val="193"/>
        </w:trPr>
        <w:tc>
          <w:tcPr>
            <w:tcW w:w="170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2160" w:type="dxa"/>
            <w:vAlign w:val="bottom"/>
            <w:vMerge w:val="continue"/>
          </w:tcPr>
          <w:p>
            <w:pPr>
              <w:spacing w:after="0"/>
              <w:rPr>
                <w:sz w:val="16"/>
                <w:szCs w:val="16"/>
                <w:color w:val="auto"/>
              </w:rPr>
            </w:pPr>
          </w:p>
        </w:tc>
        <w:tc>
          <w:tcPr>
            <w:tcW w:w="1600" w:type="dxa"/>
            <w:vAlign w:val="bottom"/>
          </w:tcPr>
          <w:p>
            <w:pPr>
              <w:ind w:left="60"/>
              <w:spacing w:after="0"/>
              <w:rPr>
                <w:sz w:val="20"/>
                <w:szCs w:val="20"/>
                <w:color w:val="auto"/>
              </w:rPr>
            </w:pPr>
            <w:r>
              <w:rPr>
                <w:rFonts w:ascii="Courier New" w:cs="Courier New" w:eastAsia="Courier New" w:hAnsi="Courier New"/>
                <w:sz w:val="17"/>
                <w:szCs w:val="17"/>
                <w:color w:val="auto"/>
              </w:rPr>
              <w:t>EMPLOYEES IN</w:t>
            </w:r>
          </w:p>
        </w:tc>
        <w:tc>
          <w:tcPr>
            <w:tcW w:w="1500" w:type="dxa"/>
            <w:vAlign w:val="bottom"/>
          </w:tcPr>
          <w:p>
            <w:pPr>
              <w:ind w:left="360"/>
              <w:spacing w:after="0"/>
              <w:rPr>
                <w:sz w:val="20"/>
                <w:szCs w:val="20"/>
                <w:color w:val="auto"/>
              </w:rPr>
            </w:pPr>
            <w:r>
              <w:rPr>
                <w:rFonts w:ascii="Courier New" w:cs="Courier New" w:eastAsia="Courier New" w:hAnsi="Courier New"/>
                <w:sz w:val="17"/>
                <w:szCs w:val="17"/>
                <w:color w:val="auto"/>
              </w:rPr>
              <w:t>PRICE</w:t>
            </w: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00" w:type="dxa"/>
            <w:vAlign w:val="bottom"/>
            <w:vMerge w:val="continue"/>
          </w:tcPr>
          <w:p>
            <w:pPr>
              <w:spacing w:after="0"/>
              <w:rPr>
                <w:sz w:val="16"/>
                <w:szCs w:val="16"/>
                <w:color w:val="auto"/>
              </w:rPr>
            </w:pPr>
          </w:p>
        </w:tc>
        <w:tc>
          <w:tcPr>
            <w:tcW w:w="2160" w:type="dxa"/>
            <w:vAlign w:val="bottom"/>
          </w:tcPr>
          <w:p>
            <w:pPr>
              <w:ind w:left="1100"/>
              <w:spacing w:after="0"/>
              <w:rPr>
                <w:sz w:val="20"/>
                <w:szCs w:val="20"/>
                <w:color w:val="auto"/>
              </w:rPr>
            </w:pPr>
            <w:r>
              <w:rPr>
                <w:rFonts w:ascii="Courier New" w:cs="Courier New" w:eastAsia="Courier New" w:hAnsi="Courier New"/>
                <w:sz w:val="17"/>
                <w:szCs w:val="17"/>
                <w:color w:val="auto"/>
              </w:rPr>
              <w:t>GRANTED</w:t>
            </w:r>
          </w:p>
        </w:tc>
        <w:tc>
          <w:tcPr>
            <w:tcW w:w="1600" w:type="dxa"/>
            <w:vAlign w:val="bottom"/>
          </w:tcPr>
          <w:p>
            <w:pPr>
              <w:ind w:left="160"/>
              <w:spacing w:after="0"/>
              <w:rPr>
                <w:sz w:val="20"/>
                <w:szCs w:val="20"/>
                <w:color w:val="auto"/>
              </w:rPr>
            </w:pPr>
            <w:r>
              <w:rPr>
                <w:rFonts w:ascii="Courier New" w:cs="Courier New" w:eastAsia="Courier New" w:hAnsi="Courier New"/>
                <w:sz w:val="17"/>
                <w:szCs w:val="17"/>
                <w:color w:val="auto"/>
              </w:rPr>
              <w:t>FISCAL YEAR</w:t>
            </w:r>
          </w:p>
        </w:tc>
        <w:tc>
          <w:tcPr>
            <w:tcW w:w="1500" w:type="dxa"/>
            <w:vAlign w:val="bottom"/>
          </w:tcPr>
          <w:p>
            <w:pPr>
              <w:ind w:left="60"/>
              <w:spacing w:after="0"/>
              <w:rPr>
                <w:sz w:val="20"/>
                <w:szCs w:val="20"/>
                <w:color w:val="auto"/>
              </w:rPr>
            </w:pPr>
            <w:r>
              <w:rPr>
                <w:rFonts w:ascii="Courier New" w:cs="Courier New" w:eastAsia="Courier New" w:hAnsi="Courier New"/>
                <w:sz w:val="17"/>
                <w:szCs w:val="17"/>
                <w:color w:val="auto"/>
              </w:rPr>
              <w:t>PER SHARE(1)</w:t>
            </w:r>
          </w:p>
        </w:tc>
        <w:tc>
          <w:tcPr>
            <w:tcW w:w="1260" w:type="dxa"/>
            <w:vAlign w:val="bottom"/>
          </w:tcPr>
          <w:p>
            <w:pPr>
              <w:jc w:val="center"/>
              <w:ind w:right="56"/>
              <w:spacing w:after="0"/>
              <w:rPr>
                <w:sz w:val="20"/>
                <w:szCs w:val="20"/>
                <w:color w:val="auto"/>
              </w:rPr>
            </w:pPr>
            <w:r>
              <w:rPr>
                <w:rFonts w:ascii="Courier New" w:cs="Courier New" w:eastAsia="Courier New" w:hAnsi="Courier New"/>
                <w:sz w:val="17"/>
                <w:szCs w:val="17"/>
                <w:color w:val="auto"/>
                <w:w w:val="97"/>
              </w:rPr>
              <w:t>DATE</w:t>
            </w:r>
          </w:p>
        </w:tc>
        <w:tc>
          <w:tcPr>
            <w:tcW w:w="0" w:type="dxa"/>
            <w:vAlign w:val="bottom"/>
          </w:tcPr>
          <w:p>
            <w:pPr>
              <w:spacing w:after="0"/>
              <w:rPr>
                <w:sz w:val="1"/>
                <w:szCs w:val="1"/>
                <w:color w:val="auto"/>
              </w:rPr>
            </w:pPr>
          </w:p>
        </w:tc>
      </w:tr>
      <w:tr>
        <w:trPr>
          <w:trHeight w:val="281"/>
        </w:trPr>
        <w:tc>
          <w:tcPr>
            <w:tcW w:w="17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ind w:left="260"/>
              <w:spacing w:after="0"/>
              <w:rPr>
                <w:sz w:val="20"/>
                <w:szCs w:val="20"/>
                <w:color w:val="auto"/>
              </w:rPr>
            </w:pPr>
            <w:r>
              <w:rPr>
                <w:rFonts w:ascii="Courier New" w:cs="Courier New" w:eastAsia="Courier New" w:hAnsi="Courier New"/>
                <w:sz w:val="17"/>
                <w:szCs w:val="17"/>
                <w:color w:val="auto"/>
                <w:w w:val="99"/>
              </w:rPr>
              <w:t>-------------</w:t>
            </w:r>
          </w:p>
        </w:tc>
        <w:tc>
          <w:tcPr>
            <w:tcW w:w="1500" w:type="dxa"/>
            <w:vAlign w:val="bottom"/>
          </w:tcPr>
          <w:p>
            <w:pPr>
              <w:ind w:left="260"/>
              <w:spacing w:after="0"/>
              <w:rPr>
                <w:sz w:val="20"/>
                <w:szCs w:val="20"/>
                <w:color w:val="auto"/>
              </w:rPr>
            </w:pPr>
            <w:r>
              <w:rPr>
                <w:rFonts w:ascii="Courier New" w:cs="Courier New" w:eastAsia="Courier New" w:hAnsi="Courier New"/>
                <w:sz w:val="17"/>
                <w:szCs w:val="17"/>
                <w:color w:val="auto"/>
                <w:w w:val="99"/>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Steven R. Appleton........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Mark Durcan............</w:t>
      </w:r>
    </w:p>
    <w:p>
      <w:pPr>
        <w:spacing w:after="0"/>
        <w:rPr>
          <w:sz w:val="20"/>
          <w:szCs w:val="20"/>
          <w:color w:val="auto"/>
        </w:rPr>
      </w:pPr>
      <w:r>
        <w:rPr>
          <w:rFonts w:ascii="Courier New" w:cs="Courier New" w:eastAsia="Courier New" w:hAnsi="Courier New"/>
          <w:sz w:val="17"/>
          <w:szCs w:val="17"/>
          <w:color w:val="auto"/>
        </w:rPr>
        <w:t>Jay L. Hawkins............</w:t>
      </w:r>
    </w:p>
    <w:p>
      <w:pPr>
        <w:spacing w:after="0"/>
        <w:rPr>
          <w:sz w:val="20"/>
          <w:szCs w:val="20"/>
          <w:color w:val="auto"/>
        </w:rPr>
      </w:pPr>
      <w:r>
        <w:rPr>
          <w:rFonts w:ascii="Courier New" w:cs="Courier New" w:eastAsia="Courier New" w:hAnsi="Courier New"/>
          <w:sz w:val="17"/>
          <w:szCs w:val="17"/>
          <w:color w:val="auto"/>
        </w:rPr>
        <w:t>Roderic W. Lewis..........</w:t>
      </w:r>
    </w:p>
    <w:p>
      <w:pPr>
        <w:spacing w:after="0"/>
        <w:rPr>
          <w:sz w:val="20"/>
          <w:szCs w:val="20"/>
          <w:color w:val="auto"/>
        </w:rPr>
      </w:pPr>
      <w:r>
        <w:rPr>
          <w:rFonts w:ascii="Courier New" w:cs="Courier New" w:eastAsia="Courier New" w:hAnsi="Courier New"/>
          <w:sz w:val="17"/>
          <w:szCs w:val="17"/>
          <w:color w:val="auto"/>
        </w:rPr>
        <w:t>Wilbur G. Stover, Jr......</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ind w:left="400" w:right="600" w:hanging="397"/>
        <w:spacing w:after="0" w:line="295"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options were granted with an exercise price equal to the fair market value of the Company's Common Stock on September 27, 1999, the date of grant.</w:t>
      </w:r>
    </w:p>
    <w:p>
      <w:pPr>
        <w:spacing w:after="0" w:line="60" w:lineRule="exact"/>
        <w:rPr>
          <w:rFonts w:ascii="Courier New" w:cs="Courier New" w:eastAsia="Courier New" w:hAnsi="Courier New"/>
          <w:sz w:val="17"/>
          <w:szCs w:val="17"/>
          <w:color w:val="auto"/>
        </w:rPr>
      </w:pPr>
    </w:p>
    <w:p>
      <w:pPr>
        <w:ind w:left="400" w:right="200" w:hanging="397"/>
        <w:spacing w:after="0" w:line="262"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Potential realizable value is based on an assumption that the stock price for the Common Stock appreciates at the annual rate shown (compounded annually) from the date of grant until the end of the option term. Potential realizable value is shown net of exercise price. The numbers are calculated based on the regulations promulgated by the Commission and do not reflect the Company's estimate of future stock price growth.</w:t>
      </w:r>
    </w:p>
    <w:p>
      <w:pPr>
        <w:spacing w:after="0" w:line="88"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00"/>
        <w:spacing w:after="0" w:line="265" w:lineRule="auto"/>
        <w:rPr>
          <w:sz w:val="20"/>
          <w:szCs w:val="20"/>
          <w:color w:val="auto"/>
        </w:rPr>
      </w:pPr>
      <w:r>
        <w:rPr>
          <w:rFonts w:ascii="Courier New" w:cs="Courier New" w:eastAsia="Courier New" w:hAnsi="Courier New"/>
          <w:sz w:val="16"/>
          <w:szCs w:val="16"/>
          <w:color w:val="auto"/>
        </w:rPr>
        <w:t>POTENTIAL REALIZABLE VALUE AT ASSUMED ANNUAL RATES OF STOCK PRICE APPRECIATION FOR OPTION TERM(2)</w:t>
      </w:r>
    </w:p>
    <w:p>
      <w:pPr>
        <w:spacing w:after="0"/>
        <w:rPr>
          <w:sz w:val="20"/>
          <w:szCs w:val="20"/>
          <w:color w:val="auto"/>
        </w:rPr>
      </w:pPr>
      <w:r>
        <w:rPr>
          <w:rFonts w:ascii="Courier New" w:cs="Courier New" w:eastAsia="Courier New" w:hAnsi="Courier New"/>
          <w:sz w:val="17"/>
          <w:szCs w:val="17"/>
          <w:color w:val="auto"/>
        </w:rPr>
        <w:t>---------------------------</w:t>
      </w:r>
    </w:p>
    <w:p>
      <w:pPr>
        <w:ind w:left="500"/>
        <w:spacing w:after="0"/>
        <w:tabs>
          <w:tab w:leader="none" w:pos="1880" w:val="left"/>
        </w:tabs>
        <w:rPr>
          <w:sz w:val="20"/>
          <w:szCs w:val="20"/>
          <w:color w:val="auto"/>
        </w:rPr>
      </w:pPr>
      <w:r>
        <w:rPr>
          <w:rFonts w:ascii="Courier New" w:cs="Courier New" w:eastAsia="Courier New" w:hAnsi="Courier New"/>
          <w:sz w:val="17"/>
          <w:szCs w:val="17"/>
          <w:color w:val="auto"/>
        </w:rPr>
        <w:t>5%</w:t>
      </w:r>
      <w:r>
        <w:rPr>
          <w:sz w:val="20"/>
          <w:szCs w:val="20"/>
          <w:color w:val="auto"/>
        </w:rPr>
        <w:tab/>
      </w:r>
      <w:r>
        <w:rPr>
          <w:rFonts w:ascii="Courier New" w:cs="Courier New" w:eastAsia="Courier New" w:hAnsi="Courier New"/>
          <w:sz w:val="17"/>
          <w:szCs w:val="17"/>
          <w:color w:val="auto"/>
        </w:rPr>
        <w:t>10%</w:t>
      </w:r>
    </w:p>
    <w:p>
      <w:pPr>
        <w:ind w:left="200"/>
        <w:spacing w:after="0"/>
        <w:tabs>
          <w:tab w:leader="none" w:pos="16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2">
            <w:col w:w="8220" w:space="100"/>
            <w:col w:w="2900"/>
          </w:cols>
          <w:pgMar w:left="240" w:top="471" w:right="439" w:bottom="1440" w:gutter="0" w:footer="0" w:header="0"/>
        </w:sectPr>
      </w:pPr>
    </w:p>
    <w:bookmarkStart w:id="10" w:name="page11"/>
    <w:bookmarkEnd w:id="10"/>
    <w:p>
      <w:pPr>
        <w:jc w:val="center"/>
        <w:ind w:right="3200"/>
        <w:spacing w:after="0"/>
        <w:rPr>
          <w:sz w:val="20"/>
          <w:szCs w:val="20"/>
          <w:color w:val="auto"/>
        </w:rPr>
      </w:pPr>
      <w:r>
        <w:rPr>
          <w:rFonts w:ascii="Courier New" w:cs="Courier New" w:eastAsia="Courier New" w:hAnsi="Courier New"/>
          <w:sz w:val="17"/>
          <w:szCs w:val="17"/>
          <w:color w:val="auto"/>
        </w:rPr>
        <w:t>AGGREGATED OPTION EXERCISES IN LAST FISCAL YEAR</w:t>
      </w:r>
    </w:p>
    <w:p>
      <w:pPr>
        <w:spacing w:after="0" w:line="30"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7"/>
          <w:szCs w:val="17"/>
          <w:color w:val="auto"/>
        </w:rPr>
        <w:t>AND FISCAL YEAR-END OPTION VALUES</w:t>
      </w:r>
    </w:p>
    <w:p>
      <w:pPr>
        <w:spacing w:after="0" w:line="163" w:lineRule="exact"/>
        <w:rPr>
          <w:sz w:val="20"/>
          <w:szCs w:val="20"/>
          <w:color w:val="auto"/>
        </w:rPr>
      </w:pPr>
    </w:p>
    <w:p>
      <w:pPr>
        <w:jc w:val="both"/>
        <w:ind w:right="3600" w:firstLine="401"/>
        <w:spacing w:after="0" w:line="295" w:lineRule="auto"/>
        <w:rPr>
          <w:sz w:val="20"/>
          <w:szCs w:val="20"/>
          <w:color w:val="auto"/>
        </w:rPr>
      </w:pPr>
      <w:r>
        <w:rPr>
          <w:rFonts w:ascii="Courier New" w:cs="Courier New" w:eastAsia="Courier New" w:hAnsi="Courier New"/>
          <w:sz w:val="17"/>
          <w:szCs w:val="17"/>
          <w:color w:val="auto"/>
        </w:rPr>
        <w:t>The following table provides information regarding option exercises in fiscal 2000 by the Named Executive Officers and the value of such officers' unexercised options at August 31, 2000:</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20" w:type="dxa"/>
            <w:vAlign w:val="bottom"/>
          </w:tcPr>
          <w:p>
            <w:pPr>
              <w:jc w:val="center"/>
              <w:ind w:right="120"/>
              <w:spacing w:after="0"/>
              <w:rPr>
                <w:sz w:val="20"/>
                <w:szCs w:val="20"/>
                <w:color w:val="auto"/>
              </w:rPr>
            </w:pPr>
            <w:r>
              <w:rPr>
                <w:rFonts w:ascii="Courier New" w:cs="Courier New" w:eastAsia="Courier New" w:hAnsi="Courier New"/>
                <w:sz w:val="17"/>
                <w:szCs w:val="17"/>
                <w:color w:val="auto"/>
                <w:w w:val="97"/>
              </w:rPr>
              <w:t>NUMBER OF</w:t>
            </w:r>
          </w:p>
        </w:tc>
        <w:tc>
          <w:tcPr>
            <w:tcW w:w="22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VALUE OF UNEXERCISED</w:t>
            </w:r>
          </w:p>
        </w:tc>
        <w:tc>
          <w:tcPr>
            <w:tcW w:w="0" w:type="dxa"/>
            <w:vAlign w:val="bottom"/>
          </w:tcPr>
          <w:p>
            <w:pPr>
              <w:spacing w:after="0"/>
              <w:rPr>
                <w:sz w:val="1"/>
                <w:szCs w:val="1"/>
                <w:color w:val="auto"/>
              </w:rPr>
            </w:pPr>
          </w:p>
        </w:tc>
      </w:tr>
      <w:tr>
        <w:trPr>
          <w:trHeight w:val="193"/>
        </w:trPr>
        <w:tc>
          <w:tcPr>
            <w:tcW w:w="40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20" w:type="dxa"/>
            <w:vAlign w:val="bottom"/>
          </w:tcPr>
          <w:p>
            <w:pPr>
              <w:jc w:val="center"/>
              <w:ind w:right="120"/>
              <w:spacing w:after="0"/>
              <w:rPr>
                <w:sz w:val="20"/>
                <w:szCs w:val="20"/>
                <w:color w:val="auto"/>
              </w:rPr>
            </w:pPr>
            <w:r>
              <w:rPr>
                <w:rFonts w:ascii="Courier New" w:cs="Courier New" w:eastAsia="Courier New" w:hAnsi="Courier New"/>
                <w:sz w:val="17"/>
                <w:szCs w:val="17"/>
                <w:color w:val="auto"/>
                <w:w w:val="97"/>
              </w:rPr>
              <w:t>UNEXERCISED</w:t>
            </w:r>
          </w:p>
        </w:tc>
        <w:tc>
          <w:tcPr>
            <w:tcW w:w="22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IN-THE-MONEY</w:t>
            </w:r>
          </w:p>
        </w:tc>
        <w:tc>
          <w:tcPr>
            <w:tcW w:w="0" w:type="dxa"/>
            <w:vAlign w:val="bottom"/>
          </w:tcPr>
          <w:p>
            <w:pPr>
              <w:spacing w:after="0"/>
              <w:rPr>
                <w:sz w:val="1"/>
                <w:szCs w:val="1"/>
                <w:color w:val="auto"/>
              </w:rPr>
            </w:pPr>
          </w:p>
        </w:tc>
      </w:tr>
      <w:tr>
        <w:trPr>
          <w:trHeight w:val="193"/>
        </w:trPr>
        <w:tc>
          <w:tcPr>
            <w:tcW w:w="4020" w:type="dxa"/>
            <w:vAlign w:val="bottom"/>
          </w:tcPr>
          <w:p>
            <w:pPr>
              <w:spacing w:after="0"/>
              <w:rPr>
                <w:sz w:val="16"/>
                <w:szCs w:val="16"/>
                <w:color w:val="auto"/>
              </w:rPr>
            </w:pPr>
          </w:p>
        </w:tc>
        <w:tc>
          <w:tcPr>
            <w:tcW w:w="144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NUMBER OF</w:t>
            </w:r>
          </w:p>
        </w:tc>
        <w:tc>
          <w:tcPr>
            <w:tcW w:w="1400" w:type="dxa"/>
            <w:vAlign w:val="bottom"/>
          </w:tcPr>
          <w:p>
            <w:pPr>
              <w:spacing w:after="0"/>
              <w:rPr>
                <w:sz w:val="16"/>
                <w:szCs w:val="16"/>
                <w:color w:val="auto"/>
              </w:rPr>
            </w:pPr>
          </w:p>
        </w:tc>
        <w:tc>
          <w:tcPr>
            <w:tcW w:w="2020" w:type="dxa"/>
            <w:vAlign w:val="bottom"/>
          </w:tcPr>
          <w:p>
            <w:pPr>
              <w:jc w:val="center"/>
              <w:ind w:right="120"/>
              <w:spacing w:after="0"/>
              <w:rPr>
                <w:sz w:val="20"/>
                <w:szCs w:val="20"/>
                <w:color w:val="auto"/>
              </w:rPr>
            </w:pPr>
            <w:r>
              <w:rPr>
                <w:rFonts w:ascii="Courier New" w:cs="Courier New" w:eastAsia="Courier New" w:hAnsi="Courier New"/>
                <w:sz w:val="17"/>
                <w:szCs w:val="17"/>
                <w:color w:val="auto"/>
                <w:w w:val="98"/>
              </w:rPr>
              <w:t>OPTIONS AT FISCAL</w:t>
            </w:r>
          </w:p>
        </w:tc>
        <w:tc>
          <w:tcPr>
            <w:tcW w:w="224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8"/>
              </w:rPr>
              <w:t>OPTIONS AT FISCAL</w:t>
            </w:r>
          </w:p>
        </w:tc>
        <w:tc>
          <w:tcPr>
            <w:tcW w:w="0" w:type="dxa"/>
            <w:vAlign w:val="bottom"/>
          </w:tcPr>
          <w:p>
            <w:pPr>
              <w:spacing w:after="0"/>
              <w:rPr>
                <w:sz w:val="1"/>
                <w:szCs w:val="1"/>
                <w:color w:val="auto"/>
              </w:rPr>
            </w:pPr>
          </w:p>
        </w:tc>
      </w:tr>
      <w:tr>
        <w:trPr>
          <w:trHeight w:val="193"/>
        </w:trPr>
        <w:tc>
          <w:tcPr>
            <w:tcW w:w="40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2020" w:type="dxa"/>
            <w:vAlign w:val="bottom"/>
          </w:tcPr>
          <w:p>
            <w:pPr>
              <w:jc w:val="center"/>
              <w:ind w:right="220"/>
              <w:spacing w:after="0"/>
              <w:rPr>
                <w:sz w:val="20"/>
                <w:szCs w:val="20"/>
                <w:color w:val="auto"/>
              </w:rPr>
            </w:pPr>
            <w:r>
              <w:rPr>
                <w:rFonts w:ascii="Courier New" w:cs="Courier New" w:eastAsia="Courier New" w:hAnsi="Courier New"/>
                <w:sz w:val="17"/>
                <w:szCs w:val="17"/>
                <w:color w:val="auto"/>
                <w:w w:val="97"/>
              </w:rPr>
              <w:t>YEAR-END</w:t>
            </w:r>
          </w:p>
        </w:tc>
        <w:tc>
          <w:tcPr>
            <w:tcW w:w="2240" w:type="dxa"/>
            <w:vAlign w:val="bottom"/>
          </w:tcPr>
          <w:p>
            <w:pPr>
              <w:jc w:val="center"/>
              <w:ind w:right="176"/>
              <w:spacing w:after="0"/>
              <w:rPr>
                <w:sz w:val="20"/>
                <w:szCs w:val="20"/>
                <w:color w:val="auto"/>
              </w:rPr>
            </w:pPr>
            <w:r>
              <w:rPr>
                <w:rFonts w:ascii="Courier New" w:cs="Courier New" w:eastAsia="Courier New" w:hAnsi="Courier New"/>
                <w:sz w:val="17"/>
                <w:szCs w:val="17"/>
                <w:color w:val="auto"/>
                <w:w w:val="97"/>
              </w:rPr>
              <w:t>YEAR-END(2)</w:t>
            </w:r>
          </w:p>
        </w:tc>
        <w:tc>
          <w:tcPr>
            <w:tcW w:w="0" w:type="dxa"/>
            <w:vAlign w:val="bottom"/>
          </w:tcPr>
          <w:p>
            <w:pPr>
              <w:spacing w:after="0"/>
              <w:rPr>
                <w:sz w:val="1"/>
                <w:szCs w:val="1"/>
                <w:color w:val="auto"/>
              </w:rPr>
            </w:pPr>
          </w:p>
        </w:tc>
      </w:tr>
      <w:tr>
        <w:trPr>
          <w:trHeight w:val="193"/>
        </w:trPr>
        <w:tc>
          <w:tcPr>
            <w:tcW w:w="4020" w:type="dxa"/>
            <w:vAlign w:val="bottom"/>
          </w:tcPr>
          <w:p>
            <w:pPr>
              <w:spacing w:after="0"/>
              <w:rPr>
                <w:sz w:val="16"/>
                <w:szCs w:val="16"/>
                <w:color w:val="auto"/>
              </w:rPr>
            </w:pPr>
          </w:p>
        </w:tc>
        <w:tc>
          <w:tcPr>
            <w:tcW w:w="1440" w:type="dxa"/>
            <w:vAlign w:val="bottom"/>
          </w:tcPr>
          <w:p>
            <w:pPr>
              <w:ind w:left="300"/>
              <w:spacing w:after="0"/>
              <w:rPr>
                <w:sz w:val="20"/>
                <w:szCs w:val="20"/>
                <w:color w:val="auto"/>
              </w:rPr>
            </w:pPr>
            <w:r>
              <w:rPr>
                <w:rFonts w:ascii="Courier New" w:cs="Courier New" w:eastAsia="Courier New" w:hAnsi="Courier New"/>
                <w:sz w:val="17"/>
                <w:szCs w:val="17"/>
                <w:color w:val="auto"/>
              </w:rPr>
              <w:t>SHARES</w:t>
            </w:r>
          </w:p>
        </w:tc>
        <w:tc>
          <w:tcPr>
            <w:tcW w:w="1400" w:type="dxa"/>
            <w:vAlign w:val="bottom"/>
            <w:vMerge w:val="restart"/>
          </w:tcPr>
          <w:p>
            <w:pPr>
              <w:jc w:val="center"/>
              <w:ind w:right="96"/>
              <w:spacing w:after="0"/>
              <w:rPr>
                <w:sz w:val="20"/>
                <w:szCs w:val="20"/>
                <w:color w:val="auto"/>
              </w:rPr>
            </w:pPr>
            <w:r>
              <w:rPr>
                <w:rFonts w:ascii="Courier New" w:cs="Courier New" w:eastAsia="Courier New" w:hAnsi="Courier New"/>
                <w:sz w:val="17"/>
                <w:szCs w:val="17"/>
                <w:color w:val="auto"/>
                <w:w w:val="97"/>
              </w:rPr>
              <w:t>VALUE</w:t>
            </w:r>
          </w:p>
        </w:tc>
        <w:tc>
          <w:tcPr>
            <w:tcW w:w="2020" w:type="dxa"/>
            <w:vAlign w:val="bottom"/>
            <w:vMerge w:val="restart"/>
          </w:tcPr>
          <w:p>
            <w:pPr>
              <w:jc w:val="center"/>
              <w:ind w:right="120"/>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0"/>
                <w:szCs w:val="20"/>
                <w:color w:val="auto"/>
                <w:w w:val="72"/>
                <w:vertAlign w:val="subscript"/>
              </w:rPr>
              <w:t>EXERCISABLE(E)</w:t>
            </w:r>
          </w:p>
        </w:tc>
        <w:tc>
          <w:tcPr>
            <w:tcW w:w="22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w:t>
            </w:r>
          </w:p>
        </w:tc>
        <w:tc>
          <w:tcPr>
            <w:tcW w:w="0" w:type="dxa"/>
            <w:vAlign w:val="bottom"/>
          </w:tcPr>
          <w:p>
            <w:pPr>
              <w:spacing w:after="0"/>
              <w:rPr>
                <w:sz w:val="1"/>
                <w:szCs w:val="1"/>
                <w:color w:val="auto"/>
              </w:rPr>
            </w:pPr>
          </w:p>
        </w:tc>
      </w:tr>
      <w:tr>
        <w:trPr>
          <w:trHeight w:val="193"/>
        </w:trPr>
        <w:tc>
          <w:tcPr>
            <w:tcW w:w="4020" w:type="dxa"/>
            <w:vAlign w:val="bottom"/>
            <w:vMerge w:val="restart"/>
          </w:tcPr>
          <w:p>
            <w:pPr>
              <w:spacing w:after="0"/>
              <w:rPr>
                <w:sz w:val="20"/>
                <w:szCs w:val="20"/>
                <w:color w:val="auto"/>
              </w:rPr>
            </w:pPr>
            <w:r>
              <w:rPr>
                <w:rFonts w:ascii="Courier New" w:cs="Courier New" w:eastAsia="Courier New" w:hAnsi="Courier New"/>
                <w:sz w:val="17"/>
                <w:szCs w:val="17"/>
                <w:color w:val="auto"/>
              </w:rPr>
              <w:t>NAME</w:t>
            </w:r>
          </w:p>
        </w:tc>
        <w:tc>
          <w:tcPr>
            <w:tcW w:w="1440" w:type="dxa"/>
            <w:vAlign w:val="bottom"/>
          </w:tcPr>
          <w:p>
            <w:pPr>
              <w:ind w:left="100"/>
              <w:spacing w:after="0"/>
              <w:rPr>
                <w:sz w:val="20"/>
                <w:szCs w:val="20"/>
                <w:color w:val="auto"/>
              </w:rPr>
            </w:pPr>
            <w:r>
              <w:rPr>
                <w:rFonts w:ascii="Courier New" w:cs="Courier New" w:eastAsia="Courier New" w:hAnsi="Courier New"/>
                <w:sz w:val="17"/>
                <w:szCs w:val="17"/>
                <w:color w:val="auto"/>
              </w:rPr>
              <w:t>ACQUIRED ON</w:t>
            </w:r>
          </w:p>
        </w:tc>
        <w:tc>
          <w:tcPr>
            <w:tcW w:w="140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22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EXERCISABLE(E)</w:t>
            </w:r>
          </w:p>
        </w:tc>
        <w:tc>
          <w:tcPr>
            <w:tcW w:w="0" w:type="dxa"/>
            <w:vAlign w:val="bottom"/>
          </w:tcPr>
          <w:p>
            <w:pPr>
              <w:spacing w:after="0"/>
              <w:rPr>
                <w:sz w:val="1"/>
                <w:szCs w:val="1"/>
                <w:color w:val="auto"/>
              </w:rPr>
            </w:pPr>
          </w:p>
        </w:tc>
      </w:tr>
      <w:tr>
        <w:trPr>
          <w:trHeight w:val="193"/>
        </w:trPr>
        <w:tc>
          <w:tcPr>
            <w:tcW w:w="4020" w:type="dxa"/>
            <w:vAlign w:val="bottom"/>
            <w:vMerge w:val="continue"/>
          </w:tcPr>
          <w:p>
            <w:pPr>
              <w:spacing w:after="0"/>
              <w:rPr>
                <w:sz w:val="16"/>
                <w:szCs w:val="16"/>
                <w:color w:val="auto"/>
              </w:rPr>
            </w:pPr>
          </w:p>
        </w:tc>
        <w:tc>
          <w:tcPr>
            <w:tcW w:w="1440" w:type="dxa"/>
            <w:vAlign w:val="bottom"/>
          </w:tcPr>
          <w:p>
            <w:pPr>
              <w:ind w:left="200"/>
              <w:spacing w:after="0"/>
              <w:rPr>
                <w:sz w:val="20"/>
                <w:szCs w:val="20"/>
                <w:color w:val="auto"/>
              </w:rPr>
            </w:pPr>
            <w:r>
              <w:rPr>
                <w:rFonts w:ascii="Courier New" w:cs="Courier New" w:eastAsia="Courier New" w:hAnsi="Courier New"/>
                <w:sz w:val="17"/>
                <w:szCs w:val="17"/>
                <w:color w:val="auto"/>
              </w:rPr>
              <w:t>EXERCISE</w:t>
            </w:r>
          </w:p>
        </w:tc>
        <w:tc>
          <w:tcPr>
            <w:tcW w:w="1400" w:type="dxa"/>
            <w:vAlign w:val="bottom"/>
          </w:tcPr>
          <w:p>
            <w:pPr>
              <w:jc w:val="center"/>
              <w:ind w:right="96"/>
              <w:spacing w:after="0"/>
              <w:rPr>
                <w:sz w:val="20"/>
                <w:szCs w:val="20"/>
                <w:color w:val="auto"/>
              </w:rPr>
            </w:pPr>
            <w:r>
              <w:rPr>
                <w:rFonts w:ascii="Courier New" w:cs="Courier New" w:eastAsia="Courier New" w:hAnsi="Courier New"/>
                <w:sz w:val="17"/>
                <w:szCs w:val="17"/>
                <w:color w:val="auto"/>
                <w:w w:val="97"/>
              </w:rPr>
              <w:t>REALIZED(1)</w:t>
            </w:r>
          </w:p>
        </w:tc>
        <w:tc>
          <w:tcPr>
            <w:tcW w:w="2020" w:type="dxa"/>
            <w:vAlign w:val="bottom"/>
          </w:tcPr>
          <w:p>
            <w:pPr>
              <w:jc w:val="center"/>
              <w:ind w:right="220"/>
              <w:spacing w:after="0"/>
              <w:rPr>
                <w:sz w:val="20"/>
                <w:szCs w:val="20"/>
                <w:color w:val="auto"/>
              </w:rPr>
            </w:pPr>
            <w:r>
              <w:rPr>
                <w:rFonts w:ascii="Courier New" w:cs="Courier New" w:eastAsia="Courier New" w:hAnsi="Courier New"/>
                <w:sz w:val="17"/>
                <w:szCs w:val="17"/>
                <w:color w:val="auto"/>
                <w:w w:val="98"/>
              </w:rPr>
              <w:t>UNEXERCISABLE(U)</w:t>
            </w:r>
          </w:p>
        </w:tc>
        <w:tc>
          <w:tcPr>
            <w:tcW w:w="2240" w:type="dxa"/>
            <w:vAlign w:val="bottom"/>
          </w:tcPr>
          <w:p>
            <w:pPr>
              <w:jc w:val="center"/>
              <w:ind w:right="76"/>
              <w:spacing w:after="0"/>
              <w:rPr>
                <w:sz w:val="20"/>
                <w:szCs w:val="20"/>
                <w:color w:val="auto"/>
              </w:rPr>
            </w:pPr>
            <w:r>
              <w:rPr>
                <w:rFonts w:ascii="Courier New" w:cs="Courier New" w:eastAsia="Courier New" w:hAnsi="Courier New"/>
                <w:sz w:val="17"/>
                <w:szCs w:val="17"/>
                <w:color w:val="auto"/>
                <w:w w:val="98"/>
              </w:rPr>
              <w:t>UNEXERCISABLE(U)</w:t>
            </w:r>
          </w:p>
        </w:tc>
        <w:tc>
          <w:tcPr>
            <w:tcW w:w="0" w:type="dxa"/>
            <w:vAlign w:val="bottom"/>
          </w:tcPr>
          <w:p>
            <w:pPr>
              <w:spacing w:after="0"/>
              <w:rPr>
                <w:sz w:val="1"/>
                <w:szCs w:val="1"/>
                <w:color w:val="auto"/>
              </w:rPr>
            </w:pPr>
          </w:p>
        </w:tc>
      </w:tr>
      <w:tr>
        <w:trPr>
          <w:trHeight w:val="281"/>
        </w:trPr>
        <w:tc>
          <w:tcPr>
            <w:tcW w:w="40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440" w:type="dxa"/>
            <w:vAlign w:val="bottom"/>
          </w:tcPr>
          <w:p>
            <w:pPr>
              <w:ind w:left="300"/>
              <w:spacing w:after="0"/>
              <w:rPr>
                <w:sz w:val="20"/>
                <w:szCs w:val="20"/>
                <w:color w:val="auto"/>
              </w:rPr>
            </w:pPr>
            <w:r>
              <w:rPr>
                <w:rFonts w:ascii="Courier New" w:cs="Courier New" w:eastAsia="Courier New" w:hAnsi="Courier New"/>
                <w:sz w:val="17"/>
                <w:szCs w:val="17"/>
                <w:color w:val="auto"/>
                <w:w w:val="99"/>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7"/>
        </w:trPr>
        <w:tc>
          <w:tcPr>
            <w:tcW w:w="4020" w:type="dxa"/>
            <w:vAlign w:val="bottom"/>
          </w:tcPr>
          <w:p>
            <w:pPr>
              <w:spacing w:after="0"/>
              <w:rPr>
                <w:sz w:val="20"/>
                <w:szCs w:val="20"/>
                <w:color w:val="auto"/>
              </w:rPr>
            </w:pPr>
            <w:r>
              <w:rPr>
                <w:rFonts w:ascii="Courier New" w:cs="Courier New" w:eastAsia="Courier New" w:hAnsi="Courier New"/>
                <w:sz w:val="17"/>
                <w:szCs w:val="17"/>
                <w:color w:val="auto"/>
              </w:rPr>
              <w:t>Steven R. Appleton.....................</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D. Mark Durcan.........................</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Jay L. Hawkins.........................</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20" w:type="dxa"/>
            <w:vAlign w:val="bottom"/>
          </w:tcPr>
          <w:p>
            <w:pPr>
              <w:spacing w:after="0"/>
              <w:rPr>
                <w:sz w:val="20"/>
                <w:szCs w:val="20"/>
                <w:color w:val="auto"/>
              </w:rPr>
            </w:pPr>
            <w:r>
              <w:rPr>
                <w:rFonts w:ascii="Courier New" w:cs="Courier New" w:eastAsia="Courier New" w:hAnsi="Courier New"/>
                <w:sz w:val="17"/>
                <w:szCs w:val="17"/>
                <w:color w:val="auto"/>
              </w:rPr>
              <w:t>Roderic L. Lewis.......................</w:t>
            </w:r>
          </w:p>
        </w:tc>
        <w:tc>
          <w:tcPr>
            <w:tcW w:w="1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4020" w:type="dxa"/>
            <w:vAlign w:val="bottom"/>
          </w:tcPr>
          <w:p>
            <w:pPr>
              <w:spacing w:after="0"/>
              <w:rPr>
                <w:sz w:val="20"/>
                <w:szCs w:val="20"/>
                <w:color w:val="auto"/>
              </w:rPr>
            </w:pPr>
            <w:r>
              <w:rPr>
                <w:rFonts w:ascii="Courier New" w:cs="Courier New" w:eastAsia="Courier New" w:hAnsi="Courier New"/>
                <w:sz w:val="17"/>
                <w:szCs w:val="17"/>
                <w:color w:val="auto"/>
              </w:rPr>
              <w:t>Wilbur G. Stover, Jr...................</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40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both"/>
        <w:ind w:left="400" w:right="3200" w:hanging="397"/>
        <w:spacing w:after="0" w:line="276" w:lineRule="auto"/>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Realized was calculated by determining the difference between the fair market value of the securities underlying the options and the exercise price of the options at exercise, regardless of whether the shares acquired on exercise were held or sold.</w:t>
      </w:r>
    </w:p>
    <w:p>
      <w:pPr>
        <w:spacing w:after="0" w:line="77"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difference between the exercise price of the options and</w:t>
      </w:r>
    </w:p>
    <w:p>
      <w:pPr>
        <w:spacing w:after="0" w:line="30"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$81.75, the closing price of the Company's Common Stock on August 31,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193" w:lineRule="exact"/>
        <w:rPr>
          <w:sz w:val="20"/>
          <w:szCs w:val="20"/>
          <w:color w:val="auto"/>
        </w:rPr>
      </w:pPr>
    </w:p>
    <w:p>
      <w:pPr>
        <w:ind w:right="3100" w:firstLine="401"/>
        <w:spacing w:after="0" w:line="251" w:lineRule="auto"/>
        <w:rPr>
          <w:sz w:val="20"/>
          <w:szCs w:val="20"/>
          <w:color w:val="auto"/>
        </w:rPr>
      </w:pPr>
      <w:r>
        <w:rPr>
          <w:rFonts w:ascii="Courier New" w:cs="Courier New" w:eastAsia="Courier New" w:hAnsi="Courier New"/>
          <w:sz w:val="17"/>
          <w:szCs w:val="17"/>
          <w:color w:val="auto"/>
        </w:rPr>
        <w:t>Directors who are employees of the Company receive no additional or special remuneration for their service as directors. Directors who are not employees of the Company are entitled to receive an annual retainer of $50,000. Pursuant to the Company's 1998 Non-Employee Directors Stock Incentive Plan ("DSIP"), non-employee directors may elect to take some or all of their annual retainer in the form of cash, shares of Common Stock or deferred rights to receive Common Stock upon termination as a director. The Company also reimburses directors for travel and lodging expenses, if any, incurred in connection with attendance at Board meetings. Directors do not receive any additional or special remuneration for their service on any of the committees established by the Board of Directors.</w:t>
      </w:r>
    </w:p>
    <w:p>
      <w:pPr>
        <w:spacing w:after="0" w:line="97" w:lineRule="exact"/>
        <w:rPr>
          <w:sz w:val="20"/>
          <w:szCs w:val="20"/>
          <w:color w:val="auto"/>
        </w:rPr>
      </w:pPr>
    </w:p>
    <w:p>
      <w:pPr>
        <w:ind w:right="3100" w:firstLine="401"/>
        <w:spacing w:after="0" w:line="259" w:lineRule="auto"/>
        <w:rPr>
          <w:sz w:val="20"/>
          <w:szCs w:val="20"/>
          <w:color w:val="auto"/>
        </w:rPr>
      </w:pPr>
      <w:r>
        <w:rPr>
          <w:rFonts w:ascii="Courier New" w:cs="Courier New" w:eastAsia="Courier New" w:hAnsi="Courier New"/>
          <w:sz w:val="16"/>
          <w:szCs w:val="16"/>
          <w:color w:val="auto"/>
        </w:rPr>
        <w:t>In June 1997, the Board of Directors amended the Company's 1994 Stock Option Plan (the "1994 Plan") to allow directors to participate in the 1994 Plan and approved a program whereby non-employee directors are granted (i) an initial option to purchase 10,000 shares upon the later to occur of the date of their appointment to the Board or June 30, 1997, the date on which resolutions approving the program were passed by the Board of Directors, and (ii) an annual subsequent option to purchase 3,000 shares of the Company's Common Stock. The options granted to the non-employee directors are fully vested on the date of grant and have an exercise price equal to the fair market value at the date of grant. As of October 2, 2000, each of Messrs. Bagley, Lothrop, Nicholson and</w:t>
      </w:r>
    </w:p>
    <w:p>
      <w:pPr>
        <w:spacing w:after="0" w:line="1" w:lineRule="exact"/>
        <w:rPr>
          <w:sz w:val="20"/>
          <w:szCs w:val="20"/>
          <w:color w:val="auto"/>
        </w:rPr>
      </w:pPr>
    </w:p>
    <w:p>
      <w:pPr>
        <w:spacing w:after="0"/>
        <w:tabs>
          <w:tab w:leader="none" w:pos="5000" w:val="left"/>
        </w:tabs>
        <w:rPr>
          <w:sz w:val="20"/>
          <w:szCs w:val="20"/>
          <w:color w:val="auto"/>
        </w:rPr>
      </w:pPr>
      <w:r>
        <w:rPr>
          <w:rFonts w:ascii="Courier New" w:cs="Courier New" w:eastAsia="Courier New" w:hAnsi="Courier New"/>
          <w:sz w:val="17"/>
          <w:szCs w:val="17"/>
          <w:color w:val="auto"/>
        </w:rPr>
        <w:t>Simplot had options outstanding to purchase</w:t>
      </w:r>
      <w:r>
        <w:rPr>
          <w:sz w:val="20"/>
          <w:szCs w:val="20"/>
          <w:color w:val="auto"/>
        </w:rPr>
        <w:tab/>
      </w:r>
      <w:r>
        <w:rPr>
          <w:rFonts w:ascii="Courier New" w:cs="Courier New" w:eastAsia="Courier New" w:hAnsi="Courier New"/>
          <w:sz w:val="16"/>
          <w:szCs w:val="16"/>
          <w:color w:val="auto"/>
        </w:rPr>
        <w:t>shares at a weighted average</w:t>
      </w:r>
    </w:p>
    <w:p>
      <w:pPr>
        <w:spacing w:after="0"/>
        <w:tabs>
          <w:tab w:leader="none" w:pos="2480" w:val="left"/>
        </w:tabs>
        <w:rPr>
          <w:sz w:val="20"/>
          <w:szCs w:val="20"/>
          <w:color w:val="auto"/>
        </w:rPr>
      </w:pPr>
      <w:r>
        <w:rPr>
          <w:rFonts w:ascii="Courier New" w:cs="Courier New" w:eastAsia="Courier New" w:hAnsi="Courier New"/>
          <w:sz w:val="17"/>
          <w:szCs w:val="17"/>
          <w:color w:val="auto"/>
        </w:rPr>
        <w:t>exercise price of $</w:t>
      </w:r>
      <w:r>
        <w:rPr>
          <w:sz w:val="20"/>
          <w:szCs w:val="20"/>
          <w:color w:val="auto"/>
        </w:rPr>
        <w:tab/>
      </w:r>
      <w:r>
        <w:rPr>
          <w:rFonts w:ascii="Courier New" w:cs="Courier New" w:eastAsia="Courier New" w:hAnsi="Courier New"/>
          <w:sz w:val="16"/>
          <w:szCs w:val="16"/>
          <w:color w:val="auto"/>
        </w:rPr>
        <w:t>per share. Mr. Weber had options outstanding to</w:t>
      </w:r>
    </w:p>
    <w:p>
      <w:pPr>
        <w:spacing w:after="0"/>
        <w:tabs>
          <w:tab w:leader="none" w:pos="1480" w:val="left"/>
          <w:tab w:leader="none" w:pos="6900" w:val="left"/>
        </w:tabs>
        <w:rPr>
          <w:sz w:val="20"/>
          <w:szCs w:val="20"/>
          <w:color w:val="auto"/>
        </w:rPr>
      </w:pPr>
      <w:r>
        <w:rPr>
          <w:rFonts w:ascii="Courier New" w:cs="Courier New" w:eastAsia="Courier New" w:hAnsi="Courier New"/>
          <w:sz w:val="17"/>
          <w:szCs w:val="17"/>
          <w:color w:val="auto"/>
        </w:rPr>
        <w:t>purchase</w:t>
      </w:r>
      <w:r>
        <w:rPr>
          <w:sz w:val="20"/>
          <w:szCs w:val="20"/>
          <w:color w:val="auto"/>
        </w:rPr>
        <w:tab/>
      </w:r>
      <w:r>
        <w:rPr>
          <w:rFonts w:ascii="Courier New" w:cs="Courier New" w:eastAsia="Courier New" w:hAnsi="Courier New"/>
          <w:sz w:val="17"/>
          <w:szCs w:val="17"/>
          <w:color w:val="auto"/>
        </w:rPr>
        <w:t>shares at a weighted average exercise price of $</w:t>
      </w:r>
      <w:r>
        <w:rPr>
          <w:sz w:val="20"/>
          <w:szCs w:val="20"/>
          <w:color w:val="auto"/>
        </w:rPr>
        <w:tab/>
      </w:r>
      <w:r>
        <w:rPr>
          <w:rFonts w:ascii="Courier New" w:cs="Courier New" w:eastAsia="Courier New" w:hAnsi="Courier New"/>
          <w:sz w:val="16"/>
          <w:szCs w:val="16"/>
          <w:color w:val="auto"/>
        </w:rPr>
        <w:t>.</w:t>
      </w:r>
    </w:p>
    <w:p>
      <w:pPr>
        <w:spacing w:after="0"/>
        <w:tabs>
          <w:tab w:leader="none" w:pos="5200" w:val="left"/>
        </w:tabs>
        <w:rPr>
          <w:sz w:val="20"/>
          <w:szCs w:val="20"/>
          <w:color w:val="auto"/>
        </w:rPr>
      </w:pPr>
      <w:r>
        <w:rPr>
          <w:rFonts w:ascii="Courier New" w:cs="Courier New" w:eastAsia="Courier New" w:hAnsi="Courier New"/>
          <w:sz w:val="17"/>
          <w:szCs w:val="17"/>
          <w:color w:val="auto"/>
        </w:rPr>
        <w:t>Mr. Smith had options outstanding to purchase</w:t>
      </w:r>
      <w:r>
        <w:rPr>
          <w:sz w:val="20"/>
          <w:szCs w:val="20"/>
          <w:color w:val="auto"/>
        </w:rPr>
        <w:tab/>
      </w:r>
      <w:r>
        <w:rPr>
          <w:rFonts w:ascii="Courier New" w:cs="Courier New" w:eastAsia="Courier New" w:hAnsi="Courier New"/>
          <w:sz w:val="16"/>
          <w:szCs w:val="16"/>
          <w:color w:val="auto"/>
        </w:rPr>
        <w:t>shares at a weighted average</w:t>
      </w:r>
    </w:p>
    <w:p>
      <w:pPr>
        <w:spacing w:after="0"/>
        <w:tabs>
          <w:tab w:leader="none" w:pos="2480" w:val="left"/>
        </w:tabs>
        <w:rPr>
          <w:sz w:val="20"/>
          <w:szCs w:val="20"/>
          <w:color w:val="auto"/>
        </w:rPr>
      </w:pPr>
      <w:r>
        <w:rPr>
          <w:rFonts w:ascii="Courier New" w:cs="Courier New" w:eastAsia="Courier New" w:hAnsi="Courier New"/>
          <w:sz w:val="17"/>
          <w:szCs w:val="17"/>
          <w:color w:val="auto"/>
        </w:rPr>
        <w:t>exercise price of $</w:t>
      </w:r>
      <w:r>
        <w:rPr>
          <w:sz w:val="20"/>
          <w:szCs w:val="20"/>
          <w:color w:val="auto"/>
        </w:rPr>
        <w:tab/>
      </w:r>
      <w:r>
        <w:rPr>
          <w:rFonts w:ascii="Courier New" w:cs="Courier New" w:eastAsia="Courier New" w:hAnsi="Courier New"/>
          <w:sz w:val="16"/>
          <w:szCs w:val="16"/>
          <w:color w:val="auto"/>
        </w:rPr>
        <w:t>per share.</w:t>
      </w:r>
    </w:p>
    <w:p>
      <w:pPr>
        <w:spacing w:after="0" w:line="163" w:lineRule="exact"/>
        <w:rPr>
          <w:sz w:val="20"/>
          <w:szCs w:val="20"/>
          <w:color w:val="auto"/>
        </w:rPr>
      </w:pPr>
    </w:p>
    <w:p>
      <w:pPr>
        <w:ind w:right="3100" w:firstLine="401"/>
        <w:spacing w:after="0" w:line="271" w:lineRule="auto"/>
        <w:rPr>
          <w:sz w:val="20"/>
          <w:szCs w:val="20"/>
          <w:color w:val="auto"/>
        </w:rPr>
      </w:pPr>
      <w:r>
        <w:rPr>
          <w:rFonts w:ascii="Courier New" w:cs="Courier New" w:eastAsia="Courier New" w:hAnsi="Courier New"/>
          <w:sz w:val="16"/>
          <w:szCs w:val="16"/>
          <w:color w:val="auto"/>
        </w:rPr>
        <w:t>Mr. Lothrop has entered into an agreement with the Company pursuant to which his receipt of the director fees he earned prior to January 1999 is deferred until the first business day of the calendar year in which he no longer serves as a director of the Company. Deferred amounts, in the case of his termination of service as a director, are paid in five annual installments. In the event of death, the balance then owed is paid in a single sum as soon as practicable following his death. All amounts deferred are recorded as a liability in the records of the Company. Such amounts accrue interest monthly at a rate per annum equal to the Company's average investment portfolio yield for such month.</w:t>
      </w:r>
    </w:p>
    <w:p>
      <w:pPr>
        <w:spacing w:after="0" w:line="8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1120"/>
          </w:cols>
          <w:pgMar w:left="240" w:top="471" w:right="539" w:bottom="1155"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TERMINATION OF EMPLOYMENT AGREEMENTS AND CHANGE IN CONTROL ARRANGEMENT</w:t>
      </w:r>
    </w:p>
    <w:p>
      <w:pPr>
        <w:spacing w:after="0" w:line="19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SEVERANCE AGREEMENTS</w:t>
      </w:r>
    </w:p>
    <w:p>
      <w:pPr>
        <w:spacing w:after="0" w:line="193" w:lineRule="exact"/>
        <w:rPr>
          <w:sz w:val="20"/>
          <w:szCs w:val="20"/>
          <w:color w:val="auto"/>
        </w:rPr>
      </w:pPr>
    </w:p>
    <w:p>
      <w:pPr>
        <w:ind w:right="2199" w:firstLine="401"/>
        <w:spacing w:after="0" w:line="245" w:lineRule="auto"/>
        <w:rPr>
          <w:sz w:val="20"/>
          <w:szCs w:val="20"/>
          <w:color w:val="auto"/>
        </w:rPr>
      </w:pPr>
      <w:r>
        <w:rPr>
          <w:rFonts w:ascii="Courier New" w:cs="Courier New" w:eastAsia="Courier New" w:hAnsi="Courier New"/>
          <w:sz w:val="17"/>
          <w:szCs w:val="17"/>
          <w:color w:val="auto"/>
        </w:rPr>
        <w:t>The Company has entered into Severance Agreements with each of the Named Executive Officers and certain other officers of the Company relating to termination and compensation upon termination. The Severance Agreements allow either the Company or the officer to terminate the officer's employment with the Company or the officer's status as an officer of the Company, for any reason, voluntary or involuntary, with or without cause, by providing notice to that effect in writing to the other party. The Severance Agreements generally provide a six month "Transition Period" which begins upon termination of the officer's employment with the Company or status as an officer of the Company. During the Transition Period, the officer is entitled to receive compensation equivalent to all benefits customarily provided to such officer while employed including, but not limited to, salary, bonuses, executive bonuses, benefits and continued vesting of any granted stock options. "Customarily provided" refers to the Company's practices and plans with respect to the officer's benefits and compensation in effect as of the date of the officer's date of termination of employment or status as an officer ("Termination Date"). However, such terminated officers are not entitled to any new grants of interest in future executive bonus pools, any new grants of stock options, and payment of any compensation that would be deferred past the Transition Period due to payment criteria of an incentive program, as those criteria existed as of the Termination Date.</w:t>
      </w:r>
    </w:p>
    <w:p>
      <w:pPr>
        <w:spacing w:after="0" w:line="11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CHANGE IN CONTROL ARRANGEMENT</w:t>
      </w:r>
    </w:p>
    <w:p>
      <w:pPr>
        <w:spacing w:after="0" w:line="193" w:lineRule="exact"/>
        <w:rPr>
          <w:sz w:val="20"/>
          <w:szCs w:val="20"/>
          <w:color w:val="auto"/>
        </w:rPr>
      </w:pPr>
    </w:p>
    <w:p>
      <w:pPr>
        <w:ind w:right="2199" w:firstLine="401"/>
        <w:spacing w:after="0" w:line="258" w:lineRule="auto"/>
        <w:rPr>
          <w:sz w:val="20"/>
          <w:szCs w:val="20"/>
          <w:color w:val="auto"/>
        </w:rPr>
      </w:pPr>
      <w:r>
        <w:rPr>
          <w:rFonts w:ascii="Courier New" w:cs="Courier New" w:eastAsia="Courier New" w:hAnsi="Courier New"/>
          <w:sz w:val="17"/>
          <w:szCs w:val="17"/>
          <w:color w:val="auto"/>
        </w:rPr>
        <w:t>On October 31, 1988, the Company's Board of Directors adopted an arrangement whereby, upon any change in control of the Company, all unvested shares and options shall vest, and all unpaid bonuses subject to installments shall be immediately due and payable. "Change in Control" is defined under this arrangement to mean the acquisition by any person or entity, directly, indirectly or beneficially, acting alone or in concert, of more than thirty-five percent (35%) of the Common Stock of the Company then outstanding.</w:t>
      </w:r>
    </w:p>
    <w:p>
      <w:pPr>
        <w:spacing w:after="0" w:line="93" w:lineRule="exact"/>
        <w:rPr>
          <w:sz w:val="20"/>
          <w:szCs w:val="20"/>
          <w:color w:val="auto"/>
        </w:rPr>
      </w:pPr>
    </w:p>
    <w:p>
      <w:pPr>
        <w:ind w:right="2199" w:firstLine="401"/>
        <w:spacing w:after="0" w:line="262" w:lineRule="auto"/>
        <w:rPr>
          <w:sz w:val="20"/>
          <w:szCs w:val="20"/>
          <w:color w:val="auto"/>
        </w:rPr>
      </w:pPr>
      <w:r>
        <w:rPr>
          <w:rFonts w:ascii="Courier New" w:cs="Courier New" w:eastAsia="Courier New" w:hAnsi="Courier New"/>
          <w:sz w:val="17"/>
          <w:szCs w:val="17"/>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SET FORTH HEREIN SHALL NOT BE INCORPORATED BY REFERENCE INTO ANY SUCH FILINGS.</w:t>
      </w:r>
    </w:p>
    <w:p>
      <w:pPr>
        <w:spacing w:after="0" w:line="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471" w:right="1440" w:bottom="1440" w:gutter="0" w:footer="0" w:header="0"/>
        </w:sectPr>
      </w:pPr>
    </w:p>
    <w:bookmarkStart w:id="12" w:name="page13"/>
    <w:bookmarkEnd w:id="12"/>
    <w:p>
      <w:pPr>
        <w:jc w:val="center"/>
        <w:ind w:right="2199"/>
        <w:spacing w:after="0"/>
        <w:rPr>
          <w:sz w:val="20"/>
          <w:szCs w:val="20"/>
          <w:color w:val="auto"/>
        </w:rPr>
      </w:pPr>
      <w:r>
        <w:rPr>
          <w:rFonts w:ascii="Courier New" w:cs="Courier New" w:eastAsia="Courier New" w:hAnsi="Courier New"/>
          <w:sz w:val="17"/>
          <w:szCs w:val="17"/>
          <w:color w:val="auto"/>
        </w:rPr>
        <w:t>REPORT OF THE COMPENSATION COMMITTEE OF THE BOARD OF DIRECTORS</w:t>
      </w:r>
    </w:p>
    <w:p>
      <w:pPr>
        <w:spacing w:after="0" w:line="30"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REGARDING EXECUTIVE COMPENSATION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w:t>
      </w:r>
    </w:p>
    <w:p>
      <w:pPr>
        <w:spacing w:after="0" w:line="193" w:lineRule="exact"/>
        <w:rPr>
          <w:sz w:val="20"/>
          <w:szCs w:val="20"/>
          <w:color w:val="auto"/>
        </w:rPr>
      </w:pPr>
    </w:p>
    <w:p>
      <w:pPr>
        <w:ind w:right="2199" w:firstLine="401"/>
        <w:spacing w:after="0" w:line="251" w:lineRule="auto"/>
        <w:rPr>
          <w:sz w:val="20"/>
          <w:szCs w:val="20"/>
          <w:color w:val="auto"/>
        </w:rPr>
      </w:pPr>
      <w:r>
        <w:rPr>
          <w:rFonts w:ascii="Courier New" w:cs="Courier New" w:eastAsia="Courier New" w:hAnsi="Courier New"/>
          <w:sz w:val="17"/>
          <w:szCs w:val="17"/>
          <w:color w:val="auto"/>
        </w:rPr>
        <w:t>This report has been prepared by the Compensation Committee of the Board of Directors of the Company (the "Committee"). Messrs. Bagley, Lothrop and Nicholson serve as members of the Committee. The Committee meets at least annually or more frequently as the Company's Board of Directors may request. During fiscal 2000, the Committee met three times. The Committee's primary responsibilities include the review of compensation, consisting of salary, bonuses, benefits, stock option grants and other compensation, of the Company's executive officers. Compensation for the Company's executive officers for fiscal 2000, including base salary, performance bonuses, stock option grants, and other compensation, were determined by the Committee and reviewed and approved by the Company's Board of Directors.</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 COMPENSATION</w:t>
      </w:r>
    </w:p>
    <w:p>
      <w:pPr>
        <w:spacing w:after="0" w:line="193" w:lineRule="exact"/>
        <w:rPr>
          <w:sz w:val="20"/>
          <w:szCs w:val="20"/>
          <w:color w:val="auto"/>
        </w:rPr>
      </w:pPr>
    </w:p>
    <w:p>
      <w:pPr>
        <w:ind w:right="2299" w:firstLine="401"/>
        <w:spacing w:after="0" w:line="251" w:lineRule="auto"/>
        <w:rPr>
          <w:sz w:val="20"/>
          <w:szCs w:val="20"/>
          <w:color w:val="auto"/>
        </w:rPr>
      </w:pPr>
      <w:r>
        <w:rPr>
          <w:rFonts w:ascii="Courier New" w:cs="Courier New" w:eastAsia="Courier New" w:hAnsi="Courier New"/>
          <w:sz w:val="17"/>
          <w:szCs w:val="17"/>
          <w:color w:val="auto"/>
        </w:rPr>
        <w:t>The executive officer compensation programs utilized by the Company are described below for the purpose of providing a general understanding of the various components of executive officer compensation. These executive officer compensation programs are designed to attract, retain and reward highly qualified executive officers who are important to the Company's success and to provide incentives relating directly to the financial performance and long-term growth of the Company and its subsidiaries. The various components of the executive officer compensation programs used by the Company are, in most cases, the same as those made available generally to employees of the Company and its subsidiaries. The following is a summary of the executive officer compensation programs:</w:t>
      </w:r>
    </w:p>
    <w:p>
      <w:pPr>
        <w:spacing w:after="0" w:line="97"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CASH COMPENSATION</w:t>
      </w:r>
    </w:p>
    <w:p>
      <w:pPr>
        <w:spacing w:after="0" w:line="193" w:lineRule="exact"/>
        <w:rPr>
          <w:sz w:val="20"/>
          <w:szCs w:val="20"/>
          <w:color w:val="auto"/>
        </w:rPr>
      </w:pPr>
    </w:p>
    <w:p>
      <w:pPr>
        <w:ind w:right="2299" w:firstLine="401"/>
        <w:spacing w:after="0" w:line="275" w:lineRule="auto"/>
        <w:rPr>
          <w:sz w:val="20"/>
          <w:szCs w:val="20"/>
          <w:color w:val="auto"/>
        </w:rPr>
      </w:pPr>
      <w:r>
        <w:rPr>
          <w:rFonts w:ascii="Courier New" w:cs="Courier New" w:eastAsia="Courier New" w:hAnsi="Courier New"/>
          <w:sz w:val="16"/>
          <w:szCs w:val="16"/>
          <w:color w:val="auto"/>
        </w:rPr>
        <w:t>BASE SALARY. Base salaries are established primarily upon an evaluation of the executive officer's position and contributions to the Company, including</w:t>
      </w:r>
    </w:p>
    <w:p>
      <w:pPr>
        <w:ind w:right="2599" w:firstLine="3"/>
        <w:spacing w:after="0" w:line="276" w:lineRule="auto"/>
        <w:tabs>
          <w:tab w:leader="none" w:pos="401"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individual performance, (ii) level of responsibility, (iii) technical expertise, (iv) Company performance, (v) length of service and (vi) industry compensation levels.</w:t>
      </w:r>
    </w:p>
    <w:p>
      <w:pPr>
        <w:spacing w:after="0" w:line="77" w:lineRule="exact"/>
        <w:rPr>
          <w:sz w:val="20"/>
          <w:szCs w:val="20"/>
          <w:color w:val="auto"/>
        </w:rPr>
      </w:pPr>
    </w:p>
    <w:p>
      <w:pPr>
        <w:ind w:right="2199" w:firstLine="401"/>
        <w:spacing w:after="0" w:line="263" w:lineRule="auto"/>
        <w:rPr>
          <w:sz w:val="20"/>
          <w:szCs w:val="20"/>
          <w:color w:val="auto"/>
        </w:rPr>
      </w:pPr>
      <w:r>
        <w:rPr>
          <w:rFonts w:ascii="Courier New" w:cs="Courier New" w:eastAsia="Courier New" w:hAnsi="Courier New"/>
          <w:sz w:val="16"/>
          <w:szCs w:val="16"/>
          <w:color w:val="auto"/>
        </w:rPr>
        <w:t>COMPANY PERFORMANCE BONUSES. The performance bonuses paid in fiscal 2000 relate to the Company's performance in fiscal 1997 and 2000. Cash bonuses to executive officers are intended to reward executive officers for the Company's financial performance during each fiscal year. Accordingly, bonuses are determined based on performance criteria established at the beginning of each fiscal year formulated primarily as a percentage of the Company's profits at the end of the fiscal year. Performance bonus percentages are established according to a subjective analysis of each executive officer's contribution to the Company according to the same criteria utilized to determine base salary. Bonuses and profits are based on the results of the Company's semiconductor operations. No performance bonuses were earned for fiscal 1998 and 1999 as a result of the Company's financial performance for such periods. The performance bonus for fiscal 1997 will be paid in five generally annual installments and is subject to payment restrictions, including that the Company be profitable in the fiscal quarter immediately prior to payment, as described in "PAYMENT/EXERCISE RESTRICTIONS" below. Four installments of the fiscal 1997 bonus have been paid to date. The performance bonus for fiscal 2000 was paid in a lump sum. Bonuses for fiscal 2001, if any, will be paid in a lump sum.</w:t>
      </w:r>
    </w:p>
    <w:p>
      <w:pPr>
        <w:spacing w:after="0" w:line="285" w:lineRule="exact"/>
        <w:rPr>
          <w:sz w:val="20"/>
          <w:szCs w:val="20"/>
          <w:color w:val="auto"/>
        </w:rPr>
      </w:pPr>
    </w:p>
    <w:p>
      <w:pPr>
        <w:ind w:right="2299" w:firstLine="401"/>
        <w:spacing w:after="0" w:line="295" w:lineRule="auto"/>
        <w:rPr>
          <w:sz w:val="20"/>
          <w:szCs w:val="20"/>
          <w:color w:val="auto"/>
        </w:rPr>
      </w:pPr>
      <w:r>
        <w:rPr>
          <w:rFonts w:ascii="Courier New" w:cs="Courier New" w:eastAsia="Courier New" w:hAnsi="Courier New"/>
          <w:sz w:val="17"/>
          <w:szCs w:val="17"/>
          <w:color w:val="auto"/>
        </w:rPr>
        <w:t>PROFIT SHARING. The Company distributes ten percent (10%) of the Company's quarterly after-tax profits (determined on an unconsolidated basis) to all eligible employees of the Company.</w:t>
      </w:r>
    </w:p>
    <w:p>
      <w:pPr>
        <w:spacing w:after="0" w:line="61" w:lineRule="exact"/>
        <w:rPr>
          <w:sz w:val="20"/>
          <w:szCs w:val="20"/>
          <w:color w:val="auto"/>
        </w:rPr>
      </w:pPr>
    </w:p>
    <w:p>
      <w:pPr>
        <w:ind w:right="2299" w:firstLine="401"/>
        <w:spacing w:after="0" w:line="299" w:lineRule="auto"/>
        <w:rPr>
          <w:sz w:val="20"/>
          <w:szCs w:val="20"/>
          <w:color w:val="auto"/>
        </w:rPr>
      </w:pPr>
      <w:r>
        <w:rPr>
          <w:rFonts w:ascii="Courier New" w:cs="Courier New" w:eastAsia="Courier New" w:hAnsi="Courier New"/>
          <w:sz w:val="16"/>
          <w:szCs w:val="16"/>
          <w:color w:val="auto"/>
        </w:rPr>
        <w:t>INCENTIVE BONUSES. From time to time, incentive cash bonuses are approved for payment to employees, including executive officers, for the achievement of milestones, the completion of projects identified as contributing substantially to the Company's success, and the attainment of technological advances.</w:t>
      </w:r>
    </w:p>
    <w:p>
      <w:pPr>
        <w:spacing w:after="0" w:line="6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471" w:right="1440" w:bottom="1440" w:gutter="0" w:footer="0" w:header="0"/>
        </w:sectPr>
      </w:pPr>
    </w:p>
    <w:bookmarkStart w:id="13" w:name="page14"/>
    <w:bookmarkEnd w:id="13"/>
    <w:p>
      <w:pPr>
        <w:ind w:left="400"/>
        <w:spacing w:after="0"/>
        <w:rPr>
          <w:sz w:val="20"/>
          <w:szCs w:val="20"/>
          <w:color w:val="auto"/>
        </w:rPr>
      </w:pPr>
      <w:r>
        <w:rPr>
          <w:rFonts w:ascii="Courier New" w:cs="Courier New" w:eastAsia="Courier New" w:hAnsi="Courier New"/>
          <w:sz w:val="17"/>
          <w:szCs w:val="17"/>
          <w:color w:val="auto"/>
        </w:rPr>
        <w:t>EQUITY COMPENSATION</w:t>
      </w:r>
    </w:p>
    <w:p>
      <w:pPr>
        <w:spacing w:after="0" w:line="193" w:lineRule="exact"/>
        <w:rPr>
          <w:sz w:val="20"/>
          <w:szCs w:val="20"/>
          <w:color w:val="auto"/>
        </w:rPr>
      </w:pPr>
    </w:p>
    <w:p>
      <w:pPr>
        <w:ind w:right="2199" w:firstLine="401"/>
        <w:spacing w:after="0" w:line="253" w:lineRule="auto"/>
        <w:rPr>
          <w:sz w:val="20"/>
          <w:szCs w:val="20"/>
          <w:color w:val="auto"/>
        </w:rPr>
      </w:pPr>
      <w:r>
        <w:rPr>
          <w:rFonts w:ascii="Courier New" w:cs="Courier New" w:eastAsia="Courier New" w:hAnsi="Courier New"/>
          <w:sz w:val="17"/>
          <w:szCs w:val="17"/>
          <w:color w:val="auto"/>
        </w:rPr>
        <w:t>In order to provide incentive to the executive officers and employees of the Company related to long-term growth in the value of the Company's Common Stock, the Company issues incentive stock options and nonstatutory stock options to such persons under the Company's 1994 Stock Option Plan, Nonstatutory Stock Option Plan, 1997 Nonstatutory Stock Option Plan and 1998 Nonstatutory Stock Option Plan (collectively, the "Stock Plans"). The determination of who receives stock options under the Stock Plans and the number of stock options granted to each such recipient is based upon the same criteria utilized to determine base salary.</w:t>
      </w:r>
    </w:p>
    <w:p>
      <w:pPr>
        <w:spacing w:after="0" w:line="100"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OTHER COMPENSATION</w:t>
      </w:r>
    </w:p>
    <w:p>
      <w:pPr>
        <w:spacing w:after="0" w:line="193" w:lineRule="exact"/>
        <w:rPr>
          <w:sz w:val="20"/>
          <w:szCs w:val="20"/>
          <w:color w:val="auto"/>
        </w:rPr>
      </w:pPr>
    </w:p>
    <w:p>
      <w:pPr>
        <w:ind w:right="2199" w:firstLine="401"/>
        <w:spacing w:after="0" w:line="277" w:lineRule="auto"/>
        <w:rPr>
          <w:sz w:val="20"/>
          <w:szCs w:val="20"/>
          <w:color w:val="auto"/>
        </w:rPr>
      </w:pPr>
      <w:r>
        <w:rPr>
          <w:rFonts w:ascii="Courier New" w:cs="Courier New" w:eastAsia="Courier New" w:hAnsi="Courier New"/>
          <w:sz w:val="16"/>
          <w:szCs w:val="16"/>
          <w:color w:val="auto"/>
        </w:rPr>
        <w:t>In addition to cash and equity compensation programs, the executive officers participate in various other employee benefit plans, including, but not limited to, a time-off plan. Under the time-off plan, all employees of the Company, including executive officers, are allowed to accumulate a predetermined nondiscriminatory number of hours for vacation, holiday, sick time, emergencies and personal needs. Executive officer participation in various professional organizations and associations may also be funded by the Company.</w:t>
      </w:r>
    </w:p>
    <w:p>
      <w:pPr>
        <w:spacing w:after="0" w:line="77"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PAYMENT/EXERCISE RESTRICTIONS</w:t>
      </w:r>
    </w:p>
    <w:p>
      <w:pPr>
        <w:spacing w:after="0" w:line="193" w:lineRule="exact"/>
        <w:rPr>
          <w:sz w:val="20"/>
          <w:szCs w:val="20"/>
          <w:color w:val="auto"/>
        </w:rPr>
      </w:pPr>
    </w:p>
    <w:p>
      <w:pPr>
        <w:ind w:right="2399" w:firstLine="401"/>
        <w:spacing w:after="0" w:line="261" w:lineRule="auto"/>
        <w:rPr>
          <w:sz w:val="20"/>
          <w:szCs w:val="20"/>
          <w:color w:val="auto"/>
        </w:rPr>
      </w:pPr>
      <w:r>
        <w:rPr>
          <w:rFonts w:ascii="Courier New" w:cs="Courier New" w:eastAsia="Courier New" w:hAnsi="Courier New"/>
          <w:sz w:val="16"/>
          <w:szCs w:val="16"/>
          <w:color w:val="auto"/>
        </w:rPr>
        <w:t>In an effort to encourage employees and executive officers to remain employed by the Company and to promote Company performance, many compensation programs for employees and executive officers contain provisions which subject the payment or realization of benefits under such programs to certain conditions. In this regard, Company performance bonuses awarded to each executive officer are earned and paid subject to the following conditions:</w:t>
      </w:r>
    </w:p>
    <w:p>
      <w:pPr>
        <w:spacing w:after="0" w:line="4" w:lineRule="exact"/>
        <w:rPr>
          <w:sz w:val="20"/>
          <w:szCs w:val="20"/>
          <w:color w:val="auto"/>
        </w:rPr>
      </w:pPr>
    </w:p>
    <w:p>
      <w:pPr>
        <w:ind w:right="2299" w:firstLine="3"/>
        <w:spacing w:after="0" w:line="270" w:lineRule="auto"/>
        <w:tabs>
          <w:tab w:leader="none" w:pos="4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profitable in the fiscal quarter immediately prior to payment; (ii) the individual is employed by the Company or a subsidiary of the Company at the time of payment (regardless of the fiscal year results for which the payment is attributable); and (iii) the Committee's certification that the executive officer's goals were achieved. Likewise, stock options granted to executive officers typically have a term of ten years and vest twenty-five percent (25%) each year for a period of four years from the date of grant.</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CEO COMPENSATION</w:t>
      </w:r>
    </w:p>
    <w:p>
      <w:pPr>
        <w:spacing w:after="0" w:line="193" w:lineRule="exact"/>
        <w:rPr>
          <w:sz w:val="20"/>
          <w:szCs w:val="20"/>
          <w:color w:val="auto"/>
        </w:rPr>
      </w:pPr>
    </w:p>
    <w:p>
      <w:pPr>
        <w:ind w:right="2199" w:firstLine="401"/>
        <w:spacing w:after="0" w:line="261" w:lineRule="auto"/>
        <w:rPr>
          <w:sz w:val="20"/>
          <w:szCs w:val="20"/>
          <w:color w:val="auto"/>
        </w:rPr>
      </w:pPr>
      <w:r>
        <w:rPr>
          <w:rFonts w:ascii="Courier New" w:cs="Courier New" w:eastAsia="Courier New" w:hAnsi="Courier New"/>
          <w:sz w:val="16"/>
          <w:szCs w:val="16"/>
          <w:color w:val="auto"/>
        </w:rPr>
        <w:t>Steven R. Appleton's annual base salary was set at $800,000 in July 2000 and was based primarily on Mr. Appleton's overall and anticipated performance, the Company's performance, and the Committee's assessment of the compensation practices of other semiconductor manufacturing companies. This was the first increase in Mr. Appleton's salary since July 1997. Mr. Appleton did not earn any cash bonus payments pursuant to Company Performance Bonuses for fiscal 1998 or</w:t>
      </w:r>
    </w:p>
    <w:p>
      <w:pPr>
        <w:spacing w:after="0" w:line="4" w:lineRule="exact"/>
        <w:rPr>
          <w:sz w:val="20"/>
          <w:szCs w:val="20"/>
          <w:color w:val="auto"/>
        </w:rPr>
      </w:pPr>
    </w:p>
    <w:p>
      <w:pPr>
        <w:ind w:right="2199"/>
        <w:spacing w:after="0" w:line="264" w:lineRule="auto"/>
        <w:rPr>
          <w:sz w:val="20"/>
          <w:szCs w:val="20"/>
          <w:color w:val="auto"/>
        </w:rPr>
      </w:pPr>
      <w:r>
        <w:rPr>
          <w:rFonts w:ascii="Courier New" w:cs="Courier New" w:eastAsia="Courier New" w:hAnsi="Courier New"/>
          <w:sz w:val="17"/>
          <w:szCs w:val="17"/>
          <w:color w:val="auto"/>
        </w:rPr>
        <w:t>1999. Mr. Appleton received a cash bonus of $ in fiscal 2000 which was related to the Company's performance in fiscal 1997 and 2000. See the description of "COMPANY PERFORMANCE BONUSES" and "PAYMENT/EXERCISE RESTRICTIONS" in this Report.</w:t>
      </w:r>
    </w:p>
    <w:p>
      <w:pPr>
        <w:spacing w:after="0" w:line="86" w:lineRule="exact"/>
        <w:rPr>
          <w:sz w:val="20"/>
          <w:szCs w:val="20"/>
          <w:color w:val="auto"/>
        </w:rPr>
      </w:pPr>
    </w:p>
    <w:p>
      <w:pPr>
        <w:ind w:right="2199" w:firstLine="401"/>
        <w:spacing w:after="0" w:line="255" w:lineRule="auto"/>
        <w:rPr>
          <w:sz w:val="20"/>
          <w:szCs w:val="20"/>
          <w:color w:val="auto"/>
        </w:rPr>
      </w:pPr>
      <w:r>
        <w:rPr>
          <w:rFonts w:ascii="Courier New" w:cs="Courier New" w:eastAsia="Courier New" w:hAnsi="Courier New"/>
          <w:sz w:val="17"/>
          <w:szCs w:val="17"/>
          <w:color w:val="auto"/>
        </w:rPr>
        <w:t>In fiscal 2000, Mr. Appleton was granted options to purchase shares. The Company granted stock options to other executive officers at the same time. The Committee did not have a plan pursuant to which a predetermined number of stock options were allocated to Mr. Appleton. The actual number of the stock options granted to Mr. Appleton was based upon subjective and objective factors, such as his individual performance, his position in the Company relative to the other executive officers who received option grants on the same date, the Company's overall performance, his length of service with the</w:t>
      </w:r>
    </w:p>
    <w:p>
      <w:pPr>
        <w:spacing w:after="0" w:line="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471" w:right="1440" w:bottom="1440" w:gutter="0" w:footer="0" w:header="0"/>
        </w:sectPr>
      </w:pPr>
    </w:p>
    <w:bookmarkStart w:id="14" w:name="page15"/>
    <w:bookmarkEnd w:id="14"/>
    <w:p>
      <w:pPr>
        <w:ind w:right="2699"/>
        <w:spacing w:after="0" w:line="382" w:lineRule="auto"/>
        <w:rPr>
          <w:sz w:val="20"/>
          <w:szCs w:val="20"/>
          <w:color w:val="auto"/>
        </w:rPr>
      </w:pPr>
      <w:r>
        <w:rPr>
          <w:rFonts w:ascii="Courier New" w:cs="Courier New" w:eastAsia="Courier New" w:hAnsi="Courier New"/>
          <w:sz w:val="16"/>
          <w:szCs w:val="16"/>
          <w:color w:val="auto"/>
        </w:rPr>
        <w:t>Company, his past contributions to the success of the Company, his expected contributions to the future success of the Company and industry practices.</w:t>
      </w:r>
    </w:p>
    <w:p>
      <w:pPr>
        <w:spacing w:after="0" w:line="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Compensation Committee of the Board of Directors</w:t>
      </w:r>
    </w:p>
    <w:p>
      <w:pPr>
        <w:spacing w:after="0" w:line="19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James W. Bagley</w:t>
      </w:r>
    </w:p>
    <w:p>
      <w:pPr>
        <w:spacing w:after="0" w:line="30"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Robert A. Lothrop</w:t>
      </w:r>
    </w:p>
    <w:p>
      <w:pPr>
        <w:ind w:left="3200"/>
        <w:spacing w:after="0"/>
        <w:rPr>
          <w:sz w:val="20"/>
          <w:szCs w:val="20"/>
          <w:color w:val="auto"/>
        </w:rPr>
      </w:pPr>
      <w:r>
        <w:rPr>
          <w:rFonts w:ascii="Courier New" w:cs="Courier New" w:eastAsia="Courier New" w:hAnsi="Courier New"/>
          <w:sz w:val="17"/>
          <w:szCs w:val="17"/>
          <w:color w:val="auto"/>
        </w:rPr>
        <w:t>Thomas T. Nicholson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3" w:lineRule="exact"/>
        <w:rPr>
          <w:sz w:val="20"/>
          <w:szCs w:val="20"/>
          <w:color w:val="auto"/>
        </w:rPr>
      </w:pPr>
    </w:p>
    <w:p>
      <w:pPr>
        <w:ind w:right="2399" w:firstLine="401"/>
        <w:spacing w:after="0" w:line="350" w:lineRule="auto"/>
        <w:rPr>
          <w:sz w:val="20"/>
          <w:szCs w:val="20"/>
          <w:color w:val="auto"/>
        </w:rPr>
      </w:pPr>
      <w:r>
        <w:rPr>
          <w:rFonts w:ascii="Courier New" w:cs="Courier New" w:eastAsia="Courier New" w:hAnsi="Courier New"/>
          <w:sz w:val="17"/>
          <w:szCs w:val="17"/>
          <w:color w:val="auto"/>
        </w:rPr>
        <w:t>During fiscal 2000, no members of the Compensation Committee were officers or employees of the Company or any of its subsidiaries.</w:t>
      </w:r>
    </w:p>
    <w:p>
      <w:pPr>
        <w:spacing w:after="0" w:line="1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471" w:right="1440" w:bottom="1440" w:gutter="0" w:footer="0" w:header="0"/>
        </w:sectPr>
      </w:pPr>
    </w:p>
    <w:bookmarkStart w:id="15" w:name="page16"/>
    <w:bookmarkEnd w:id="15"/>
    <w:p>
      <w:pPr>
        <w:jc w:val="center"/>
        <w:ind w:right="3600"/>
        <w:spacing w:after="0"/>
        <w:rPr>
          <w:sz w:val="20"/>
          <w:szCs w:val="20"/>
          <w:color w:val="auto"/>
        </w:rPr>
      </w:pPr>
      <w:r>
        <w:rPr>
          <w:rFonts w:ascii="Courier New" w:cs="Courier New" w:eastAsia="Courier New" w:hAnsi="Courier New"/>
          <w:sz w:val="17"/>
          <w:szCs w:val="17"/>
          <w:color w:val="auto"/>
        </w:rPr>
        <w:t>PERFORMANCE GRAPH</w:t>
      </w:r>
    </w:p>
    <w:p>
      <w:pPr>
        <w:spacing w:after="0" w:line="193" w:lineRule="exact"/>
        <w:rPr>
          <w:sz w:val="20"/>
          <w:szCs w:val="20"/>
          <w:color w:val="auto"/>
        </w:rPr>
      </w:pPr>
    </w:p>
    <w:p>
      <w:pPr>
        <w:ind w:right="3500" w:firstLine="401"/>
        <w:spacing w:after="0" w:line="276" w:lineRule="auto"/>
        <w:rPr>
          <w:sz w:val="20"/>
          <w:szCs w:val="20"/>
          <w:color w:val="auto"/>
        </w:rPr>
      </w:pPr>
      <w:r>
        <w:rPr>
          <w:rFonts w:ascii="Courier New" w:cs="Courier New" w:eastAsia="Courier New" w:hAnsi="Courier New"/>
          <w:sz w:val="17"/>
          <w:szCs w:val="17"/>
          <w:color w:val="auto"/>
        </w:rPr>
        <w:t>The following graph illustrates a five-year comparison of cumulative total returns for the Company's Common Stock, the S&amp;P 500 Composite Index, and the S&amp;P Electronics (Semiconductors) Index from August 31, 1995, through August 31, 2000.</w:t>
      </w:r>
    </w:p>
    <w:p>
      <w:pPr>
        <w:spacing w:after="0" w:line="78" w:lineRule="exact"/>
        <w:rPr>
          <w:sz w:val="20"/>
          <w:szCs w:val="20"/>
          <w:color w:val="auto"/>
        </w:rPr>
      </w:pPr>
    </w:p>
    <w:p>
      <w:pPr>
        <w:ind w:right="3500" w:firstLine="401"/>
        <w:spacing w:after="0" w:line="295" w:lineRule="auto"/>
        <w:rPr>
          <w:sz w:val="20"/>
          <w:szCs w:val="20"/>
          <w:color w:val="auto"/>
        </w:rPr>
      </w:pPr>
      <w:r>
        <w:rPr>
          <w:rFonts w:ascii="Courier New" w:cs="Courier New" w:eastAsia="Courier New" w:hAnsi="Courier New"/>
          <w:sz w:val="17"/>
          <w:szCs w:val="17"/>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61" w:lineRule="exact"/>
        <w:rPr>
          <w:sz w:val="20"/>
          <w:szCs w:val="20"/>
          <w:color w:val="auto"/>
        </w:rPr>
      </w:pPr>
    </w:p>
    <w:p>
      <w:pPr>
        <w:ind w:right="3500" w:firstLine="401"/>
        <w:spacing w:after="0" w:line="271" w:lineRule="auto"/>
        <w:rPr>
          <w:sz w:val="20"/>
          <w:szCs w:val="20"/>
          <w:color w:val="auto"/>
        </w:rPr>
      </w:pPr>
      <w:r>
        <w:rPr>
          <w:rFonts w:ascii="Courier New" w:cs="Courier New" w:eastAsia="Courier New" w:hAnsi="Courier New"/>
          <w:sz w:val="16"/>
          <w:szCs w:val="16"/>
          <w:color w:val="auto"/>
        </w:rPr>
        <w:t>The Company operates on a 52/53 week fiscal year which ends on the Thursday closest to August 31. Accordingly, the last trading day of the Company's fiscal year varies. For consistent presentation and comparison to the industry indices shown herein, the Company has calculated its stock performance graph assuming an August 31 year-end. The performance graph assumes $100 invested on August 31, 1995, in Common Stock of Micron Technology, Inc., the S&amp;P 500 Composite Index, and the S&amp;P Electronics (Semiconductors) Index. Any dividends paid during the period presented are assumed to be reinvested. The performance was plotted using the following data:</w:t>
      </w:r>
    </w:p>
    <w:p>
      <w:pPr>
        <w:spacing w:after="0" w:line="85"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MICRON TECHNOLOGY, INC.</w:t>
      </w:r>
    </w:p>
    <w:p>
      <w:pPr>
        <w:spacing w:after="0" w:line="3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STOCK PERFORMANCE GRAPH</w:t>
      </w:r>
    </w:p>
    <w:p>
      <w:pPr>
        <w:spacing w:after="0" w:line="200" w:lineRule="exact"/>
        <w:rPr>
          <w:sz w:val="20"/>
          <w:szCs w:val="20"/>
          <w:color w:val="auto"/>
        </w:rPr>
      </w:pPr>
    </w:p>
    <w:p>
      <w:pPr>
        <w:spacing w:after="0" w:line="348" w:lineRule="exact"/>
        <w:rPr>
          <w:sz w:val="20"/>
          <w:szCs w:val="20"/>
          <w:color w:val="auto"/>
        </w:rPr>
      </w:pPr>
    </w:p>
    <w:tbl>
      <w:tblPr>
        <w:tblLayout w:type="fixed"/>
        <w:tblInd w:w="5220" w:type="dxa"/>
        <w:tblCellMar>
          <w:top w:w="0" w:type="dxa"/>
          <w:left w:w="0" w:type="dxa"/>
          <w:bottom w:w="0" w:type="dxa"/>
          <w:right w:w="0" w:type="dxa"/>
        </w:tblCellMar>
      </w:tblPr>
      <w:tr>
        <w:trPr>
          <w:trHeight w:val="193"/>
        </w:trPr>
        <w:tc>
          <w:tcPr>
            <w:tcW w:w="9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1995</w:t>
            </w:r>
          </w:p>
        </w:tc>
        <w:tc>
          <w:tcPr>
            <w:tcW w:w="11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1996</w:t>
            </w:r>
          </w:p>
        </w:tc>
        <w:tc>
          <w:tcPr>
            <w:tcW w:w="11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1997</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1998</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1999</w:t>
            </w:r>
          </w:p>
        </w:tc>
        <w:tc>
          <w:tcPr>
            <w:tcW w:w="9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2000</w:t>
            </w:r>
          </w:p>
        </w:tc>
      </w:tr>
      <w:tr>
        <w:trPr>
          <w:trHeight w:val="281"/>
        </w:trPr>
        <w:tc>
          <w:tcPr>
            <w:tcW w:w="940" w:type="dxa"/>
            <w:vAlign w:val="bottom"/>
          </w:tcPr>
          <w:p>
            <w:pPr>
              <w:jc w:val="right"/>
              <w:ind w:right="56"/>
              <w:spacing w:after="0"/>
              <w:rPr>
                <w:sz w:val="20"/>
                <w:szCs w:val="20"/>
                <w:color w:val="auto"/>
              </w:rPr>
            </w:pPr>
            <w:r>
              <w:rPr>
                <w:rFonts w:ascii="Courier New" w:cs="Courier New" w:eastAsia="Courier New" w:hAnsi="Courier New"/>
                <w:sz w:val="17"/>
                <w:szCs w:val="17"/>
                <w:color w:val="auto"/>
                <w:w w:val="95"/>
              </w:rPr>
              <w:t>--------</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Micron Technology, Inc............................</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S&amp;P 500...........................................</w:t>
      </w:r>
    </w:p>
    <w:p>
      <w:pPr>
        <w:spacing w:after="0"/>
        <w:rPr>
          <w:sz w:val="20"/>
          <w:szCs w:val="20"/>
          <w:color w:val="auto"/>
        </w:rPr>
      </w:pPr>
      <w:r>
        <w:rPr>
          <w:rFonts w:ascii="Courier New" w:cs="Courier New" w:eastAsia="Courier New" w:hAnsi="Courier New"/>
          <w:sz w:val="17"/>
          <w:szCs w:val="17"/>
          <w:color w:val="auto"/>
        </w:rPr>
        <w:t>S&amp;P Electronics (Semiconductors)..................</w:t>
      </w:r>
    </w:p>
    <w:p>
      <w:pPr>
        <w:spacing w:after="0" w:line="35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1520"/>
          </w:cols>
          <w:pgMar w:left="240" w:top="471" w:right="139" w:bottom="1440" w:gutter="0" w:footer="0" w:header="0"/>
        </w:sectPr>
      </w:pPr>
    </w:p>
    <w:bookmarkStart w:id="16" w:name="page17"/>
    <w:bookmarkEnd w:id="16"/>
    <w:p>
      <w:pPr>
        <w:ind w:right="2499"/>
        <w:spacing w:after="0" w:line="295" w:lineRule="auto"/>
        <w:rPr>
          <w:sz w:val="20"/>
          <w:szCs w:val="20"/>
          <w:color w:val="auto"/>
        </w:rPr>
      </w:pPr>
      <w:r>
        <w:rPr>
          <w:rFonts w:ascii="Courier New" w:cs="Courier New" w:eastAsia="Courier New" w:hAnsi="Courier New"/>
          <w:sz w:val="17"/>
          <w:szCs w:val="17"/>
          <w:color w:val="auto"/>
        </w:rPr>
        <w:t>PROPOSAL 2. APPROVAL OF AN AMENDMENT TO THE COMPANY'S CERTIFICATE OF INCORPORATION INCREASING THE NUMBER OF AUTHORIZED SHARES OF COMMON STOCK FROM 1,000,000,000 TO 3,000,000,000.</w:t>
      </w:r>
    </w:p>
    <w:p>
      <w:pPr>
        <w:spacing w:after="0" w:line="61" w:lineRule="exact"/>
        <w:rPr>
          <w:sz w:val="20"/>
          <w:szCs w:val="20"/>
          <w:color w:val="auto"/>
        </w:rPr>
      </w:pPr>
    </w:p>
    <w:p>
      <w:pPr>
        <w:ind w:right="2299" w:firstLine="401"/>
        <w:spacing w:after="0" w:line="281" w:lineRule="auto"/>
        <w:rPr>
          <w:sz w:val="20"/>
          <w:szCs w:val="20"/>
          <w:color w:val="auto"/>
        </w:rPr>
      </w:pPr>
      <w:r>
        <w:rPr>
          <w:rFonts w:ascii="Courier New" w:cs="Courier New" w:eastAsia="Courier New" w:hAnsi="Courier New"/>
          <w:sz w:val="16"/>
          <w:szCs w:val="16"/>
          <w:color w:val="auto"/>
        </w:rPr>
        <w:t>The Company's Certificate of Incorporation (the "Certificate") as currently in effect provides that the Company is authorized to issue 1,000,000,000 shares of Common Stock, $0.10 par value per share. On August 22, 2000, the Board of Directors authorized an amendment to the Certificate to increase the authorized number of shares of Common Stock to 3,000,000,000 shares. The shareholders are being asked to approve at the Annual Meeting such amendment to the Certificate.</w:t>
      </w:r>
    </w:p>
    <w:p>
      <w:pPr>
        <w:spacing w:after="0" w:line="76" w:lineRule="exact"/>
        <w:rPr>
          <w:sz w:val="20"/>
          <w:szCs w:val="20"/>
          <w:color w:val="auto"/>
        </w:rPr>
      </w:pPr>
    </w:p>
    <w:p>
      <w:pPr>
        <w:ind w:right="2399" w:firstLine="401"/>
        <w:spacing w:after="0" w:line="252" w:lineRule="auto"/>
        <w:rPr>
          <w:sz w:val="20"/>
          <w:szCs w:val="20"/>
          <w:color w:val="auto"/>
        </w:rPr>
      </w:pPr>
      <w:r>
        <w:rPr>
          <w:rFonts w:ascii="Courier New" w:cs="Courier New" w:eastAsia="Courier New" w:hAnsi="Courier New"/>
          <w:sz w:val="17"/>
          <w:szCs w:val="17"/>
          <w:color w:val="auto"/>
        </w:rPr>
        <w:t>The Company currently has 1,000,000,000 authorized shares of Common Stock. As of October 2, 2000, shares of Common Stock were issued and outstanding. In addition, as of October 2, 2000, shares were</w:t>
      </w:r>
    </w:p>
    <w:p>
      <w:pPr>
        <w:spacing w:after="0" w:line="2" w:lineRule="exact"/>
        <w:rPr>
          <w:sz w:val="20"/>
          <w:szCs w:val="20"/>
          <w:color w:val="auto"/>
        </w:rPr>
      </w:pPr>
    </w:p>
    <w:p>
      <w:pPr>
        <w:ind w:right="2799"/>
        <w:spacing w:after="0" w:line="313" w:lineRule="auto"/>
        <w:rPr>
          <w:sz w:val="20"/>
          <w:szCs w:val="20"/>
          <w:color w:val="auto"/>
        </w:rPr>
      </w:pPr>
      <w:r>
        <w:rPr>
          <w:rFonts w:ascii="Courier New" w:cs="Courier New" w:eastAsia="Courier New" w:hAnsi="Courier New"/>
          <w:sz w:val="17"/>
          <w:szCs w:val="17"/>
          <w:color w:val="auto"/>
        </w:rPr>
        <w:t>reserved for future grant or for issuance upon the exercise of outstanding options under the Company's Stock Plans.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 AND EFFECT OF THE AMENDMENT</w:t>
      </w:r>
    </w:p>
    <w:p>
      <w:pPr>
        <w:spacing w:after="0" w:line="193" w:lineRule="exact"/>
        <w:rPr>
          <w:sz w:val="20"/>
          <w:szCs w:val="20"/>
          <w:color w:val="auto"/>
        </w:rPr>
      </w:pPr>
    </w:p>
    <w:p>
      <w:pPr>
        <w:ind w:right="2199" w:firstLine="401"/>
        <w:spacing w:after="0" w:line="271" w:lineRule="auto"/>
        <w:rPr>
          <w:sz w:val="20"/>
          <w:szCs w:val="20"/>
          <w:color w:val="auto"/>
        </w:rPr>
      </w:pPr>
      <w:r>
        <w:rPr>
          <w:rFonts w:ascii="Courier New" w:cs="Courier New" w:eastAsia="Courier New" w:hAnsi="Courier New"/>
          <w:sz w:val="16"/>
          <w:szCs w:val="16"/>
          <w:color w:val="auto"/>
        </w:rPr>
        <w:t>The principal purpose of the proposed amendment of the Certificate is to authorize additional shares of Common Stock which will be available in the event the Board of Directors determines that it is necessary or appropriate to permit future stock splits, stock dividends or to utilize such shares for various business purposes. The Board of Directors has no present plan, agreement, or arrangement to issue any of the shares for which approval is sought. If the amendment is approved by the shareholders, the Board of Directors does not intend to solicit further shareholder approval prior to the issuance of any additional shares of Common Stock, except as may be required by applicable law.</w:t>
      </w:r>
    </w:p>
    <w:p>
      <w:pPr>
        <w:spacing w:after="0" w:line="85" w:lineRule="exact"/>
        <w:rPr>
          <w:sz w:val="20"/>
          <w:szCs w:val="20"/>
          <w:color w:val="auto"/>
        </w:rPr>
      </w:pPr>
    </w:p>
    <w:p>
      <w:pPr>
        <w:ind w:right="2199" w:firstLine="401"/>
        <w:spacing w:after="0" w:line="260" w:lineRule="auto"/>
        <w:rPr>
          <w:sz w:val="20"/>
          <w:szCs w:val="20"/>
          <w:color w:val="auto"/>
        </w:rPr>
      </w:pPr>
      <w:r>
        <w:rPr>
          <w:rFonts w:ascii="Courier New" w:cs="Courier New" w:eastAsia="Courier New" w:hAnsi="Courier New"/>
          <w:sz w:val="16"/>
          <w:szCs w:val="16"/>
          <w:color w:val="auto"/>
        </w:rPr>
        <w:t>The increase in authorized Common Stock will not have any immediate effect on the rights of existing shareholders. To the extent that additional authorized shares are issued in the future in a transaction other than in a stock split or stock dividend, the existing shareholder's percentage equity ownership will decrease and, depending on the price at which shares are issued, could have the effect of diluting the earnings per share and book value per share of outstanding shares of Common Stock. The holders of Common Stock have no preemptive rights. The increase in the authorized number of shares of Common Stock and the subsequent issuance of such shares could have the effect of delaying or preventing a change in control of the Company without further action by the shareholders by diluting the stock ownership or voting rights of a person seeking to obtain control of the Company. For example, in the event of a hostile attempt to take over control of the Company, it may be possible for the Company to endeavor to impede the attempt by issuing shares of Common Stock, thereby diluting the voting power of the other outstanding shares and increasing the potential cost to acquire control of the Company. The amendment therefore may have the effect of discouraging unsolicited takeover attempts, thereby potentially limiting the opportunity for the Company's shareholders to dispose of their shares at the higher price generally available in takeover attempts or that may be available under a merger proposal. The proposed amendment may have the effect of permitting the Company's current management, including the current Board of Directors, to retain its position, and place it in a better position to resist changes that shareholders may wish to make if they are dissatisfied with the conduct of the Company's business. However, the Board of Directors is not aware of any attempt to take control of the Company, and the Board of Directors has not presented this proposal with the intent that it be utilized as a type of anti-takeover device.</w:t>
      </w:r>
    </w:p>
    <w:p>
      <w:pPr>
        <w:spacing w:after="0" w:line="291" w:lineRule="exact"/>
        <w:rPr>
          <w:sz w:val="20"/>
          <w:szCs w:val="20"/>
          <w:color w:val="auto"/>
        </w:rPr>
      </w:pPr>
    </w:p>
    <w:p>
      <w:pPr>
        <w:ind w:right="2399" w:firstLine="401"/>
        <w:spacing w:after="0" w:line="276" w:lineRule="auto"/>
        <w:rPr>
          <w:sz w:val="20"/>
          <w:szCs w:val="20"/>
          <w:color w:val="auto"/>
        </w:rPr>
      </w:pPr>
      <w:r>
        <w:rPr>
          <w:rFonts w:ascii="Courier New" w:cs="Courier New" w:eastAsia="Courier New" w:hAnsi="Courier New"/>
          <w:sz w:val="17"/>
          <w:szCs w:val="17"/>
          <w:color w:val="auto"/>
        </w:rPr>
        <w:t>If the proposed amendment is adopted, it will become effective upon filing of an amendment to the Company's Certificate with the Delaware Secretary of State. If the amendment is not approved, the Company's Certificate will not be changed.</w:t>
      </w:r>
    </w:p>
    <w:p>
      <w:pPr>
        <w:spacing w:after="0" w:line="7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471"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REQUIRED VOTE</w:t>
      </w:r>
    </w:p>
    <w:p>
      <w:pPr>
        <w:spacing w:after="0" w:line="193" w:lineRule="exact"/>
        <w:rPr>
          <w:sz w:val="20"/>
          <w:szCs w:val="20"/>
          <w:color w:val="auto"/>
        </w:rPr>
      </w:pPr>
    </w:p>
    <w:p>
      <w:pPr>
        <w:ind w:right="2199" w:firstLine="401"/>
        <w:spacing w:after="0" w:line="276" w:lineRule="auto"/>
        <w:rPr>
          <w:sz w:val="20"/>
          <w:szCs w:val="20"/>
          <w:color w:val="auto"/>
        </w:rPr>
      </w:pPr>
      <w:r>
        <w:rPr>
          <w:rFonts w:ascii="Courier New" w:cs="Courier New" w:eastAsia="Courier New" w:hAnsi="Courier New"/>
          <w:sz w:val="17"/>
          <w:szCs w:val="17"/>
          <w:color w:val="auto"/>
        </w:rPr>
        <w:t>The affirmative vote of a majority of the outstanding shares of Common Stock entitled to vote on this matter is required to approve the amendment to the Company's Certificate. Abstentions and broker non-votes will have the effect of voting against this proposal.</w:t>
      </w:r>
    </w:p>
    <w:p>
      <w:pPr>
        <w:spacing w:after="0" w:line="78"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THE BOARD OF DIRECTORS RECOMMENDS VOTING "FOR" APPROVAL OF THE AMENDMENT.</w:t>
      </w:r>
    </w:p>
    <w:p>
      <w:pPr>
        <w:spacing w:after="0" w:line="193" w:lineRule="exact"/>
        <w:rPr>
          <w:sz w:val="20"/>
          <w:szCs w:val="20"/>
          <w:color w:val="auto"/>
        </w:rPr>
      </w:pPr>
    </w:p>
    <w:p>
      <w:pPr>
        <w:ind w:right="2199"/>
        <w:spacing w:after="0" w:line="382" w:lineRule="auto"/>
        <w:rPr>
          <w:sz w:val="20"/>
          <w:szCs w:val="20"/>
          <w:color w:val="auto"/>
        </w:rPr>
      </w:pPr>
      <w:r>
        <w:rPr>
          <w:rFonts w:ascii="Courier New" w:cs="Courier New" w:eastAsia="Courier New" w:hAnsi="Courier New"/>
          <w:sz w:val="16"/>
          <w:szCs w:val="16"/>
          <w:color w:val="auto"/>
        </w:rPr>
        <w:t>PROPOSAL 3. APPROVAL OF AN AMENDMENT TO THE COMPANY'S CERTIFICATE OF INCORPORATION ELIMINATING THE COMPANY'S AUTHORITY TO ISSUE CLASS A COMMON STOCK.</w:t>
      </w:r>
    </w:p>
    <w:p>
      <w:pPr>
        <w:spacing w:after="0" w:line="1" w:lineRule="exact"/>
        <w:rPr>
          <w:sz w:val="20"/>
          <w:szCs w:val="20"/>
          <w:color w:val="auto"/>
        </w:rPr>
      </w:pPr>
    </w:p>
    <w:p>
      <w:pPr>
        <w:ind w:right="2199" w:firstLine="401"/>
        <w:spacing w:after="0" w:line="274" w:lineRule="auto"/>
        <w:rPr>
          <w:sz w:val="20"/>
          <w:szCs w:val="20"/>
          <w:color w:val="auto"/>
        </w:rPr>
      </w:pPr>
      <w:r>
        <w:rPr>
          <w:rFonts w:ascii="Courier New" w:cs="Courier New" w:eastAsia="Courier New" w:hAnsi="Courier New"/>
          <w:sz w:val="16"/>
          <w:szCs w:val="16"/>
          <w:color w:val="auto"/>
        </w:rPr>
        <w:t>At the Company's 1998 Annual Meeting, the shareholders approved an amendment to the Company's Certificate of Incorporation to authorize 32,000,000 shares of Class A Common Stock, par value $0.10 (the "Class A Common Stock"). In January 1999, 15,810,277 shares of Class A Common Stock were issued to Intel Corporation ("Intel") in connection with a $500 million investment by Intel in the Company. Intel has since converted all its shares of Class A Common Stock into Common Stock and sold them in open market transactions. As of July 8, 2000, there were no shares of Class A Common Stock outstanding.</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 AND EFFECT OF THE AMENDMENT</w:t>
      </w:r>
    </w:p>
    <w:p>
      <w:pPr>
        <w:spacing w:after="0" w:line="193" w:lineRule="exact"/>
        <w:rPr>
          <w:sz w:val="20"/>
          <w:szCs w:val="20"/>
          <w:color w:val="auto"/>
        </w:rPr>
      </w:pPr>
    </w:p>
    <w:p>
      <w:pPr>
        <w:ind w:right="2299" w:firstLine="401"/>
        <w:spacing w:after="0" w:line="251" w:lineRule="auto"/>
        <w:rPr>
          <w:sz w:val="20"/>
          <w:szCs w:val="20"/>
          <w:color w:val="auto"/>
        </w:rPr>
      </w:pPr>
      <w:r>
        <w:rPr>
          <w:rFonts w:ascii="Courier New" w:cs="Courier New" w:eastAsia="Courier New" w:hAnsi="Courier New"/>
          <w:sz w:val="17"/>
          <w:szCs w:val="17"/>
          <w:color w:val="auto"/>
        </w:rPr>
        <w:t>The principal purpose of the proposed amendment to the Certificate is to avoid confusion and uncertainty by eliminating the Company's authority to issue Class A Common Stock. The Company's Class A Common Stock has rights and obligations associated with it which are very particular to the completed investment by Intel. The Company has no intention of issuing additional shares of Class A Common Stock. Therefore, the authority to grant Class A Common Stock no longer serves any useful purpose and may lead to confusion or uncertainty in those reviewing the Certificate. If this proposal is approved, Section 4(a) of the Certificate will be revised to eliminate the reference to Class A Common Stock and Section 4(b) of the Certificate, which sets forth the terms of the Class A Common Stock, will be deleted in its entirety.</w:t>
      </w:r>
    </w:p>
    <w:p>
      <w:pPr>
        <w:spacing w:after="0" w:line="97" w:lineRule="exact"/>
        <w:rPr>
          <w:sz w:val="20"/>
          <w:szCs w:val="20"/>
          <w:color w:val="auto"/>
        </w:rPr>
      </w:pPr>
    </w:p>
    <w:p>
      <w:pPr>
        <w:ind w:right="2399" w:firstLine="401"/>
        <w:spacing w:after="0" w:line="276" w:lineRule="auto"/>
        <w:rPr>
          <w:sz w:val="20"/>
          <w:szCs w:val="20"/>
          <w:color w:val="auto"/>
        </w:rPr>
      </w:pPr>
      <w:r>
        <w:rPr>
          <w:rFonts w:ascii="Courier New" w:cs="Courier New" w:eastAsia="Courier New" w:hAnsi="Courier New"/>
          <w:sz w:val="17"/>
          <w:szCs w:val="17"/>
          <w:color w:val="auto"/>
        </w:rPr>
        <w:t>If the proposed amendment is adopted, it will become effective upon filing of an amendment to the Company's Certificate with the Delaware Secretary of State. If the amendment is not approved, the Company's Certificate will not be changed.</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REQUIRED VOTE</w:t>
      </w:r>
    </w:p>
    <w:p>
      <w:pPr>
        <w:spacing w:after="0" w:line="193" w:lineRule="exact"/>
        <w:rPr>
          <w:sz w:val="20"/>
          <w:szCs w:val="20"/>
          <w:color w:val="auto"/>
        </w:rPr>
      </w:pPr>
    </w:p>
    <w:p>
      <w:pPr>
        <w:ind w:right="2199" w:firstLine="401"/>
        <w:spacing w:after="0" w:line="276" w:lineRule="auto"/>
        <w:rPr>
          <w:sz w:val="20"/>
          <w:szCs w:val="20"/>
          <w:color w:val="auto"/>
        </w:rPr>
      </w:pPr>
      <w:r>
        <w:rPr>
          <w:rFonts w:ascii="Courier New" w:cs="Courier New" w:eastAsia="Courier New" w:hAnsi="Courier New"/>
          <w:sz w:val="17"/>
          <w:szCs w:val="17"/>
          <w:color w:val="auto"/>
        </w:rPr>
        <w:t>The affirmative vote of a majority of the outstanding shares of Common Stock entitled to vote on this matter is required to approve the amendment to the Company's Certificate. Abstentions and broker non-votes will have the effect of voting against this proposal.</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RECOMMENDS VOTING "FOR" APPROVAL OF THE AMENDMENT.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PROPOSAL 4. RATIFICATION OF APPOINTMENT OF INDEPENDENT ACCOUNTANTS</w:t>
      </w:r>
    </w:p>
    <w:p>
      <w:pPr>
        <w:spacing w:after="0" w:line="193" w:lineRule="exact"/>
        <w:rPr>
          <w:sz w:val="20"/>
          <w:szCs w:val="20"/>
          <w:color w:val="auto"/>
        </w:rPr>
      </w:pPr>
    </w:p>
    <w:p>
      <w:pPr>
        <w:ind w:right="2299" w:firstLine="401"/>
        <w:spacing w:after="0" w:line="252" w:lineRule="auto"/>
        <w:rPr>
          <w:sz w:val="20"/>
          <w:szCs w:val="20"/>
          <w:color w:val="auto"/>
        </w:rPr>
      </w:pPr>
      <w:r>
        <w:rPr>
          <w:rFonts w:ascii="Courier New" w:cs="Courier New" w:eastAsia="Courier New" w:hAnsi="Courier New"/>
          <w:sz w:val="17"/>
          <w:szCs w:val="17"/>
          <w:color w:val="auto"/>
        </w:rPr>
        <w:t>The Board of Directors has appointed PricewaterhouseCoopers LLP ("PWC"), independent accountants, to audit the consolidated financial statements of the Company for the fiscal year ending August 30, 2001. PWC and its predecessor, Coopers and Lybrand LLP, have been the Company's independent accountants since fiscal 1985. If the ratification of PWC's appointment is not approved by a majority of the shares voting thereon, the Board of Directors will reconsider its decision to appoint PWC as the Company's independent accountants. Representatives of PWC are expected to be present at the Annual Meeting, will have the opportunity to make a statement if they so desire, and are expected to be available to respond to appropriate questions.</w:t>
      </w:r>
    </w:p>
    <w:p>
      <w:pPr>
        <w:spacing w:after="0" w:line="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471" w:right="1440" w:bottom="1440" w:gutter="0" w:footer="0" w:header="0"/>
        </w:sectPr>
      </w:pPr>
    </w:p>
    <w:bookmarkStart w:id="18" w:name="page19"/>
    <w:bookmarkEnd w:id="18"/>
    <w:p>
      <w:pPr>
        <w:ind w:right="2799" w:firstLine="401"/>
        <w:spacing w:after="0" w:line="350" w:lineRule="auto"/>
        <w:rPr>
          <w:sz w:val="20"/>
          <w:szCs w:val="20"/>
          <w:color w:val="auto"/>
        </w:rPr>
      </w:pPr>
      <w:r>
        <w:rPr>
          <w:rFonts w:ascii="Courier New" w:cs="Courier New" w:eastAsia="Courier New" w:hAnsi="Courier New"/>
          <w:sz w:val="17"/>
          <w:szCs w:val="17"/>
          <w:color w:val="auto"/>
        </w:rPr>
        <w:t>THE BOARD OF DIRECTORS RECOMMENDS VOTING "FOR" THE RATIFICATION OF THE APPOINTMENT OF PRICEWATERHOUSECOOPERS LLP.</w:t>
      </w:r>
    </w:p>
    <w:p>
      <w:pPr>
        <w:spacing w:after="0" w:line="1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PROPOSAL 5.</w:t>
      </w:r>
      <w:r>
        <w:rPr>
          <w:sz w:val="20"/>
          <w:szCs w:val="20"/>
          <w:color w:val="auto"/>
        </w:rPr>
        <w:tab/>
      </w:r>
      <w:r>
        <w:rPr>
          <w:rFonts w:ascii="Courier New" w:cs="Courier New" w:eastAsia="Courier New" w:hAnsi="Courier New"/>
          <w:sz w:val="16"/>
          <w:szCs w:val="16"/>
          <w:color w:val="auto"/>
        </w:rPr>
        <w:t>OTHER MATTERS</w:t>
      </w:r>
    </w:p>
    <w:p>
      <w:pPr>
        <w:spacing w:after="0" w:line="193" w:lineRule="exact"/>
        <w:rPr>
          <w:sz w:val="20"/>
          <w:szCs w:val="20"/>
          <w:color w:val="auto"/>
        </w:rPr>
      </w:pPr>
    </w:p>
    <w:p>
      <w:pPr>
        <w:ind w:right="2199" w:firstLine="401"/>
        <w:spacing w:after="0" w:line="276" w:lineRule="auto"/>
        <w:rPr>
          <w:sz w:val="20"/>
          <w:szCs w:val="20"/>
          <w:color w:val="auto"/>
        </w:rPr>
      </w:pPr>
      <w:r>
        <w:rPr>
          <w:rFonts w:ascii="Courier New" w:cs="Courier New" w:eastAsia="Courier New" w:hAnsi="Courier New"/>
          <w:sz w:val="17"/>
          <w:szCs w:val="17"/>
          <w:color w:val="auto"/>
        </w:rPr>
        <w:t>The Company knows of no other matters to be submitted at the Annual Meeting. If any other matters properly come before the meeting, the persons named in the accompanying form of Proxy will vote, in their discretion, the shares they represent.</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DEADLINE FOR RECEIPT OF SHAREHOLDER PROPOSALS FOR 2000 ANNUAL MEETING</w:t>
      </w:r>
    </w:p>
    <w:p>
      <w:pPr>
        <w:spacing w:after="0" w:line="193" w:lineRule="exact"/>
        <w:rPr>
          <w:sz w:val="20"/>
          <w:szCs w:val="20"/>
          <w:color w:val="auto"/>
        </w:rPr>
      </w:pPr>
    </w:p>
    <w:p>
      <w:pPr>
        <w:ind w:right="2299" w:firstLine="401"/>
        <w:spacing w:after="0" w:line="268" w:lineRule="auto"/>
        <w:rPr>
          <w:sz w:val="20"/>
          <w:szCs w:val="20"/>
          <w:color w:val="auto"/>
        </w:rPr>
      </w:pPr>
      <w:r>
        <w:rPr>
          <w:rFonts w:ascii="Courier New" w:cs="Courier New" w:eastAsia="Courier New" w:hAnsi="Courier New"/>
          <w:sz w:val="16"/>
          <w:szCs w:val="16"/>
          <w:color w:val="auto"/>
        </w:rPr>
        <w:t>Proposals of shareholders of the Company which are intended to be presented at the Company's 2001 Annual Meeting of Shareholders must be received by the Company at its principal executive offices located at 8000 S. Federal Way,</w:t>
      </w:r>
    </w:p>
    <w:p>
      <w:pPr>
        <w:spacing w:after="0" w:line="1" w:lineRule="exact"/>
        <w:rPr>
          <w:sz w:val="20"/>
          <w:szCs w:val="20"/>
          <w:color w:val="auto"/>
        </w:rPr>
      </w:pPr>
    </w:p>
    <w:p>
      <w:pPr>
        <w:ind w:right="2299"/>
        <w:spacing w:after="0"/>
        <w:rPr>
          <w:sz w:val="20"/>
          <w:szCs w:val="20"/>
          <w:color w:val="auto"/>
        </w:rPr>
      </w:pPr>
      <w:r>
        <w:rPr>
          <w:rFonts w:ascii="Courier New" w:cs="Courier New" w:eastAsia="Courier New" w:hAnsi="Courier New"/>
          <w:sz w:val="17"/>
          <w:szCs w:val="17"/>
          <w:color w:val="auto"/>
        </w:rPr>
        <w:t>Boise, Idaho 83716-9632, no later than , and must also be in compliance with the Company's Certificate of Incorporation and Bylaws and with applicable laws and regulations in order to be included in the proxy statement and form of proxy relating to that meeting. Proposals which are submitted after</w:t>
      </w:r>
    </w:p>
    <w:p>
      <w:pPr>
        <w:spacing w:after="0" w:line="1" w:lineRule="exact"/>
        <w:rPr>
          <w:sz w:val="20"/>
          <w:szCs w:val="20"/>
          <w:color w:val="auto"/>
        </w:rPr>
      </w:pPr>
    </w:p>
    <w:p>
      <w:pPr>
        <w:ind w:left="1400" w:hanging="195"/>
        <w:spacing w:after="0"/>
        <w:tabs>
          <w:tab w:leader="none" w:pos="1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be untimely and will not be considered at the meeting.</w:t>
      </w:r>
    </w:p>
    <w:p>
      <w:pPr>
        <w:spacing w:after="0" w:line="162" w:lineRule="exact"/>
        <w:rPr>
          <w:rFonts w:ascii="Courier New" w:cs="Courier New" w:eastAsia="Courier New" w:hAnsi="Courier New"/>
          <w:sz w:val="17"/>
          <w:szCs w:val="17"/>
          <w:color w:val="auto"/>
        </w:rPr>
      </w:pPr>
    </w:p>
    <w:p>
      <w:pPr>
        <w:ind w:left="4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BOARD OF DIRECTORS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24, 2000</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471" w:right="1440" w:bottom="1440" w:gutter="0" w:footer="0" w:header="0"/>
        </w:sectPr>
      </w:pPr>
    </w:p>
    <w:bookmarkStart w:id="19" w:name="page20"/>
    <w:bookmarkEnd w:id="19"/>
    <w:p>
      <w:pPr>
        <w:jc w:val="center"/>
        <w:ind w:right="2299"/>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[LOGO]</w:t>
      </w:r>
    </w:p>
    <w:p>
      <w:pPr>
        <w:spacing w:after="0" w:line="30"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2000 ANNUAL MEETING OF SHAREHOLDERS</w:t>
      </w:r>
    </w:p>
    <w:p>
      <w:pPr>
        <w:jc w:val="center"/>
        <w:ind w:right="2299"/>
        <w:spacing w:after="0"/>
        <w:rPr>
          <w:sz w:val="20"/>
          <w:szCs w:val="20"/>
          <w:color w:val="auto"/>
        </w:rPr>
      </w:pPr>
      <w:r>
        <w:rPr>
          <w:rFonts w:ascii="Courier New" w:cs="Courier New" w:eastAsia="Courier New" w:hAnsi="Courier New"/>
          <w:sz w:val="17"/>
          <w:szCs w:val="17"/>
          <w:color w:val="auto"/>
        </w:rPr>
        <w:t>NOVEMBER 28,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shareholder(s) of Micron Technology, Inc., a Delaware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corporation, hereby acknowledge(s) receipt of the Notice of 2000 Annual Meeting</w:t>
      </w:r>
    </w:p>
    <w:p>
      <w:pPr>
        <w:spacing w:after="0"/>
        <w:rPr>
          <w:sz w:val="20"/>
          <w:szCs w:val="20"/>
          <w:color w:val="auto"/>
        </w:rPr>
      </w:pPr>
      <w:r>
        <w:rPr>
          <w:rFonts w:ascii="Courier New" w:cs="Courier New" w:eastAsia="Courier New" w:hAnsi="Courier New"/>
          <w:sz w:val="17"/>
          <w:szCs w:val="17"/>
          <w:color w:val="auto"/>
        </w:rPr>
        <w:t>of Shareholders and Proxy Statement, each dated October 24, 2000, and hereby</w:t>
      </w:r>
    </w:p>
    <w:p>
      <w:pPr>
        <w:spacing w:after="0"/>
        <w:rPr>
          <w:sz w:val="20"/>
          <w:szCs w:val="20"/>
          <w:color w:val="auto"/>
        </w:rPr>
      </w:pPr>
      <w:r>
        <w:rPr>
          <w:rFonts w:ascii="Courier New" w:cs="Courier New" w:eastAsia="Courier New" w:hAnsi="Courier New"/>
          <w:sz w:val="17"/>
          <w:szCs w:val="17"/>
          <w:color w:val="auto"/>
        </w:rPr>
        <w:t>appoints Steven R. Appleton and W. G. Stover, Jr., and each of them, proxies and</w:t>
      </w:r>
    </w:p>
    <w:p>
      <w:pPr>
        <w:spacing w:after="0"/>
        <w:rPr>
          <w:sz w:val="20"/>
          <w:szCs w:val="20"/>
          <w:color w:val="auto"/>
        </w:rPr>
      </w:pPr>
      <w:r>
        <w:rPr>
          <w:rFonts w:ascii="Courier New" w:cs="Courier New" w:eastAsia="Courier New" w:hAnsi="Courier New"/>
          <w:sz w:val="17"/>
          <w:szCs w:val="17"/>
          <w:color w:val="auto"/>
        </w:rPr>
        <w:t>attorneys-in-fact, with full power to each of substitution, on behalf and in the</w:t>
      </w:r>
    </w:p>
    <w:p>
      <w:pPr>
        <w:spacing w:after="0"/>
        <w:rPr>
          <w:sz w:val="20"/>
          <w:szCs w:val="20"/>
          <w:color w:val="auto"/>
        </w:rPr>
      </w:pPr>
      <w:r>
        <w:rPr>
          <w:rFonts w:ascii="Courier New" w:cs="Courier New" w:eastAsia="Courier New" w:hAnsi="Courier New"/>
          <w:sz w:val="17"/>
          <w:szCs w:val="17"/>
          <w:color w:val="auto"/>
        </w:rPr>
        <w:t>name of the undersigned, to represent the undersigned at the 2000 Annual Meeting</w:t>
      </w:r>
    </w:p>
    <w:p>
      <w:pPr>
        <w:spacing w:after="0"/>
        <w:rPr>
          <w:sz w:val="20"/>
          <w:szCs w:val="20"/>
          <w:color w:val="auto"/>
        </w:rPr>
      </w:pPr>
      <w:r>
        <w:rPr>
          <w:rFonts w:ascii="Courier New" w:cs="Courier New" w:eastAsia="Courier New" w:hAnsi="Courier New"/>
          <w:sz w:val="17"/>
          <w:szCs w:val="17"/>
          <w:color w:val="auto"/>
        </w:rPr>
        <w:t>of Shareholders of Micron Technology, Inc., to be held November 28, 2000, at</w:t>
      </w:r>
    </w:p>
    <w:p>
      <w:pPr>
        <w:spacing w:after="0"/>
        <w:rPr>
          <w:sz w:val="20"/>
          <w:szCs w:val="20"/>
          <w:color w:val="auto"/>
        </w:rPr>
      </w:pPr>
      <w:r>
        <w:rPr>
          <w:rFonts w:ascii="Courier New" w:cs="Courier New" w:eastAsia="Courier New" w:hAnsi="Courier New"/>
          <w:sz w:val="17"/>
          <w:szCs w:val="17"/>
          <w:color w:val="auto"/>
        </w:rPr>
        <w:t>9:00 a.m., Mountain Standard Time, at the COMPANY'S HEADQUARTERS LOCATED AT 8000</w:t>
      </w:r>
    </w:p>
    <w:p>
      <w:pPr>
        <w:spacing w:after="0"/>
        <w:rPr>
          <w:sz w:val="20"/>
          <w:szCs w:val="20"/>
          <w:color w:val="auto"/>
        </w:rPr>
      </w:pPr>
      <w:r>
        <w:rPr>
          <w:rFonts w:ascii="Courier New" w:cs="Courier New" w:eastAsia="Courier New" w:hAnsi="Courier New"/>
          <w:sz w:val="17"/>
          <w:szCs w:val="17"/>
          <w:color w:val="auto"/>
        </w:rPr>
        <w:t>S. FEDERAL WAY, BOISE, IDAHO 83716-9632, and at any adjournment or adjournments</w:t>
      </w:r>
    </w:p>
    <w:p>
      <w:pPr>
        <w:spacing w:after="0"/>
        <w:rPr>
          <w:sz w:val="20"/>
          <w:szCs w:val="20"/>
          <w:color w:val="auto"/>
        </w:rPr>
      </w:pPr>
      <w:r>
        <w:rPr>
          <w:rFonts w:ascii="Courier New" w:cs="Courier New" w:eastAsia="Courier New" w:hAnsi="Courier New"/>
          <w:sz w:val="17"/>
          <w:szCs w:val="17"/>
          <w:color w:val="auto"/>
        </w:rPr>
        <w:t>thereof, and to vote (including cumulatively, if required) all shares of Common</w:t>
      </w:r>
    </w:p>
    <w:p>
      <w:pPr>
        <w:spacing w:after="0"/>
        <w:rPr>
          <w:sz w:val="20"/>
          <w:szCs w:val="20"/>
          <w:color w:val="auto"/>
        </w:rPr>
      </w:pPr>
      <w:r>
        <w:rPr>
          <w:rFonts w:ascii="Courier New" w:cs="Courier New" w:eastAsia="Courier New" w:hAnsi="Courier New"/>
          <w:sz w:val="17"/>
          <w:szCs w:val="17"/>
          <w:color w:val="auto"/>
        </w:rPr>
        <w:t>Stock which the undersigned would be entitled to vote if then and there</w:t>
      </w:r>
    </w:p>
    <w:p>
      <w:pPr>
        <w:spacing w:after="0"/>
        <w:rPr>
          <w:sz w:val="20"/>
          <w:szCs w:val="20"/>
          <w:color w:val="auto"/>
        </w:rPr>
      </w:pPr>
      <w:r>
        <w:rPr>
          <w:rFonts w:ascii="Courier New" w:cs="Courier New" w:eastAsia="Courier New" w:hAnsi="Courier New"/>
          <w:sz w:val="17"/>
          <w:szCs w:val="17"/>
          <w:color w:val="auto"/>
        </w:rPr>
        <w:t>personally present, on the matters set forth below:</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87"/>
              </w:rPr>
              <w:t>1.</w:t>
            </w:r>
          </w:p>
        </w:tc>
        <w:tc>
          <w:tcPr>
            <w:tcW w:w="3000" w:type="dxa"/>
            <w:vAlign w:val="bottom"/>
          </w:tcPr>
          <w:p>
            <w:pPr>
              <w:ind w:left="240"/>
              <w:spacing w:after="0"/>
              <w:rPr>
                <w:sz w:val="20"/>
                <w:szCs w:val="20"/>
                <w:color w:val="auto"/>
              </w:rPr>
            </w:pPr>
            <w:r>
              <w:rPr>
                <w:rFonts w:ascii="Courier New" w:cs="Courier New" w:eastAsia="Courier New" w:hAnsi="Courier New"/>
                <w:sz w:val="17"/>
                <w:szCs w:val="17"/>
                <w:color w:val="auto"/>
              </w:rPr>
              <w:t>ELECTION OF DIRECTORS:</w:t>
            </w:r>
          </w:p>
        </w:tc>
        <w:tc>
          <w:tcPr>
            <w:tcW w:w="3660" w:type="dxa"/>
            <w:vAlign w:val="bottom"/>
          </w:tcPr>
          <w:p>
            <w:pPr>
              <w:ind w:left="560"/>
              <w:spacing w:after="0"/>
              <w:rPr>
                <w:sz w:val="20"/>
                <w:szCs w:val="20"/>
                <w:color w:val="auto"/>
              </w:rPr>
            </w:pPr>
            <w:r>
              <w:rPr>
                <w:rFonts w:ascii="Courier New" w:cs="Courier New" w:eastAsia="Courier New" w:hAnsi="Courier New"/>
                <w:sz w:val="17"/>
                <w:szCs w:val="17"/>
                <w:color w:val="auto"/>
              </w:rPr>
              <w:t>/ / FOR nominees listed below</w:t>
            </w:r>
          </w:p>
        </w:tc>
        <w:tc>
          <w:tcPr>
            <w:tcW w:w="2800" w:type="dxa"/>
            <w:vAlign w:val="bottom"/>
          </w:tcPr>
          <w:p>
            <w:pPr>
              <w:ind w:left="200"/>
              <w:spacing w:after="0"/>
              <w:rPr>
                <w:sz w:val="20"/>
                <w:szCs w:val="20"/>
                <w:color w:val="auto"/>
              </w:rPr>
            </w:pPr>
            <w:r>
              <w:rPr>
                <w:rFonts w:ascii="Courier New" w:cs="Courier New" w:eastAsia="Courier New" w:hAnsi="Courier New"/>
                <w:sz w:val="17"/>
                <w:szCs w:val="17"/>
                <w:color w:val="auto"/>
              </w:rPr>
              <w:t>/ / WITHHOLD authority</w:t>
            </w:r>
          </w:p>
        </w:tc>
      </w:tr>
      <w:tr>
        <w:trPr>
          <w:trHeight w:val="193"/>
        </w:trPr>
        <w:tc>
          <w:tcPr>
            <w:tcW w:w="4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660" w:type="dxa"/>
            <w:vAlign w:val="bottom"/>
          </w:tcPr>
          <w:p>
            <w:pPr>
              <w:ind w:left="760"/>
              <w:spacing w:after="0"/>
              <w:rPr>
                <w:sz w:val="20"/>
                <w:szCs w:val="20"/>
                <w:color w:val="auto"/>
              </w:rPr>
            </w:pPr>
            <w:r>
              <w:rPr>
                <w:rFonts w:ascii="Courier New" w:cs="Courier New" w:eastAsia="Courier New" w:hAnsi="Courier New"/>
                <w:sz w:val="17"/>
                <w:szCs w:val="17"/>
                <w:color w:val="auto"/>
              </w:rPr>
              <w:t>(except as indicated)</w:t>
            </w:r>
          </w:p>
        </w:tc>
        <w:tc>
          <w:tcPr>
            <w:tcW w:w="2800" w:type="dxa"/>
            <w:vAlign w:val="bottom"/>
          </w:tcPr>
          <w:p>
            <w:pPr>
              <w:ind w:left="400"/>
              <w:spacing w:after="0"/>
              <w:rPr>
                <w:sz w:val="20"/>
                <w:szCs w:val="20"/>
                <w:color w:val="auto"/>
              </w:rPr>
            </w:pPr>
            <w:r>
              <w:rPr>
                <w:rFonts w:ascii="Courier New" w:cs="Courier New" w:eastAsia="Courier New" w:hAnsi="Courier New"/>
                <w:sz w:val="17"/>
                <w:szCs w:val="17"/>
                <w:color w:val="auto"/>
                <w:w w:val="97"/>
              </w:rPr>
              <w:t>to vote for all nominees</w:t>
            </w:r>
          </w:p>
        </w:tc>
      </w:tr>
      <w:tr>
        <w:trPr>
          <w:trHeight w:val="281"/>
        </w:trPr>
        <w:tc>
          <w:tcPr>
            <w:tcW w:w="4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00" w:type="dxa"/>
            <w:vAlign w:val="bottom"/>
          </w:tcPr>
          <w:p>
            <w:pPr>
              <w:ind w:left="400"/>
              <w:spacing w:after="0"/>
              <w:rPr>
                <w:sz w:val="20"/>
                <w:szCs w:val="20"/>
                <w:color w:val="auto"/>
              </w:rPr>
            </w:pPr>
            <w:r>
              <w:rPr>
                <w:rFonts w:ascii="Courier New" w:cs="Courier New" w:eastAsia="Courier New" w:hAnsi="Courier New"/>
                <w:sz w:val="17"/>
                <w:szCs w:val="17"/>
                <w:color w:val="auto"/>
              </w:rPr>
              <w:t>listed below</w:t>
            </w:r>
          </w:p>
        </w:tc>
      </w:tr>
    </w:tbl>
    <w:p>
      <w:pPr>
        <w:spacing w:after="0" w:line="297" w:lineRule="exact"/>
        <w:rPr>
          <w:sz w:val="20"/>
          <w:szCs w:val="20"/>
          <w:color w:val="auto"/>
        </w:rPr>
      </w:pPr>
    </w:p>
    <w:p>
      <w:pPr>
        <w:ind w:left="400" w:right="2199"/>
        <w:spacing w:after="0" w:line="276" w:lineRule="auto"/>
        <w:rPr>
          <w:sz w:val="20"/>
          <w:szCs w:val="20"/>
          <w:color w:val="auto"/>
        </w:rPr>
      </w:pPr>
      <w:r>
        <w:rPr>
          <w:rFonts w:ascii="Courier New" w:cs="Courier New" w:eastAsia="Courier New" w:hAnsi="Courier New"/>
          <w:sz w:val="17"/>
          <w:szCs w:val="17"/>
          <w:color w:val="auto"/>
        </w:rPr>
        <w:t>IF YOU WISH TO WITHHOLD AUTHORITY TO VOTE FOR ANY INDIVIDUAL NOMINEE, STRIKE A LINE THROUGH THAT NOMINEE'S NAME IN THE LIST BELOW: Steven R. Appleton; James W. Bagley; Robert A. Lothrop; Thomas T. Nicholson; Don J. Simplot; Gordon C. Smith; William P. Weber</w:t>
      </w:r>
    </w:p>
    <w:p>
      <w:pPr>
        <w:spacing w:after="0" w:line="78"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(to be signed on reverse side)</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(continued from other side)</w:t>
      </w:r>
    </w:p>
    <w:p>
      <w:pPr>
        <w:sectPr>
          <w:pgSz w:w="11900" w:h="16838" w:orient="portrait"/>
          <w:cols w:equalWidth="0" w:num="1">
            <w:col w:w="10219"/>
          </w:cols>
          <w:pgMar w:left="240" w:top="471" w:right="1440" w:bottom="1440" w:gutter="0" w:footer="0" w:header="0"/>
        </w:sectPr>
      </w:pPr>
    </w:p>
    <w:bookmarkStart w:id="20" w:name="page21"/>
    <w:bookmarkEnd w:id="20"/>
    <w:p>
      <w:pPr>
        <w:ind w:left="500" w:right="4600" w:hanging="497"/>
        <w:spacing w:after="0" w:line="268" w:lineRule="auto"/>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BY THE COMPANY TO APPROVE AN AMENDMENT TO THE COMPANY'S CERTIFICATE OF INCORPORATION INCREASING THE NUMBER OF AUTHORIZED SHARES OF COMMON STOCK FROM 1,000,000,000 TO</w:t>
      </w:r>
    </w:p>
    <w:p>
      <w:pPr>
        <w:spacing w:after="0" w:line="1" w:lineRule="exact"/>
        <w:rPr>
          <w:sz w:val="20"/>
          <w:szCs w:val="20"/>
          <w:color w:val="auto"/>
        </w:rPr>
      </w:pPr>
    </w:p>
    <w:p>
      <w:pPr>
        <w:ind w:left="500"/>
        <w:spacing w:after="0"/>
        <w:tabs>
          <w:tab w:leader="none" w:pos="6900" w:val="left"/>
          <w:tab w:leader="none" w:pos="8000" w:val="left"/>
          <w:tab w:leader="none" w:pos="9500" w:val="left"/>
        </w:tabs>
        <w:rPr>
          <w:sz w:val="20"/>
          <w:szCs w:val="20"/>
          <w:color w:val="auto"/>
        </w:rPr>
      </w:pPr>
      <w:r>
        <w:rPr>
          <w:rFonts w:ascii="Courier New" w:cs="Courier New" w:eastAsia="Courier New" w:hAnsi="Courier New"/>
          <w:sz w:val="17"/>
          <w:szCs w:val="17"/>
          <w:color w:val="auto"/>
        </w:rPr>
        <w:t>3,000,000,000</w:t>
      </w:r>
      <w:r>
        <w:rPr>
          <w:sz w:val="20"/>
          <w:szCs w:val="20"/>
          <w:color w:val="auto"/>
        </w:rPr>
        <w:tab/>
      </w: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jc w:val="both"/>
        <w:ind w:left="500" w:right="5200" w:hanging="497"/>
        <w:spacing w:after="0" w:line="255" w:lineRule="auto"/>
        <w:tabs>
          <w:tab w:leader="none" w:pos="5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BY THE COMPANY TO APPROVE AN AMENDMENT TO THE COMPANY'S CERTIFICATE OF INCORPORATION ELIMINATING THE</w:t>
      </w:r>
    </w:p>
    <w:p>
      <w:pPr>
        <w:ind w:left="500"/>
        <w:spacing w:after="0"/>
        <w:tabs>
          <w:tab w:leader="none" w:pos="6900" w:val="left"/>
          <w:tab w:leader="none" w:pos="8000" w:val="left"/>
          <w:tab w:leader="none" w:pos="9500" w:val="left"/>
        </w:tabs>
        <w:rPr>
          <w:sz w:val="20"/>
          <w:szCs w:val="20"/>
          <w:color w:val="auto"/>
        </w:rPr>
      </w:pPr>
      <w:r>
        <w:rPr>
          <w:rFonts w:ascii="Courier New" w:cs="Courier New" w:eastAsia="Courier New" w:hAnsi="Courier New"/>
          <w:sz w:val="17"/>
          <w:szCs w:val="17"/>
          <w:color w:val="auto"/>
        </w:rPr>
        <w:t>COMPANY'S AUTHORITY TO ISSUE CLASS A COMMON STOCK</w:t>
      </w:r>
      <w:r>
        <w:rPr>
          <w:sz w:val="20"/>
          <w:szCs w:val="20"/>
          <w:color w:val="auto"/>
        </w:rPr>
        <w:tab/>
      </w: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ind w:left="500" w:right="5100" w:hanging="497"/>
        <w:spacing w:after="0" w:line="255" w:lineRule="auto"/>
        <w:tabs>
          <w:tab w:leader="none" w:pos="5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BY THE COMPANY TO RATIFY THE APPOINTMENT OF PRICEWATERHOUSECOOPERS LLP AS THE COMPANY'S INDEPENDENT</w:t>
      </w:r>
    </w:p>
    <w:p>
      <w:pPr>
        <w:ind w:left="500"/>
        <w:spacing w:after="0"/>
        <w:tabs>
          <w:tab w:leader="none" w:pos="6900" w:val="left"/>
          <w:tab w:leader="none" w:pos="8000" w:val="left"/>
          <w:tab w:leader="none" w:pos="9500" w:val="left"/>
        </w:tabs>
        <w:rPr>
          <w:sz w:val="20"/>
          <w:szCs w:val="20"/>
          <w:color w:val="auto"/>
        </w:rPr>
      </w:pPr>
      <w:r>
        <w:rPr>
          <w:rFonts w:ascii="Courier New" w:cs="Courier New" w:eastAsia="Courier New" w:hAnsi="Courier New"/>
          <w:sz w:val="17"/>
          <w:szCs w:val="17"/>
          <w:color w:val="auto"/>
        </w:rPr>
        <w:t>ACCOUNTANTS FOR FISCAL 2001</w:t>
      </w:r>
      <w:r>
        <w:rPr>
          <w:sz w:val="20"/>
          <w:szCs w:val="20"/>
          <w:color w:val="auto"/>
        </w:rPr>
        <w:tab/>
      </w: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356" w:lineRule="exact"/>
        <w:rPr>
          <w:sz w:val="20"/>
          <w:szCs w:val="20"/>
          <w:color w:val="auto"/>
        </w:rPr>
      </w:pPr>
    </w:p>
    <w:p>
      <w:pPr>
        <w:ind w:right="3400"/>
        <w:spacing w:after="0" w:line="382" w:lineRule="auto"/>
        <w:rPr>
          <w:sz w:val="20"/>
          <w:szCs w:val="20"/>
          <w:color w:val="auto"/>
        </w:rPr>
      </w:pPr>
      <w:r>
        <w:rPr>
          <w:rFonts w:ascii="Courier New" w:cs="Courier New" w:eastAsia="Courier New" w:hAnsi="Courier New"/>
          <w:sz w:val="16"/>
          <w:szCs w:val="16"/>
          <w:color w:val="auto"/>
        </w:rPr>
        <w:t>and in their discretion, upon such other matter or matters which may properly come before the meeting or any adjournment or adjournments thereof.</w:t>
      </w:r>
    </w:p>
    <w:p>
      <w:pPr>
        <w:spacing w:after="0" w:line="1" w:lineRule="exact"/>
        <w:rPr>
          <w:sz w:val="20"/>
          <w:szCs w:val="20"/>
          <w:color w:val="auto"/>
        </w:rPr>
      </w:pPr>
    </w:p>
    <w:p>
      <w:pPr>
        <w:ind w:right="3100"/>
        <w:spacing w:after="0" w:line="258" w:lineRule="auto"/>
        <w:rPr>
          <w:sz w:val="20"/>
          <w:szCs w:val="20"/>
          <w:color w:val="auto"/>
        </w:rPr>
      </w:pPr>
      <w:r>
        <w:rPr>
          <w:rFonts w:ascii="Courier New" w:cs="Courier New" w:eastAsia="Courier New" w:hAnsi="Courier New"/>
          <w:sz w:val="17"/>
          <w:szCs w:val="17"/>
          <w:color w:val="auto"/>
        </w:rPr>
        <w:t>The shares represented by this proxy when properly executed will be voted in the manner directed herein by the undersigned shareholder(s). IF NO DIRECTION IS MADE, THIS PROXY WILL BE VOTED FOR ITEMS 1, 2, 3 AND 4. If any other matters properly come before the meeting, or if cumulative voting is required, the persons named in this proxy will vote, in their discretion, provided that they will not vote in the election of directors for persons for whom authority to vote has been withheld.</w:t>
      </w:r>
    </w:p>
    <w:p>
      <w:pPr>
        <w:spacing w:after="0" w:line="200" w:lineRule="exact"/>
        <w:rPr>
          <w:sz w:val="20"/>
          <w:szCs w:val="20"/>
          <w:color w:val="auto"/>
        </w:rPr>
      </w:pPr>
    </w:p>
    <w:p>
      <w:pPr>
        <w:spacing w:after="0" w:line="278"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Dated -------------------------------------------</w:t>
      </w:r>
    </w:p>
    <w:p>
      <w:pPr>
        <w:spacing w:after="0" w:line="20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Signature ---------------------------------------</w:t>
      </w:r>
    </w:p>
    <w:p>
      <w:pPr>
        <w:spacing w:after="0" w:line="20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Signature ---------------------------------------</w:t>
      </w:r>
    </w:p>
    <w:p>
      <w:pPr>
        <w:spacing w:after="0" w:line="397" w:lineRule="exact"/>
        <w:rPr>
          <w:sz w:val="20"/>
          <w:szCs w:val="20"/>
          <w:color w:val="auto"/>
        </w:rPr>
      </w:pPr>
    </w:p>
    <w:p>
      <w:pPr>
        <w:ind w:right="3200"/>
        <w:spacing w:after="0" w:line="276" w:lineRule="auto"/>
        <w:rPr>
          <w:sz w:val="20"/>
          <w:szCs w:val="20"/>
          <w:color w:val="auto"/>
        </w:rPr>
      </w:pPr>
      <w:r>
        <w:rPr>
          <w:rFonts w:ascii="Courier New" w:cs="Courier New" w:eastAsia="Courier New" w:hAnsi="Courier New"/>
          <w:sz w:val="17"/>
          <w:szCs w:val="17"/>
          <w:color w:val="auto"/>
        </w:rPr>
        <w:t>(This proxy should be voted, signed, and dated by the shareholder(s) exactly as his or her name appears hereon, and returned promptly in the enclosed envelope. Persons signing in a fiduciary capacity should so indicate. If shares are held by joint tenants or as community property, both should sign.)</w:t>
      </w:r>
    </w:p>
    <w:sectPr>
      <w:pgSz w:w="11900" w:h="16838" w:orient="portrait"/>
      <w:cols w:equalWidth="0" w:num="1">
        <w:col w:w="11120"/>
      </w:cols>
      <w:pgMar w:left="240" w:top="105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lvl w:ilvl="1">
      <w:lvlJc w:val="left"/>
      <w:lvlText w:val="(%2)"/>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lowerRoman"/>
      <w:start w:val="2"/>
    </w:lvl>
  </w:abstractNum>
  <w:abstractNum w:abstractNumId="4">
    <w:nsid w:val="1F16E9E8"/>
    <w:multiLevelType w:val="hybridMultilevel"/>
    <w:lvl w:ilvl="0">
      <w:lvlJc w:val="left"/>
      <w:lvlText w:val="(%1)"/>
      <w:numFmt w:val="lowerRoman"/>
      <w:start w:val="3"/>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Roman"/>
      <w:start w:val="2"/>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lowerRoman"/>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2"/>
    </w:lvl>
  </w:abstractNum>
  <w:abstractNum w:abstractNumId="15">
    <w:nsid w:val="4E6AFB66"/>
    <w:multiLevelType w:val="hybridMultilevel"/>
    <w:lvl w:ilvl="0">
      <w:lvlJc w:val="left"/>
      <w:lvlText w:val="%1."/>
      <w:numFmt w:val="decimal"/>
      <w:start w:val="3"/>
    </w:lvl>
  </w:abstractNum>
  <w:abstractNum w:abstractNumId="16">
    <w:nsid w:val="25E45D3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2019-12-13T13:18:38Z</dcterms:created>
  <dcterms:modified xsi:type="dcterms:W3CDTF">2019-12-13T13:18:38Z</dcterms:modified>
</cp:coreProperties>
</file>