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UNITED STATES</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69" w:lineRule="exact"/>
        <w:rPr>
          <w:sz w:val="24"/>
          <w:szCs w:val="24"/>
          <w:color w:val="auto"/>
        </w:rPr>
      </w:pPr>
    </w:p>
    <w:p>
      <w:pPr>
        <w:jc w:val="center"/>
        <w:ind w:right="2099"/>
        <w:spacing w:after="0"/>
        <w:tabs>
          <w:tab w:leader="none" w:pos="1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ind w:left="1360" w:hanging="527"/>
        <w:spacing w:after="0"/>
        <w:tabs>
          <w:tab w:leader="none" w:pos="13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w:t>
      </w:r>
    </w:p>
    <w:p>
      <w:pPr>
        <w:spacing w:after="0" w:line="53" w:lineRule="exact"/>
        <w:rPr>
          <w:rFonts w:ascii="Courier New" w:cs="Courier New" w:eastAsia="Courier New" w:hAnsi="Courier New"/>
          <w:sz w:val="16"/>
          <w:szCs w:val="16"/>
          <w:color w:val="auto"/>
        </w:rPr>
      </w:pPr>
    </w:p>
    <w:p>
      <w:pPr>
        <w:ind w:left="12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w:t>
      </w:r>
    </w:p>
    <w:p>
      <w:pPr>
        <w:spacing w:after="0" w:line="168" w:lineRule="exact"/>
        <w:rPr>
          <w:sz w:val="24"/>
          <w:szCs w:val="24"/>
          <w:color w:val="auto"/>
        </w:rPr>
      </w:pPr>
    </w:p>
    <w:tbl>
      <w:tblPr>
        <w:tblLayout w:type="fixed"/>
        <w:tblInd w:w="840" w:type="dxa"/>
        <w:tblCellMar>
          <w:top w:w="0" w:type="dxa"/>
          <w:left w:w="0" w:type="dxa"/>
          <w:bottom w:w="0" w:type="dxa"/>
          <w:right w:w="0" w:type="dxa"/>
        </w:tblCellMar>
      </w:tblPr>
      <w:tr>
        <w:trPr>
          <w:trHeight w:val="204"/>
        </w:trPr>
        <w:tc>
          <w:tcPr>
            <w:tcW w:w="3200" w:type="dxa"/>
            <w:vAlign w:val="bottom"/>
          </w:tcPr>
          <w:p>
            <w:pPr>
              <w:spacing w:after="0"/>
              <w:rPr>
                <w:sz w:val="20"/>
                <w:szCs w:val="20"/>
                <w:color w:val="auto"/>
              </w:rPr>
            </w:pPr>
            <w:r>
              <w:rPr>
                <w:rFonts w:ascii="Courier New" w:cs="Courier New" w:eastAsia="Courier New" w:hAnsi="Courier New"/>
                <w:sz w:val="18"/>
                <w:szCs w:val="18"/>
                <w:color w:val="auto"/>
                <w:w w:val="98"/>
              </w:rPr>
              <w:t>For the quarterly period ended</w:t>
            </w:r>
          </w:p>
        </w:tc>
        <w:tc>
          <w:tcPr>
            <w:tcW w:w="2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June 2, 1994</w:t>
            </w:r>
          </w:p>
        </w:tc>
        <w:tc>
          <w:tcPr>
            <w:tcW w:w="0" w:type="dxa"/>
            <w:vAlign w:val="bottom"/>
          </w:tcPr>
          <w:p>
            <w:pPr>
              <w:spacing w:after="0"/>
              <w:rPr>
                <w:sz w:val="1"/>
                <w:szCs w:val="1"/>
                <w:color w:val="auto"/>
              </w:rPr>
            </w:pPr>
          </w:p>
        </w:tc>
      </w:tr>
      <w:tr>
        <w:trPr>
          <w:trHeight w:val="296"/>
        </w:trPr>
        <w:tc>
          <w:tcPr>
            <w:tcW w:w="3200" w:type="dxa"/>
            <w:vAlign w:val="bottom"/>
            <w:vMerge w:val="restart"/>
          </w:tcPr>
          <w:p>
            <w:pPr>
              <w:ind w:left="2740"/>
              <w:spacing w:after="0"/>
              <w:rPr>
                <w:sz w:val="20"/>
                <w:szCs w:val="20"/>
                <w:color w:val="auto"/>
              </w:rPr>
            </w:pPr>
            <w:r>
              <w:rPr>
                <w:rFonts w:ascii="Courier New" w:cs="Courier New" w:eastAsia="Courier New" w:hAnsi="Courier New"/>
                <w:sz w:val="18"/>
                <w:szCs w:val="18"/>
                <w:color w:val="auto"/>
              </w:rPr>
              <w:t>OR</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320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940" w:hanging="212"/>
        <w:spacing w:after="0"/>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 (d)</w:t>
      </w:r>
    </w:p>
    <w:p>
      <w:pPr>
        <w:spacing w:after="0" w:line="53" w:lineRule="exact"/>
        <w:rPr>
          <w:rFonts w:ascii="Courier New" w:cs="Courier New" w:eastAsia="Courier New" w:hAnsi="Courier New"/>
          <w:sz w:val="16"/>
          <w:szCs w:val="16"/>
          <w:color w:val="auto"/>
        </w:rPr>
      </w:pPr>
    </w:p>
    <w:p>
      <w:pPr>
        <w:ind w:left="12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9359"/>
          </w:cols>
          <w:pgMar w:left="1100" w:top="1440" w:right="1440" w:bottom="0" w:gutter="0" w:footer="0" w:header="0"/>
        </w:sectPr>
      </w:pPr>
    </w:p>
    <w:p>
      <w:pPr>
        <w:spacing w:after="0" w:line="169"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15" w:lineRule="exact"/>
        <w:rPr>
          <w:sz w:val="24"/>
          <w:szCs w:val="24"/>
          <w:color w:val="auto"/>
        </w:rPr>
      </w:pPr>
    </w:p>
    <w:p>
      <w:pPr>
        <w:sectPr>
          <w:pgSz w:w="11900" w:h="16838" w:orient="portrait"/>
          <w:cols w:equalWidth="0" w:num="2">
            <w:col w:w="4540" w:space="720"/>
            <w:col w:w="4099"/>
          </w:cols>
          <w:pgMar w:left="1100" w:top="1440" w:right="1440" w:bottom="0" w:gutter="0" w:footer="0" w:header="0"/>
          <w:type w:val="continuous"/>
        </w:sect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30" w:lineRule="exact"/>
        <w:rPr>
          <w:sz w:val="24"/>
          <w:szCs w:val="24"/>
          <w:color w:val="auto"/>
        </w:rPr>
      </w:pPr>
    </w:p>
    <w:p>
      <w:pPr>
        <w:sectPr>
          <w:pgSz w:w="11900" w:h="16838" w:orient="portrait"/>
          <w:cols w:equalWidth="0" w:num="2">
            <w:col w:w="5040" w:space="540"/>
            <w:col w:w="3779"/>
          </w:cols>
          <w:pgMar w:left="1100" w:top="1440" w:right="1440" w:bottom="0" w:gutter="0" w:footer="0" w:header="0"/>
          <w:type w:val="continuous"/>
        </w:sectPr>
      </w:pPr>
    </w:p>
    <w:p>
      <w:pPr>
        <w:ind w:left="7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ind w:left="940"/>
        <w:spacing w:after="0"/>
        <w:rPr>
          <w:sz w:val="20"/>
          <w:szCs w:val="20"/>
          <w:color w:val="auto"/>
        </w:rPr>
      </w:pPr>
      <w:r>
        <w:rPr>
          <w:rFonts w:ascii="Courier New" w:cs="Courier New" w:eastAsia="Courier New" w:hAnsi="Courier New"/>
          <w:sz w:val="18"/>
          <w:szCs w:val="18"/>
          <w:color w:val="auto"/>
        </w:rPr>
        <w:t>1-10658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3380" w:space="720"/>
            <w:col w:w="5259"/>
          </w:cols>
          <w:pgMar w:left="1100" w:top="1440" w:right="1440" w:bottom="0" w:gutter="0" w:footer="0" w:header="0"/>
          <w:type w:val="continuous"/>
        </w:sectPr>
      </w:pPr>
    </w:p>
    <w:p>
      <w:pPr>
        <w:ind w:left="2300"/>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2" w:lineRule="exact"/>
        <w:rPr>
          <w:sz w:val="24"/>
          <w:szCs w:val="24"/>
          <w:color w:val="auto"/>
        </w:rPr>
      </w:pPr>
    </w:p>
    <w:p>
      <w:pPr>
        <w:ind w:left="1260"/>
        <w:spacing w:after="0"/>
        <w:tabs>
          <w:tab w:leader="none" w:pos="502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75-1618004</w:t>
      </w:r>
    </w:p>
    <w:p>
      <w:pPr>
        <w:spacing w:after="0" w:line="29" w:lineRule="exact"/>
        <w:rPr>
          <w:sz w:val="24"/>
          <w:szCs w:val="24"/>
          <w:color w:val="auto"/>
        </w:rPr>
      </w:pPr>
    </w:p>
    <w:p>
      <w:pPr>
        <w:spacing w:after="0"/>
        <w:tabs>
          <w:tab w:leader="none" w:pos="34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44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 Identification No.)</w:t>
      </w: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580" w:type="dxa"/>
            <w:vAlign w:val="bottom"/>
          </w:tcPr>
          <w:p>
            <w:pPr>
              <w:ind w:left="100"/>
              <w:spacing w:after="0"/>
              <w:rPr>
                <w:sz w:val="20"/>
                <w:szCs w:val="20"/>
                <w:color w:val="auto"/>
              </w:rPr>
            </w:pPr>
            <w:r>
              <w:rPr>
                <w:rFonts w:ascii="Courier New" w:cs="Courier New" w:eastAsia="Courier New" w:hAnsi="Courier New"/>
                <w:sz w:val="18"/>
                <w:szCs w:val="18"/>
                <w:color w:val="auto"/>
              </w:rPr>
              <w:t>2805 East Columbia Road, Boise, Idaho</w:t>
            </w:r>
          </w:p>
        </w:tc>
        <w:tc>
          <w:tcPr>
            <w:tcW w:w="1420" w:type="dxa"/>
            <w:vAlign w:val="bottom"/>
          </w:tcPr>
          <w:p>
            <w:pPr>
              <w:ind w:left="360"/>
              <w:spacing w:after="0"/>
              <w:rPr>
                <w:sz w:val="20"/>
                <w:szCs w:val="20"/>
                <w:color w:val="auto"/>
              </w:rPr>
            </w:pPr>
            <w:r>
              <w:rPr>
                <w:rFonts w:ascii="Courier New" w:cs="Courier New" w:eastAsia="Courier New" w:hAnsi="Courier New"/>
                <w:sz w:val="18"/>
                <w:szCs w:val="18"/>
                <w:color w:val="auto"/>
                <w:w w:val="96"/>
              </w:rPr>
              <w:t>83706-9698</w:t>
            </w:r>
          </w:p>
        </w:tc>
        <w:tc>
          <w:tcPr>
            <w:tcW w:w="0" w:type="dxa"/>
            <w:vAlign w:val="bottom"/>
          </w:tcPr>
          <w:p>
            <w:pPr>
              <w:spacing w:after="0"/>
              <w:rPr>
                <w:sz w:val="1"/>
                <w:szCs w:val="1"/>
                <w:color w:val="auto"/>
              </w:rPr>
            </w:pPr>
          </w:p>
        </w:tc>
      </w:tr>
      <w:tr>
        <w:trPr>
          <w:trHeight w:val="203"/>
        </w:trPr>
        <w:tc>
          <w:tcPr>
            <w:tcW w:w="4580" w:type="dxa"/>
            <w:vAlign w:val="bottom"/>
            <w:vMerge w:val="restart"/>
          </w:tcPr>
          <w:p>
            <w:pPr>
              <w:spacing w:after="0"/>
              <w:rPr>
                <w:sz w:val="20"/>
                <w:szCs w:val="20"/>
                <w:color w:val="auto"/>
              </w:rPr>
            </w:pPr>
            <w:r>
              <w:rPr>
                <w:rFonts w:ascii="Courier New" w:cs="Courier New" w:eastAsia="Courier New" w:hAnsi="Courier New"/>
                <w:sz w:val="23"/>
                <w:szCs w:val="23"/>
                <w:color w:val="auto"/>
                <w:w w:val="70"/>
                <w:vertAlign w:val="subscript"/>
              </w:rPr>
              <w:t>(Address</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ofprincipalexecutiveoffices)</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3"/>
        </w:trPr>
        <w:tc>
          <w:tcPr>
            <w:tcW w:w="4580" w:type="dxa"/>
            <w:vAlign w:val="bottom"/>
            <w:vMerge w:val="continue"/>
          </w:tcPr>
          <w:p>
            <w:pPr>
              <w:spacing w:after="0"/>
              <w:rPr>
                <w:sz w:val="24"/>
                <w:szCs w:val="2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8"/>
                <w:szCs w:val="18"/>
                <w:color w:val="auto"/>
                <w:w w:val="96"/>
              </w:rPr>
              <w:t>(Zip Code)</w:t>
            </w:r>
          </w:p>
        </w:tc>
        <w:tc>
          <w:tcPr>
            <w:tcW w:w="0" w:type="dxa"/>
            <w:vAlign w:val="bottom"/>
          </w:tcPr>
          <w:p>
            <w:pPr>
              <w:spacing w:after="0"/>
              <w:rPr>
                <w:sz w:val="1"/>
                <w:szCs w:val="1"/>
                <w:color w:val="auto"/>
              </w:rPr>
            </w:pPr>
          </w:p>
        </w:tc>
      </w:tr>
    </w:tbl>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(208) 368-4000</w:t>
      </w:r>
    </w:p>
    <w:p>
      <w:pPr>
        <w:spacing w:after="0" w:line="31" w:lineRule="exact"/>
        <w:rPr>
          <w:sz w:val="24"/>
          <w:szCs w:val="24"/>
          <w:color w:val="auto"/>
        </w:rPr>
      </w:pPr>
    </w:p>
    <w:p>
      <w:pPr>
        <w:ind w:left="55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3" w:lineRule="exact"/>
        <w:rPr>
          <w:sz w:val="24"/>
          <w:szCs w:val="24"/>
          <w:color w:val="auto"/>
        </w:rPr>
      </w:pPr>
    </w:p>
    <w:p>
      <w:pPr>
        <w:ind w:left="520"/>
        <w:spacing w:after="0"/>
        <w:tabs>
          <w:tab w:leader="none" w:pos="1020" w:val="left"/>
          <w:tab w:leader="none" w:pos="240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29" w:lineRule="exact"/>
        <w:rPr>
          <w:sz w:val="24"/>
          <w:szCs w:val="24"/>
          <w:color w:val="auto"/>
        </w:rPr>
      </w:pPr>
    </w:p>
    <w:p>
      <w:pPr>
        <w:ind w:left="840"/>
        <w:spacing w:after="0"/>
        <w:tabs>
          <w:tab w:leader="none" w:pos="26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right="2199"/>
        <w:spacing w:after="0" w:line="309" w:lineRule="auto"/>
        <w:rPr>
          <w:sz w:val="20"/>
          <w:szCs w:val="20"/>
          <w:color w:val="auto"/>
        </w:rPr>
      </w:pPr>
      <w:r>
        <w:rPr>
          <w:rFonts w:ascii="Courier New" w:cs="Courier New" w:eastAsia="Courier New" w:hAnsi="Courier New"/>
          <w:sz w:val="18"/>
          <w:szCs w:val="18"/>
          <w:color w:val="auto"/>
        </w:rPr>
        <w:t>The number of outstanding shares of the registrant's Common Stock as of June 17, 1994 was 101,714,045.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100"/>
        <w:spacing w:after="0"/>
        <w:tabs>
          <w:tab w:leader="none" w:pos="302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Consolidated Financial Statements</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ind w:left="2200"/>
        <w:spacing w:after="0"/>
        <w:rPr>
          <w:sz w:val="20"/>
          <w:szCs w:val="20"/>
          <w:color w:val="auto"/>
        </w:rPr>
      </w:pPr>
      <w:r>
        <w:rPr>
          <w:rFonts w:ascii="Courier New" w:cs="Courier New" w:eastAsia="Courier New" w:hAnsi="Courier New"/>
          <w:sz w:val="18"/>
          <w:szCs w:val="18"/>
          <w:color w:val="auto"/>
        </w:rPr>
        <w:t>Consolidated Balance Sheets</w:t>
      </w:r>
    </w:p>
    <w:p>
      <w:pPr>
        <w:spacing w:after="0" w:line="31"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(Dollars in thousands)</w:t>
      </w:r>
    </w:p>
    <w:p>
      <w:pPr>
        <w:sectPr>
          <w:pgSz w:w="11900" w:h="16838" w:orient="portrait"/>
          <w:cols w:equalWidth="0" w:num="1">
            <w:col w:w="9359"/>
          </w:cols>
          <w:pgMar w:left="1100" w:top="1440" w:right="1440" w:bottom="0" w:gutter="0" w:footer="0" w:header="0"/>
          <w:type w:val="continuous"/>
        </w:sectPr>
      </w:pPr>
    </w:p>
    <w:p>
      <w:pPr>
        <w:spacing w:after="0" w:line="372" w:lineRule="exact"/>
        <w:rPr>
          <w:sz w:val="24"/>
          <w:szCs w:val="24"/>
          <w:color w:val="auto"/>
        </w:rPr>
      </w:pPr>
    </w:p>
    <w:p>
      <w:pPr>
        <w:ind w:left="4200"/>
        <w:spacing w:after="0"/>
        <w:rPr>
          <w:sz w:val="20"/>
          <w:szCs w:val="20"/>
          <w:color w:val="auto"/>
        </w:rPr>
      </w:pPr>
      <w:r>
        <w:rPr>
          <w:rFonts w:ascii="Courier New" w:cs="Courier New" w:eastAsia="Courier New" w:hAnsi="Courier New"/>
          <w:sz w:val="18"/>
          <w:szCs w:val="18"/>
          <w:color w:val="auto"/>
        </w:rPr>
        <w:t>June 2,</w:t>
      </w:r>
    </w:p>
    <w:p>
      <w:pPr>
        <w:spacing w:after="0" w:line="29" w:lineRule="exact"/>
        <w:rPr>
          <w:sz w:val="24"/>
          <w:szCs w:val="24"/>
          <w:color w:val="auto"/>
        </w:rPr>
      </w:pPr>
    </w:p>
    <w:p>
      <w:pPr>
        <w:ind w:left="4300"/>
        <w:spacing w:after="0"/>
        <w:rPr>
          <w:sz w:val="20"/>
          <w:szCs w:val="20"/>
          <w:color w:val="auto"/>
        </w:rPr>
      </w:pPr>
      <w:r>
        <w:rPr>
          <w:rFonts w:ascii="Courier New" w:cs="Courier New" w:eastAsia="Courier New" w:hAnsi="Courier New"/>
          <w:sz w:val="18"/>
          <w:szCs w:val="18"/>
          <w:color w:val="auto"/>
        </w:rPr>
        <w:t>1994</w:t>
      </w:r>
    </w:p>
    <w:p>
      <w:pPr>
        <w:ind w:left="4000"/>
        <w:spacing w:after="0"/>
        <w:rPr>
          <w:sz w:val="20"/>
          <w:szCs w:val="20"/>
          <w:color w:val="auto"/>
        </w:rPr>
      </w:pPr>
      <w:r>
        <w:rPr>
          <w:rFonts w:ascii="Courier New" w:cs="Courier New" w:eastAsia="Courier New" w:hAnsi="Courier New"/>
          <w:sz w:val="16"/>
          <w:szCs w:val="16"/>
          <w:color w:val="auto"/>
        </w:rPr>
        <w:t>(Unaudited)</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September 2,</w:t>
      </w:r>
    </w:p>
    <w:p>
      <w:pPr>
        <w:spacing w:after="0" w:line="53"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1993</w:t>
      </w:r>
    </w:p>
    <w:p>
      <w:pPr>
        <w:sectPr>
          <w:pgSz w:w="11900" w:h="16838" w:orient="portrait"/>
          <w:cols w:equalWidth="0" w:num="2">
            <w:col w:w="5160" w:space="620"/>
            <w:col w:w="3579"/>
          </w:cols>
          <w:pgMar w:left="1100" w:top="1440"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w:t>
      </w: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line="192" w:lineRule="exact"/>
              <w:rPr>
                <w:sz w:val="20"/>
                <w:szCs w:val="20"/>
                <w:color w:val="auto"/>
              </w:rPr>
            </w:pPr>
            <w:r>
              <w:rPr>
                <w:rFonts w:ascii="Courier New" w:cs="Courier New" w:eastAsia="Courier New" w:hAnsi="Courier New"/>
                <w:sz w:val="18"/>
                <w:szCs w:val="18"/>
                <w:color w:val="auto"/>
              </w:rPr>
              <w:t>Current assets:</w:t>
            </w:r>
          </w:p>
        </w:tc>
        <w:tc>
          <w:tcPr>
            <w:tcW w:w="23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   51,196</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$ 47,523</w:t>
            </w:r>
          </w:p>
        </w:tc>
        <w:tc>
          <w:tcPr>
            <w:tcW w:w="0" w:type="dxa"/>
            <w:vAlign w:val="bottom"/>
          </w:tcPr>
          <w:p>
            <w:pPr>
              <w:spacing w:after="0"/>
              <w:rPr>
                <w:sz w:val="1"/>
                <w:szCs w:val="1"/>
                <w:color w:val="auto"/>
              </w:rPr>
            </w:pP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23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315,107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138,290</w:t>
            </w:r>
          </w:p>
        </w:tc>
        <w:tc>
          <w:tcPr>
            <w:tcW w:w="0" w:type="dxa"/>
            <w:vAlign w:val="bottom"/>
          </w:tcPr>
          <w:p>
            <w:pPr>
              <w:spacing w:after="0"/>
              <w:rPr>
                <w:sz w:val="1"/>
                <w:szCs w:val="1"/>
                <w:color w:val="auto"/>
              </w:rPr>
            </w:pP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Receivables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210,317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154,686</w:t>
            </w:r>
          </w:p>
        </w:tc>
        <w:tc>
          <w:tcPr>
            <w:tcW w:w="0" w:type="dxa"/>
            <w:vAlign w:val="bottom"/>
          </w:tcPr>
          <w:p>
            <w:pPr>
              <w:spacing w:after="0"/>
              <w:rPr>
                <w:sz w:val="1"/>
                <w:szCs w:val="1"/>
                <w:color w:val="auto"/>
              </w:rPr>
            </w:pP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Inventories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99,365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83,164</w:t>
            </w:r>
          </w:p>
        </w:tc>
        <w:tc>
          <w:tcPr>
            <w:tcW w:w="0" w:type="dxa"/>
            <w:vAlign w:val="bottom"/>
          </w:tcPr>
          <w:p>
            <w:pPr>
              <w:spacing w:after="0"/>
              <w:rPr>
                <w:sz w:val="1"/>
                <w:szCs w:val="1"/>
                <w:color w:val="auto"/>
              </w:rPr>
            </w:pP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2,940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1,493</w:t>
            </w:r>
          </w:p>
        </w:tc>
        <w:tc>
          <w:tcPr>
            <w:tcW w:w="0" w:type="dxa"/>
            <w:vAlign w:val="bottom"/>
          </w:tcPr>
          <w:p>
            <w:pPr>
              <w:spacing w:after="0"/>
              <w:rPr>
                <w:sz w:val="1"/>
                <w:szCs w:val="1"/>
                <w:color w:val="auto"/>
              </w:rPr>
            </w:pPr>
          </w:p>
        </w:tc>
      </w:tr>
      <w:tr>
        <w:trPr>
          <w:trHeight w:val="235"/>
        </w:trPr>
        <w:tc>
          <w:tcPr>
            <w:tcW w:w="3160" w:type="dxa"/>
            <w:vAlign w:val="bottom"/>
          </w:tcPr>
          <w:p>
            <w:pPr>
              <w:ind w:left="200"/>
              <w:spacing w:after="0"/>
              <w:rPr>
                <w:sz w:val="20"/>
                <w:szCs w:val="20"/>
                <w:color w:val="auto"/>
              </w:rPr>
            </w:pPr>
            <w:r>
              <w:rPr>
                <w:rFonts w:ascii="Courier New" w:cs="Courier New" w:eastAsia="Courier New" w:hAnsi="Courier New"/>
                <w:sz w:val="18"/>
                <w:szCs w:val="18"/>
                <w:color w:val="auto"/>
              </w:rPr>
              <w:t>Deferred income taxes</w:t>
            </w:r>
          </w:p>
        </w:tc>
        <w:tc>
          <w:tcPr>
            <w:tcW w:w="2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16,390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14,920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current assets</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695,315</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440,076</w:t>
            </w:r>
          </w:p>
        </w:tc>
      </w:tr>
      <w:tr>
        <w:trPr>
          <w:trHeight w:val="279"/>
        </w:trPr>
        <w:tc>
          <w:tcPr>
            <w:tcW w:w="3940" w:type="dxa"/>
            <w:vAlign w:val="bottom"/>
            <w:gridSpan w:val="2"/>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50,693</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69,703</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plant, and equipment, net</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599,795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437,761</w:t>
            </w:r>
          </w:p>
        </w:tc>
      </w:tr>
      <w:tr>
        <w:trPr>
          <w:trHeight w:val="235"/>
        </w:trPr>
        <w:tc>
          <w:tcPr>
            <w:tcW w:w="3940" w:type="dxa"/>
            <w:vAlign w:val="bottom"/>
            <w:gridSpan w:val="2"/>
          </w:tcPr>
          <w:p>
            <w:pPr>
              <w:spacing w:after="0"/>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18,329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18,116</w:t>
            </w: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36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2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$1,364,132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$965,656</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AND SHAREHOLDERS' EQUITY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liabilities:</w:t>
      </w:r>
    </w:p>
    <w:tbl>
      <w:tblPr>
        <w:tblLayout w:type="fixed"/>
        <w:tblInd w:w="200" w:type="dxa"/>
        <w:tblCellMar>
          <w:top w:w="0" w:type="dxa"/>
          <w:left w:w="0" w:type="dxa"/>
          <w:bottom w:w="0" w:type="dxa"/>
          <w:right w:w="0" w:type="dxa"/>
        </w:tblCellMar>
      </w:tblPr>
      <w:tr>
        <w:trPr>
          <w:trHeight w:val="171"/>
        </w:trPr>
        <w:tc>
          <w:tcPr>
            <w:tcW w:w="3580" w:type="dxa"/>
            <w:vAlign w:val="bottom"/>
          </w:tcPr>
          <w:p>
            <w:pPr>
              <w:spacing w:after="0" w:line="170" w:lineRule="exact"/>
              <w:rPr>
                <w:sz w:val="20"/>
                <w:szCs w:val="20"/>
                <w:color w:val="auto"/>
              </w:rPr>
            </w:pPr>
            <w:r>
              <w:rPr>
                <w:rFonts w:ascii="Courier New" w:cs="Courier New" w:eastAsia="Courier New" w:hAnsi="Courier New"/>
                <w:sz w:val="18"/>
                <w:szCs w:val="18"/>
                <w:color w:val="auto"/>
              </w:rPr>
              <w:t>Accounts payable and accrued</w:t>
            </w:r>
          </w:p>
        </w:tc>
        <w:tc>
          <w:tcPr>
            <w:tcW w:w="16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  199,647</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$154,963</w:t>
            </w:r>
          </w:p>
        </w:tc>
        <w:tc>
          <w:tcPr>
            <w:tcW w:w="0" w:type="dxa"/>
            <w:vAlign w:val="bottom"/>
          </w:tcPr>
          <w:p>
            <w:pPr>
              <w:spacing w:after="0"/>
              <w:rPr>
                <w:sz w:val="1"/>
                <w:szCs w:val="1"/>
                <w:color w:val="auto"/>
              </w:rPr>
            </w:pPr>
          </w:p>
        </w:tc>
      </w:tr>
      <w:tr>
        <w:trPr>
          <w:trHeight w:val="203"/>
        </w:trPr>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expenses</w:t>
            </w:r>
          </w:p>
        </w:tc>
        <w:tc>
          <w:tcPr>
            <w:tcW w:w="168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10,151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5,501</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17,823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24,913</w:t>
            </w: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r>
              <w:rPr>
                <w:rFonts w:ascii="Courier New" w:cs="Courier New" w:eastAsia="Courier New" w:hAnsi="Courier New"/>
                <w:sz w:val="18"/>
                <w:szCs w:val="18"/>
                <w:color w:val="auto"/>
                <w:w w:val="99"/>
              </w:rPr>
              <w:t>Current portion of long-term debt</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29,179</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25,407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current liabilities</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256,800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210,784</w:t>
            </w:r>
          </w:p>
        </w:tc>
      </w:tr>
      <w:tr>
        <w:trPr>
          <w:trHeight w:val="279"/>
        </w:trPr>
        <w:tc>
          <w:tcPr>
            <w:tcW w:w="1000" w:type="dxa"/>
            <w:vAlign w:val="bottom"/>
          </w:tcPr>
          <w:p>
            <w:pPr>
              <w:spacing w:after="0"/>
              <w:rPr>
                <w:sz w:val="20"/>
                <w:szCs w:val="20"/>
                <w:color w:val="auto"/>
              </w:rPr>
            </w:pPr>
            <w:r>
              <w:rPr>
                <w:rFonts w:ascii="Courier New" w:cs="Courier New" w:eastAsia="Courier New" w:hAnsi="Courier New"/>
                <w:sz w:val="18"/>
                <w:szCs w:val="18"/>
                <w:color w:val="auto"/>
              </w:rPr>
              <w:t>Long-term</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debt</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127,550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54,361</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42,238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46,216</w:t>
            </w:r>
          </w:p>
        </w:tc>
      </w:tr>
      <w:tr>
        <w:trPr>
          <w:trHeight w:val="235"/>
        </w:trPr>
        <w:tc>
          <w:tcPr>
            <w:tcW w:w="3620" w:type="dxa"/>
            <w:vAlign w:val="bottom"/>
            <w:gridSpan w:val="2"/>
          </w:tcPr>
          <w:p>
            <w:pPr>
              <w:spacing w:after="0"/>
              <w:rPr>
                <w:sz w:val="20"/>
                <w:szCs w:val="20"/>
                <w:color w:val="auto"/>
              </w:rPr>
            </w:pPr>
            <w:r>
              <w:rPr>
                <w:rFonts w:ascii="Courier New" w:cs="Courier New" w:eastAsia="Courier New" w:hAnsi="Courier New"/>
                <w:sz w:val="18"/>
                <w:szCs w:val="18"/>
                <w:color w:val="auto"/>
              </w:rPr>
              <w:t>Other liabilities</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28,829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14,786</w:t>
            </w: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780" w:type="dxa"/>
            <w:vAlign w:val="bottom"/>
          </w:tcPr>
          <w:p>
            <w:pPr>
              <w:spacing w:after="0"/>
              <w:rPr>
                <w:sz w:val="20"/>
                <w:szCs w:val="20"/>
                <w:color w:val="auto"/>
              </w:rPr>
            </w:pPr>
            <w:r>
              <w:rPr>
                <w:rFonts w:ascii="Courier New" w:cs="Courier New" w:eastAsia="Courier New" w:hAnsi="Courier New"/>
                <w:sz w:val="18"/>
                <w:szCs w:val="18"/>
                <w:color w:val="auto"/>
              </w:rPr>
              <w:t>Total liabilities</w:t>
            </w:r>
          </w:p>
        </w:tc>
        <w:tc>
          <w:tcPr>
            <w:tcW w:w="2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455,417</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326,147</w:t>
            </w: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Commitments and contingencies</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Shareholders' equity:</w:t>
      </w:r>
    </w:p>
    <w:tbl>
      <w:tblPr>
        <w:tblLayout w:type="fixed"/>
        <w:tblInd w:w="200" w:type="dxa"/>
        <w:tblCellMar>
          <w:top w:w="0" w:type="dxa"/>
          <w:left w:w="0" w:type="dxa"/>
          <w:bottom w:w="0" w:type="dxa"/>
          <w:right w:w="0" w:type="dxa"/>
        </w:tblCellMar>
      </w:tblPr>
      <w:tr>
        <w:trPr>
          <w:trHeight w:val="171"/>
        </w:trPr>
        <w:tc>
          <w:tcPr>
            <w:tcW w:w="368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Common stock, $.10 par value,</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authorized</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150,000,000 shares,</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issued 101,698,000 and</w:t>
            </w:r>
          </w:p>
        </w:tc>
        <w:tc>
          <w:tcPr>
            <w:tcW w:w="170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10,170</w:t>
            </w: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4,010</w:t>
            </w:r>
          </w:p>
        </w:tc>
        <w:tc>
          <w:tcPr>
            <w:tcW w:w="0" w:type="dxa"/>
            <w:vAlign w:val="bottom"/>
          </w:tcPr>
          <w:p>
            <w:pPr>
              <w:spacing w:after="0"/>
              <w:rPr>
                <w:sz w:val="1"/>
                <w:szCs w:val="1"/>
                <w:color w:val="auto"/>
              </w:rPr>
            </w:pPr>
          </w:p>
        </w:tc>
      </w:tr>
      <w:tr>
        <w:trPr>
          <w:trHeight w:val="203"/>
        </w:trPr>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40,099,000</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respectively</w:t>
            </w:r>
          </w:p>
        </w:tc>
        <w:tc>
          <w:tcPr>
            <w:tcW w:w="17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365,991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353,277</w:t>
            </w:r>
          </w:p>
        </w:tc>
        <w:tc>
          <w:tcPr>
            <w:tcW w:w="0" w:type="dxa"/>
            <w:vAlign w:val="bottom"/>
          </w:tcPr>
          <w:p>
            <w:pPr>
              <w:spacing w:after="0"/>
              <w:rPr>
                <w:sz w:val="1"/>
                <w:szCs w:val="1"/>
                <w:color w:val="auto"/>
              </w:rPr>
            </w:pPr>
          </w:p>
        </w:tc>
      </w:tr>
      <w:tr>
        <w:trPr>
          <w:trHeight w:val="203"/>
        </w:trPr>
        <w:tc>
          <w:tcPr>
            <w:tcW w:w="3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534,003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282,468</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r>
              <w:rPr>
                <w:rFonts w:ascii="Courier New" w:cs="Courier New" w:eastAsia="Courier New" w:hAnsi="Courier New"/>
                <w:sz w:val="18"/>
                <w:szCs w:val="18"/>
                <w:color w:val="auto"/>
              </w:rPr>
              <w:t>Unamortized</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stock compensation</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(1,449)</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(246)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Total shareholders' equity</w:t>
            </w:r>
          </w:p>
        </w:tc>
        <w:tc>
          <w:tcPr>
            <w:tcW w:w="1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908,715</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639,509</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420" w:type="dxa"/>
        <w:tblCellMar>
          <w:top w:w="0" w:type="dxa"/>
          <w:left w:w="0" w:type="dxa"/>
          <w:bottom w:w="0" w:type="dxa"/>
          <w:right w:w="0" w:type="dxa"/>
        </w:tblCellMar>
      </w:tblPr>
      <w:tr>
        <w:trPr>
          <w:trHeight w:val="192"/>
        </w:trPr>
        <w:tc>
          <w:tcPr>
            <w:tcW w:w="2840" w:type="dxa"/>
            <w:vAlign w:val="bottom"/>
          </w:tcPr>
          <w:p>
            <w:pPr>
              <w:jc w:val="right"/>
              <w:ind w:right="552"/>
              <w:spacing w:after="0" w:line="192" w:lineRule="exact"/>
              <w:rPr>
                <w:sz w:val="20"/>
                <w:szCs w:val="20"/>
                <w:color w:val="auto"/>
              </w:rPr>
            </w:pPr>
            <w:r>
              <w:rPr>
                <w:rFonts w:ascii="Courier New" w:cs="Courier New" w:eastAsia="Courier New" w:hAnsi="Courier New"/>
                <w:sz w:val="18"/>
                <w:szCs w:val="18"/>
                <w:color w:val="auto"/>
                <w:w w:val="96"/>
              </w:rPr>
              <w:t>Total liabilities and</w:t>
            </w:r>
          </w:p>
        </w:tc>
        <w:tc>
          <w:tcPr>
            <w:tcW w:w="22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$1,364,132</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$965,656</w:t>
            </w:r>
          </w:p>
        </w:tc>
        <w:tc>
          <w:tcPr>
            <w:tcW w:w="0" w:type="dxa"/>
            <w:vAlign w:val="bottom"/>
          </w:tcPr>
          <w:p>
            <w:pPr>
              <w:spacing w:after="0"/>
              <w:rPr>
                <w:sz w:val="1"/>
                <w:szCs w:val="1"/>
                <w:color w:val="auto"/>
              </w:rPr>
            </w:pPr>
          </w:p>
        </w:tc>
      </w:tr>
      <w:tr>
        <w:trPr>
          <w:trHeight w:val="235"/>
        </w:trPr>
        <w:tc>
          <w:tcPr>
            <w:tcW w:w="2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shareholders' equity</w:t>
            </w:r>
          </w:p>
        </w:tc>
        <w:tc>
          <w:tcPr>
            <w:tcW w:w="22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359"/>
          </w:cols>
          <w:pgMar w:left="1100" w:top="110" w:right="1440" w:bottom="1440" w:gutter="0" w:footer="0" w:header="0"/>
        </w:sectPr>
      </w:pPr>
    </w:p>
    <w:bookmarkStart w:id="2" w:name="page3"/>
    <w:bookmarkEnd w:id="2"/>
    <w:p>
      <w:pPr>
        <w:jc w:val="center"/>
        <w:ind w:right="211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left="1300" w:right="840"/>
        <w:spacing w:after="0" w:line="292" w:lineRule="auto"/>
        <w:rPr>
          <w:sz w:val="20"/>
          <w:szCs w:val="20"/>
          <w:color w:val="auto"/>
        </w:rPr>
      </w:pPr>
      <w:r>
        <w:rPr>
          <w:rFonts w:ascii="Courier New" w:cs="Courier New" w:eastAsia="Courier New" w:hAnsi="Courier New"/>
          <w:sz w:val="18"/>
          <w:szCs w:val="18"/>
          <w:color w:val="auto"/>
        </w:rPr>
        <w:t>Consolidated Statements of Operations (Dollars in thousands, except for per share data) (Unaudited)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Quarter Ended</w:t>
      </w:r>
    </w:p>
    <w:p>
      <w:pPr>
        <w:spacing w:after="0" w:line="29" w:lineRule="exact"/>
        <w:rPr>
          <w:sz w:val="20"/>
          <w:szCs w:val="20"/>
          <w:color w:val="auto"/>
        </w:rPr>
      </w:pPr>
    </w:p>
    <w:p>
      <w:pPr>
        <w:ind w:left="4520"/>
        <w:spacing w:after="0"/>
        <w:tabs>
          <w:tab w:leader="none" w:pos="6180" w:val="left"/>
        </w:tabs>
        <w:rPr>
          <w:sz w:val="20"/>
          <w:szCs w:val="20"/>
          <w:color w:val="auto"/>
        </w:rPr>
      </w:pPr>
      <w:r>
        <w:rPr>
          <w:rFonts w:ascii="Courier New" w:cs="Courier New" w:eastAsia="Courier New" w:hAnsi="Courier New"/>
          <w:sz w:val="18"/>
          <w:szCs w:val="18"/>
          <w:color w:val="auto"/>
        </w:rPr>
        <w:t>June 2,</w:t>
      </w:r>
      <w:r>
        <w:rPr>
          <w:sz w:val="20"/>
          <w:szCs w:val="20"/>
          <w:color w:val="auto"/>
        </w:rPr>
        <w:tab/>
      </w:r>
      <w:r>
        <w:rPr>
          <w:rFonts w:ascii="Courier New" w:cs="Courier New" w:eastAsia="Courier New" w:hAnsi="Courier New"/>
          <w:sz w:val="16"/>
          <w:szCs w:val="16"/>
          <w:color w:val="auto"/>
        </w:rPr>
        <w:t>June 3,</w:t>
      </w:r>
    </w:p>
    <w:p>
      <w:pPr>
        <w:ind w:left="4620"/>
        <w:spacing w:after="0" w:line="238" w:lineRule="auto"/>
        <w:tabs>
          <w:tab w:leader="none" w:pos="630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426,392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$214,926</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line="192" w:lineRule="exact"/>
              <w:rPr>
                <w:sz w:val="20"/>
                <w:szCs w:val="20"/>
                <w:color w:val="auto"/>
              </w:rPr>
            </w:pPr>
            <w:r>
              <w:rPr>
                <w:rFonts w:ascii="Courier New" w:cs="Courier New" w:eastAsia="Courier New" w:hAnsi="Courier New"/>
                <w:sz w:val="18"/>
                <w:szCs w:val="18"/>
                <w:color w:val="auto"/>
              </w:rPr>
              <w:t>Costs and</w:t>
            </w:r>
          </w:p>
        </w:tc>
        <w:tc>
          <w:tcPr>
            <w:tcW w:w="262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expenses:</w:t>
            </w:r>
          </w:p>
        </w:tc>
        <w:tc>
          <w:tcPr>
            <w:tcW w:w="21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206,967</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132,323</w:t>
            </w:r>
          </w:p>
        </w:tc>
        <w:tc>
          <w:tcPr>
            <w:tcW w:w="0" w:type="dxa"/>
            <w:vAlign w:val="bottom"/>
          </w:tcPr>
          <w:p>
            <w:pPr>
              <w:spacing w:after="0"/>
              <w:rPr>
                <w:sz w:val="1"/>
                <w:szCs w:val="1"/>
                <w:color w:val="auto"/>
              </w:rPr>
            </w:pPr>
          </w:p>
        </w:tc>
      </w:tr>
      <w:tr>
        <w:trPr>
          <w:trHeight w:val="203"/>
        </w:trPr>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Cost of</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goods sold</w:t>
            </w:r>
          </w:p>
        </w:tc>
        <w:tc>
          <w:tcPr>
            <w:tcW w:w="21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1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35,773</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21,061</w:t>
            </w:r>
          </w:p>
        </w:tc>
        <w:tc>
          <w:tcPr>
            <w:tcW w:w="0" w:type="dxa"/>
            <w:vAlign w:val="bottom"/>
          </w:tcPr>
          <w:p>
            <w:pPr>
              <w:spacing w:after="0"/>
              <w:rPr>
                <w:sz w:val="1"/>
                <w:szCs w:val="1"/>
                <w:color w:val="auto"/>
              </w:rPr>
            </w:pPr>
          </w:p>
        </w:tc>
      </w:tr>
      <w:tr>
        <w:trPr>
          <w:trHeight w:val="203"/>
        </w:trPr>
        <w:tc>
          <w:tcPr>
            <w:tcW w:w="362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administrative</w:t>
            </w:r>
          </w:p>
        </w:tc>
        <w:tc>
          <w:tcPr>
            <w:tcW w:w="21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Research and development</w:t>
            </w:r>
          </w:p>
        </w:tc>
        <w:tc>
          <w:tcPr>
            <w:tcW w:w="2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22,933</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14,685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Total costs and expenses</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265,673</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168,069</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line="192" w:lineRule="exact"/>
              <w:rPr>
                <w:sz w:val="20"/>
                <w:szCs w:val="20"/>
                <w:color w:val="auto"/>
              </w:rPr>
            </w:pPr>
            <w:r>
              <w:rPr>
                <w:rFonts w:ascii="Courier New" w:cs="Courier New" w:eastAsia="Courier New" w:hAnsi="Courier New"/>
                <w:sz w:val="18"/>
                <w:szCs w:val="18"/>
                <w:color w:val="auto"/>
              </w:rPr>
              <w:t>Operating income</w:t>
            </w:r>
          </w:p>
        </w:tc>
        <w:tc>
          <w:tcPr>
            <w:tcW w:w="2000" w:type="dxa"/>
            <w:vAlign w:val="bottom"/>
          </w:tcPr>
          <w:p>
            <w:pPr>
              <w:jc w:val="right"/>
              <w:ind w:right="492"/>
              <w:spacing w:after="0" w:line="192" w:lineRule="exact"/>
              <w:rPr>
                <w:sz w:val="20"/>
                <w:szCs w:val="20"/>
                <w:color w:val="auto"/>
              </w:rPr>
            </w:pPr>
            <w:r>
              <w:rPr>
                <w:rFonts w:ascii="Courier New" w:cs="Courier New" w:eastAsia="Courier New" w:hAnsi="Courier New"/>
                <w:sz w:val="18"/>
                <w:szCs w:val="18"/>
                <w:color w:val="auto"/>
              </w:rPr>
              <w:t>160,719</w:t>
            </w:r>
          </w:p>
        </w:tc>
        <w:tc>
          <w:tcPr>
            <w:tcW w:w="11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46,857</w:t>
            </w:r>
          </w:p>
        </w:tc>
      </w:tr>
      <w:tr>
        <w:trPr>
          <w:trHeight w:val="235"/>
        </w:trPr>
        <w:tc>
          <w:tcPr>
            <w:tcW w:w="3840" w:type="dxa"/>
            <w:vAlign w:val="bottom"/>
          </w:tcPr>
          <w:p>
            <w:pPr>
              <w:spacing w:after="0"/>
              <w:rPr>
                <w:sz w:val="20"/>
                <w:szCs w:val="20"/>
                <w:color w:val="auto"/>
              </w:rPr>
            </w:pPr>
            <w:r>
              <w:rPr>
                <w:rFonts w:ascii="Courier New" w:cs="Courier New" w:eastAsia="Courier New" w:hAnsi="Courier New"/>
                <w:sz w:val="18"/>
                <w:szCs w:val="18"/>
                <w:color w:val="auto"/>
              </w:rPr>
              <w:t>Interest (income) expense, net</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(2,293)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776</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420" w:type="dxa"/>
        <w:tblCellMar>
          <w:top w:w="0" w:type="dxa"/>
          <w:left w:w="0" w:type="dxa"/>
          <w:bottom w:w="0" w:type="dxa"/>
          <w:right w:w="0" w:type="dxa"/>
        </w:tblCellMar>
      </w:tblPr>
      <w:tr>
        <w:trPr>
          <w:trHeight w:val="192"/>
        </w:trPr>
        <w:tc>
          <w:tcPr>
            <w:tcW w:w="680" w:type="dxa"/>
            <w:vAlign w:val="bottom"/>
          </w:tcPr>
          <w:p>
            <w:pPr>
              <w:spacing w:after="0" w:line="192" w:lineRule="exact"/>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before income taxes</w:t>
            </w:r>
          </w:p>
        </w:tc>
        <w:tc>
          <w:tcPr>
            <w:tcW w:w="194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rPr>
              <w:t>163,012</w:t>
            </w:r>
          </w:p>
        </w:tc>
        <w:tc>
          <w:tcPr>
            <w:tcW w:w="11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46,081</w:t>
            </w:r>
          </w:p>
        </w:tc>
      </w:tr>
      <w:tr>
        <w:trPr>
          <w:trHeight w:val="235"/>
        </w:trPr>
        <w:tc>
          <w:tcPr>
            <w:tcW w:w="6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tax provision</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58,685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16,589</w:t>
            </w: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104,327</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$ 29,492</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line="192" w:lineRule="exact"/>
              <w:rPr>
                <w:sz w:val="20"/>
                <w:szCs w:val="20"/>
                <w:color w:val="auto"/>
              </w:rPr>
            </w:pPr>
            <w:r>
              <w:rPr>
                <w:rFonts w:ascii="Courier New" w:cs="Courier New" w:eastAsia="Courier New" w:hAnsi="Courier New"/>
                <w:sz w:val="18"/>
                <w:szCs w:val="18"/>
                <w:color w:val="auto"/>
              </w:rPr>
              <w:t>Earnings per share:</w:t>
            </w:r>
          </w:p>
        </w:tc>
        <w:tc>
          <w:tcPr>
            <w:tcW w:w="16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$0.99</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$0.29</w:t>
            </w:r>
          </w:p>
        </w:tc>
        <w:tc>
          <w:tcPr>
            <w:tcW w:w="0" w:type="dxa"/>
            <w:vAlign w:val="bottom"/>
          </w:tcPr>
          <w:p>
            <w:pPr>
              <w:spacing w:after="0"/>
              <w:rPr>
                <w:sz w:val="1"/>
                <w:szCs w:val="1"/>
                <w:color w:val="auto"/>
              </w:rPr>
            </w:pP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Primary</w:t>
            </w:r>
          </w:p>
        </w:tc>
        <w:tc>
          <w:tcPr>
            <w:tcW w:w="16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Fully diluted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0.99</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1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calculations:</w:t>
            </w:r>
          </w:p>
        </w:tc>
        <w:tc>
          <w:tcPr>
            <w:tcW w:w="16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105,630,000</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101,400,000</w:t>
            </w:r>
          </w:p>
        </w:tc>
        <w:tc>
          <w:tcPr>
            <w:tcW w:w="0" w:type="dxa"/>
            <w:vAlign w:val="bottom"/>
          </w:tcPr>
          <w:p>
            <w:pPr>
              <w:spacing w:after="0"/>
              <w:rPr>
                <w:sz w:val="1"/>
                <w:szCs w:val="1"/>
                <w:color w:val="auto"/>
              </w:rPr>
            </w:pP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Primary</w:t>
            </w:r>
          </w:p>
        </w:tc>
        <w:tc>
          <w:tcPr>
            <w:tcW w:w="16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40" w:type="dxa"/>
            <w:vAlign w:val="bottom"/>
          </w:tcPr>
          <w:p>
            <w:pPr>
              <w:ind w:left="200"/>
              <w:spacing w:after="0"/>
              <w:rPr>
                <w:sz w:val="20"/>
                <w:szCs w:val="20"/>
                <w:color w:val="auto"/>
              </w:rPr>
            </w:pPr>
            <w:r>
              <w:rPr>
                <w:rFonts w:ascii="Courier New" w:cs="Courier New" w:eastAsia="Courier New" w:hAnsi="Courier New"/>
                <w:sz w:val="18"/>
                <w:szCs w:val="18"/>
                <w:color w:val="auto"/>
              </w:rPr>
              <w:t>Fully diluted</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105,690,000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102,208,000</w:t>
            </w: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$0.05</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359"/>
          </w:cols>
          <w:pgMar w:left="1100" w:top="1298" w:right="1440" w:bottom="1440" w:gutter="0" w:footer="0" w:header="0"/>
        </w:sectPr>
      </w:pPr>
    </w:p>
    <w:bookmarkStart w:id="3" w:name="page4"/>
    <w:bookmarkEnd w:id="3"/>
    <w:p>
      <w:pPr>
        <w:jc w:val="center"/>
        <w:ind w:right="211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left="1300" w:right="840"/>
        <w:spacing w:after="0" w:line="292" w:lineRule="auto"/>
        <w:rPr>
          <w:sz w:val="20"/>
          <w:szCs w:val="20"/>
          <w:color w:val="auto"/>
        </w:rPr>
      </w:pPr>
      <w:r>
        <w:rPr>
          <w:rFonts w:ascii="Courier New" w:cs="Courier New" w:eastAsia="Courier New" w:hAnsi="Courier New"/>
          <w:sz w:val="18"/>
          <w:szCs w:val="18"/>
          <w:color w:val="auto"/>
        </w:rPr>
        <w:t>Consolidated Statements of Operations (Dollars in thousands, except for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Nine Months Ended</w:t>
      </w:r>
    </w:p>
    <w:p>
      <w:pPr>
        <w:spacing w:after="0" w:line="29" w:lineRule="exact"/>
        <w:rPr>
          <w:sz w:val="20"/>
          <w:szCs w:val="20"/>
          <w:color w:val="auto"/>
        </w:rPr>
      </w:pPr>
    </w:p>
    <w:p>
      <w:pPr>
        <w:ind w:left="4520"/>
        <w:spacing w:after="0"/>
        <w:tabs>
          <w:tab w:leader="none" w:pos="6180" w:val="left"/>
        </w:tabs>
        <w:rPr>
          <w:sz w:val="20"/>
          <w:szCs w:val="20"/>
          <w:color w:val="auto"/>
        </w:rPr>
      </w:pPr>
      <w:r>
        <w:rPr>
          <w:rFonts w:ascii="Courier New" w:cs="Courier New" w:eastAsia="Courier New" w:hAnsi="Courier New"/>
          <w:sz w:val="18"/>
          <w:szCs w:val="18"/>
          <w:color w:val="auto"/>
        </w:rPr>
        <w:t>June 2,</w:t>
      </w:r>
      <w:r>
        <w:rPr>
          <w:sz w:val="20"/>
          <w:szCs w:val="20"/>
          <w:color w:val="auto"/>
        </w:rPr>
        <w:tab/>
      </w:r>
      <w:r>
        <w:rPr>
          <w:rFonts w:ascii="Courier New" w:cs="Courier New" w:eastAsia="Courier New" w:hAnsi="Courier New"/>
          <w:sz w:val="16"/>
          <w:szCs w:val="16"/>
          <w:color w:val="auto"/>
        </w:rPr>
        <w:t>June 3,</w:t>
      </w:r>
    </w:p>
    <w:p>
      <w:pPr>
        <w:ind w:left="4620"/>
        <w:spacing w:after="0"/>
        <w:tabs>
          <w:tab w:leader="none" w:pos="630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$1,136,989</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$522,304</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line="192" w:lineRule="exact"/>
              <w:rPr>
                <w:sz w:val="20"/>
                <w:szCs w:val="20"/>
                <w:color w:val="auto"/>
              </w:rPr>
            </w:pPr>
            <w:r>
              <w:rPr>
                <w:rFonts w:ascii="Courier New" w:cs="Courier New" w:eastAsia="Courier New" w:hAnsi="Courier New"/>
                <w:sz w:val="18"/>
                <w:szCs w:val="18"/>
                <w:color w:val="auto"/>
              </w:rPr>
              <w:t>Costs and</w:t>
            </w:r>
          </w:p>
        </w:tc>
        <w:tc>
          <w:tcPr>
            <w:tcW w:w="262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expenses:</w:t>
            </w:r>
          </w:p>
        </w:tc>
        <w:tc>
          <w:tcPr>
            <w:tcW w:w="21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577,660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353,836</w:t>
            </w:r>
          </w:p>
        </w:tc>
        <w:tc>
          <w:tcPr>
            <w:tcW w:w="0" w:type="dxa"/>
            <w:vAlign w:val="bottom"/>
          </w:tcPr>
          <w:p>
            <w:pPr>
              <w:spacing w:after="0"/>
              <w:rPr>
                <w:sz w:val="1"/>
                <w:szCs w:val="1"/>
                <w:color w:val="auto"/>
              </w:rPr>
            </w:pPr>
          </w:p>
        </w:tc>
      </w:tr>
      <w:tr>
        <w:trPr>
          <w:trHeight w:val="203"/>
        </w:trPr>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Cost of</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goods sold</w:t>
            </w:r>
          </w:p>
        </w:tc>
        <w:tc>
          <w:tcPr>
            <w:tcW w:w="21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1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102,958</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60,906</w:t>
            </w:r>
          </w:p>
        </w:tc>
        <w:tc>
          <w:tcPr>
            <w:tcW w:w="0" w:type="dxa"/>
            <w:vAlign w:val="bottom"/>
          </w:tcPr>
          <w:p>
            <w:pPr>
              <w:spacing w:after="0"/>
              <w:rPr>
                <w:sz w:val="1"/>
                <w:szCs w:val="1"/>
                <w:color w:val="auto"/>
              </w:rPr>
            </w:pPr>
          </w:p>
        </w:tc>
      </w:tr>
      <w:tr>
        <w:trPr>
          <w:trHeight w:val="203"/>
        </w:trPr>
        <w:tc>
          <w:tcPr>
            <w:tcW w:w="362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administrative</w:t>
            </w:r>
          </w:p>
        </w:tc>
        <w:tc>
          <w:tcPr>
            <w:tcW w:w="21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Research and development</w:t>
            </w:r>
          </w:p>
        </w:tc>
        <w:tc>
          <w:tcPr>
            <w:tcW w:w="2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55,981</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40,181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Total costs and expenses</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736,599</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454,923</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line="192" w:lineRule="exact"/>
              <w:rPr>
                <w:sz w:val="20"/>
                <w:szCs w:val="20"/>
                <w:color w:val="auto"/>
              </w:rPr>
            </w:pPr>
            <w:r>
              <w:rPr>
                <w:rFonts w:ascii="Courier New" w:cs="Courier New" w:eastAsia="Courier New" w:hAnsi="Courier New"/>
                <w:sz w:val="18"/>
                <w:szCs w:val="18"/>
                <w:color w:val="auto"/>
              </w:rPr>
              <w:t>Operating income</w:t>
            </w:r>
          </w:p>
        </w:tc>
        <w:tc>
          <w:tcPr>
            <w:tcW w:w="2420" w:type="dxa"/>
            <w:vAlign w:val="bottom"/>
          </w:tcPr>
          <w:p>
            <w:pPr>
              <w:jc w:val="right"/>
              <w:ind w:right="492"/>
              <w:spacing w:after="0" w:line="192" w:lineRule="exact"/>
              <w:rPr>
                <w:sz w:val="20"/>
                <w:szCs w:val="20"/>
                <w:color w:val="auto"/>
              </w:rPr>
            </w:pPr>
            <w:r>
              <w:rPr>
                <w:rFonts w:ascii="Courier New" w:cs="Courier New" w:eastAsia="Courier New" w:hAnsi="Courier New"/>
                <w:sz w:val="18"/>
                <w:szCs w:val="18"/>
                <w:color w:val="auto"/>
              </w:rPr>
              <w:t>400,390</w:t>
            </w:r>
          </w:p>
        </w:tc>
        <w:tc>
          <w:tcPr>
            <w:tcW w:w="11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67,381</w:t>
            </w:r>
          </w:p>
        </w:tc>
      </w:tr>
      <w:tr>
        <w:trPr>
          <w:trHeight w:val="235"/>
        </w:trPr>
        <w:tc>
          <w:tcPr>
            <w:tcW w:w="3420" w:type="dxa"/>
            <w:vAlign w:val="bottom"/>
          </w:tcPr>
          <w:p>
            <w:pPr>
              <w:spacing w:after="0"/>
              <w:rPr>
                <w:sz w:val="20"/>
                <w:szCs w:val="20"/>
                <w:color w:val="auto"/>
              </w:rPr>
            </w:pPr>
            <w:r>
              <w:rPr>
                <w:rFonts w:ascii="Courier New" w:cs="Courier New" w:eastAsia="Courier New" w:hAnsi="Courier New"/>
                <w:sz w:val="18"/>
                <w:szCs w:val="18"/>
                <w:color w:val="auto"/>
              </w:rPr>
              <w:t>Interest (income), net</w:t>
            </w:r>
          </w:p>
        </w:tc>
        <w:tc>
          <w:tcPr>
            <w:tcW w:w="2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(3,732)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2,969</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420" w:type="dxa"/>
        <w:tblCellMar>
          <w:top w:w="0" w:type="dxa"/>
          <w:left w:w="0" w:type="dxa"/>
          <w:bottom w:w="0" w:type="dxa"/>
          <w:right w:w="0" w:type="dxa"/>
        </w:tblCellMar>
      </w:tblPr>
      <w:tr>
        <w:trPr>
          <w:trHeight w:val="192"/>
        </w:trPr>
        <w:tc>
          <w:tcPr>
            <w:tcW w:w="680" w:type="dxa"/>
            <w:vAlign w:val="bottom"/>
          </w:tcPr>
          <w:p>
            <w:pPr>
              <w:spacing w:after="0" w:line="192" w:lineRule="exact"/>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before income taxes</w:t>
            </w:r>
          </w:p>
        </w:tc>
        <w:tc>
          <w:tcPr>
            <w:tcW w:w="194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rPr>
              <w:t>404,122</w:t>
            </w:r>
          </w:p>
        </w:tc>
        <w:tc>
          <w:tcPr>
            <w:tcW w:w="11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64,412</w:t>
            </w:r>
          </w:p>
        </w:tc>
      </w:tr>
      <w:tr>
        <w:trPr>
          <w:trHeight w:val="235"/>
        </w:trPr>
        <w:tc>
          <w:tcPr>
            <w:tcW w:w="6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tax provision</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145,484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23,188</w:t>
            </w: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258,638</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$ 41,224</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line="192" w:lineRule="exact"/>
              <w:rPr>
                <w:sz w:val="20"/>
                <w:szCs w:val="20"/>
                <w:color w:val="auto"/>
              </w:rPr>
            </w:pPr>
            <w:r>
              <w:rPr>
                <w:rFonts w:ascii="Courier New" w:cs="Courier New" w:eastAsia="Courier New" w:hAnsi="Courier New"/>
                <w:sz w:val="18"/>
                <w:szCs w:val="18"/>
                <w:color w:val="auto"/>
              </w:rPr>
              <w:t>Earnings per share:</w:t>
            </w:r>
          </w:p>
        </w:tc>
        <w:tc>
          <w:tcPr>
            <w:tcW w:w="16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$2.48</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$0.41</w:t>
            </w:r>
          </w:p>
        </w:tc>
        <w:tc>
          <w:tcPr>
            <w:tcW w:w="0" w:type="dxa"/>
            <w:vAlign w:val="bottom"/>
          </w:tcPr>
          <w:p>
            <w:pPr>
              <w:spacing w:after="0"/>
              <w:rPr>
                <w:sz w:val="1"/>
                <w:szCs w:val="1"/>
                <w:color w:val="auto"/>
              </w:rPr>
            </w:pP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Primary</w:t>
            </w:r>
          </w:p>
        </w:tc>
        <w:tc>
          <w:tcPr>
            <w:tcW w:w="16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Fully diluted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0.41</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1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calculations:</w:t>
            </w:r>
          </w:p>
        </w:tc>
        <w:tc>
          <w:tcPr>
            <w:tcW w:w="16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104,116,000</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100,101,000</w:t>
            </w:r>
          </w:p>
        </w:tc>
        <w:tc>
          <w:tcPr>
            <w:tcW w:w="0" w:type="dxa"/>
            <w:vAlign w:val="bottom"/>
          </w:tcPr>
          <w:p>
            <w:pPr>
              <w:spacing w:after="0"/>
              <w:rPr>
                <w:sz w:val="1"/>
                <w:szCs w:val="1"/>
                <w:color w:val="auto"/>
              </w:rPr>
            </w:pP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Primary</w:t>
            </w:r>
          </w:p>
        </w:tc>
        <w:tc>
          <w:tcPr>
            <w:tcW w:w="16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40" w:type="dxa"/>
            <w:vAlign w:val="bottom"/>
          </w:tcPr>
          <w:p>
            <w:pPr>
              <w:ind w:left="200"/>
              <w:spacing w:after="0"/>
              <w:rPr>
                <w:sz w:val="20"/>
                <w:szCs w:val="20"/>
                <w:color w:val="auto"/>
              </w:rPr>
            </w:pPr>
            <w:r>
              <w:rPr>
                <w:rFonts w:ascii="Courier New" w:cs="Courier New" w:eastAsia="Courier New" w:hAnsi="Courier New"/>
                <w:sz w:val="18"/>
                <w:szCs w:val="18"/>
                <w:color w:val="auto"/>
              </w:rPr>
              <w:t>Fully diluted</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104,905,000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100,932,000</w:t>
            </w: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Cash dividends declared per share</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359"/>
          </w:cols>
          <w:pgMar w:left="1100" w:top="1298" w:right="1440" w:bottom="1440" w:gutter="0" w:footer="0" w:header="0"/>
        </w:sectPr>
      </w:pPr>
    </w:p>
    <w:bookmarkStart w:id="4" w:name="page5"/>
    <w:bookmarkEnd w:id="4"/>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9"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(Dollars in thousands)</w:t>
      </w:r>
    </w:p>
    <w:tbl>
      <w:tblPr>
        <w:tblLayout w:type="fixed"/>
        <w:tblInd w:w="3040" w:type="dxa"/>
        <w:tblCellMar>
          <w:top w:w="0" w:type="dxa"/>
          <w:left w:w="0" w:type="dxa"/>
          <w:bottom w:w="0" w:type="dxa"/>
          <w:right w:w="0" w:type="dxa"/>
        </w:tblCellMar>
      </w:tblPr>
      <w:tr>
        <w:trPr>
          <w:trHeight w:val="296"/>
        </w:trPr>
        <w:tc>
          <w:tcPr>
            <w:tcW w:w="284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5"/>
              </w:rPr>
              <w:t>(Unaudited)</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June 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1994</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258,638</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$ 41,224</w:t>
            </w: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04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reconcile net income to net</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cash provided</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100,852</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84,168</w:t>
            </w:r>
          </w:p>
        </w:tc>
        <w:tc>
          <w:tcPr>
            <w:tcW w:w="0" w:type="dxa"/>
            <w:vAlign w:val="bottom"/>
          </w:tcPr>
          <w:p>
            <w:pPr>
              <w:spacing w:after="0"/>
              <w:rPr>
                <w:sz w:val="1"/>
                <w:szCs w:val="1"/>
                <w:color w:val="auto"/>
              </w:rPr>
            </w:pP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Depreciation</w:t>
            </w:r>
          </w:p>
        </w:tc>
        <w:tc>
          <w:tcPr>
            <w:tcW w:w="30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Amortization</w:t>
            </w:r>
          </w:p>
        </w:tc>
        <w:tc>
          <w:tcPr>
            <w:tcW w:w="3040" w:type="dxa"/>
            <w:vAlign w:val="bottom"/>
            <w:vMerge w:val="restart"/>
          </w:tcPr>
          <w:p>
            <w:pPr>
              <w:spacing w:after="0"/>
              <w:rPr>
                <w:sz w:val="20"/>
                <w:szCs w:val="20"/>
                <w:color w:val="auto"/>
              </w:rPr>
            </w:pPr>
            <w:r>
              <w:rPr>
                <w:rFonts w:ascii="Courier New" w:cs="Courier New" w:eastAsia="Courier New" w:hAnsi="Courier New"/>
                <w:sz w:val="18"/>
                <w:szCs w:val="18"/>
                <w:color w:val="auto"/>
              </w:rPr>
              <w:t>receivables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39,232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18,664</w:t>
            </w:r>
          </w:p>
        </w:tc>
        <w:tc>
          <w:tcPr>
            <w:tcW w:w="0" w:type="dxa"/>
            <w:vAlign w:val="bottom"/>
          </w:tcPr>
          <w:p>
            <w:pPr>
              <w:spacing w:after="0"/>
              <w:rPr>
                <w:sz w:val="1"/>
                <w:szCs w:val="1"/>
                <w:color w:val="auto"/>
              </w:rPr>
            </w:pP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w:t>
            </w:r>
          </w:p>
        </w:tc>
        <w:tc>
          <w:tcPr>
            <w:tcW w:w="3040" w:type="dxa"/>
            <w:vAlign w:val="bottom"/>
            <w:vMerge w:val="continue"/>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(55,631)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(29,915)</w:t>
            </w:r>
          </w:p>
        </w:tc>
        <w:tc>
          <w:tcPr>
            <w:tcW w:w="0" w:type="dxa"/>
            <w:vAlign w:val="bottom"/>
          </w:tcPr>
          <w:p>
            <w:pPr>
              <w:spacing w:after="0"/>
              <w:rPr>
                <w:sz w:val="1"/>
                <w:szCs w:val="1"/>
                <w:color w:val="auto"/>
              </w:rPr>
            </w:pP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(16,201)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(13,649)</w:t>
            </w:r>
          </w:p>
        </w:tc>
        <w:tc>
          <w:tcPr>
            <w:tcW w:w="0" w:type="dxa"/>
            <w:vAlign w:val="bottom"/>
          </w:tcPr>
          <w:p>
            <w:pPr>
              <w:spacing w:after="0"/>
              <w:rPr>
                <w:sz w:val="1"/>
                <w:szCs w:val="1"/>
                <w:color w:val="auto"/>
              </w:rPr>
            </w:pP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accounts payable and accrued</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44,684</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44,064</w:t>
            </w:r>
          </w:p>
        </w:tc>
        <w:tc>
          <w:tcPr>
            <w:tcW w:w="0" w:type="dxa"/>
            <w:vAlign w:val="bottom"/>
          </w:tcPr>
          <w:p>
            <w:pPr>
              <w:spacing w:after="0"/>
              <w:rPr>
                <w:sz w:val="1"/>
                <w:szCs w:val="1"/>
                <w:color w:val="auto"/>
              </w:rPr>
            </w:pPr>
          </w:p>
        </w:tc>
      </w:tr>
      <w:tr>
        <w:trPr>
          <w:trHeight w:val="203"/>
        </w:trPr>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w:t>
            </w:r>
          </w:p>
        </w:tc>
        <w:tc>
          <w:tcPr>
            <w:tcW w:w="30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80" w:type="dxa"/>
            <w:vAlign w:val="bottom"/>
          </w:tcPr>
          <w:p>
            <w:pPr>
              <w:ind w:left="300"/>
              <w:spacing w:after="0"/>
              <w:rPr>
                <w:sz w:val="20"/>
                <w:szCs w:val="20"/>
                <w:color w:val="auto"/>
              </w:rPr>
            </w:pPr>
            <w:r>
              <w:rPr>
                <w:rFonts w:ascii="Courier New" w:cs="Courier New" w:eastAsia="Courier New" w:hAnsi="Courier New"/>
                <w:sz w:val="18"/>
                <w:szCs w:val="18"/>
                <w:color w:val="auto"/>
              </w:rPr>
              <w:t>Other</w:t>
            </w:r>
          </w:p>
        </w:tc>
        <w:tc>
          <w:tcPr>
            <w:tcW w:w="3040" w:type="dxa"/>
            <w:vAlign w:val="bottom"/>
          </w:tcPr>
          <w:p>
            <w:pPr>
              <w:spacing w:after="0"/>
              <w:rPr>
                <w:sz w:val="20"/>
                <w:szCs w:val="20"/>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18,599</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11,891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390,173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156,447</w:t>
            </w: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 from investing activities:</w:t>
      </w: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line="170" w:lineRule="exact"/>
              <w:rPr>
                <w:sz w:val="20"/>
                <w:szCs w:val="20"/>
                <w:color w:val="auto"/>
              </w:rPr>
            </w:pPr>
            <w:r>
              <w:rPr>
                <w:rFonts w:ascii="Courier New" w:cs="Courier New" w:eastAsia="Courier New" w:hAnsi="Courier New"/>
                <w:sz w:val="18"/>
                <w:szCs w:val="18"/>
                <w:color w:val="auto"/>
              </w:rPr>
              <w:t>Purchase of investments</w:t>
            </w:r>
          </w:p>
        </w:tc>
        <w:tc>
          <w:tcPr>
            <w:tcW w:w="1360" w:type="dxa"/>
            <w:vAlign w:val="bottom"/>
          </w:tcPr>
          <w:p>
            <w:pPr>
              <w:jc w:val="right"/>
              <w:ind w:right="212"/>
              <w:spacing w:after="0" w:line="170" w:lineRule="exact"/>
              <w:rPr>
                <w:sz w:val="20"/>
                <w:szCs w:val="20"/>
                <w:color w:val="auto"/>
              </w:rPr>
            </w:pPr>
            <w:r>
              <w:rPr>
                <w:rFonts w:ascii="Courier New" w:cs="Courier New" w:eastAsia="Courier New" w:hAnsi="Courier New"/>
                <w:sz w:val="18"/>
                <w:szCs w:val="18"/>
                <w:color w:val="auto"/>
              </w:rPr>
              <w:t>(272,519)</w:t>
            </w:r>
          </w:p>
        </w:tc>
        <w:tc>
          <w:tcPr>
            <w:tcW w:w="12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(164,608)</w:t>
            </w:r>
          </w:p>
        </w:tc>
        <w:tc>
          <w:tcPr>
            <w:tcW w:w="0" w:type="dxa"/>
            <w:vAlign w:val="bottom"/>
          </w:tcPr>
          <w:p>
            <w:pPr>
              <w:spacing w:after="0"/>
              <w:rPr>
                <w:sz w:val="1"/>
                <w:szCs w:val="1"/>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and maturity of</w:t>
            </w: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94,961</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80,344</w:t>
            </w:r>
          </w:p>
        </w:tc>
        <w:tc>
          <w:tcPr>
            <w:tcW w:w="0" w:type="dxa"/>
            <w:vAlign w:val="bottom"/>
          </w:tcPr>
          <w:p>
            <w:pPr>
              <w:spacing w:after="0"/>
              <w:rPr>
                <w:sz w:val="1"/>
                <w:szCs w:val="1"/>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(176,569)</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(52,250)</w:t>
            </w:r>
          </w:p>
        </w:tc>
        <w:tc>
          <w:tcPr>
            <w:tcW w:w="0" w:type="dxa"/>
            <w:vAlign w:val="bottom"/>
          </w:tcPr>
          <w:p>
            <w:pPr>
              <w:spacing w:after="0"/>
              <w:rPr>
                <w:sz w:val="1"/>
                <w:szCs w:val="1"/>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expenditures</w:t>
            </w:r>
          </w:p>
        </w:tc>
        <w:tc>
          <w:tcPr>
            <w:tcW w:w="13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Purchase of product and process technology</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c>
          <w:tcPr>
            <w:tcW w:w="0" w:type="dxa"/>
            <w:vAlign w:val="bottom"/>
          </w:tcPr>
          <w:p>
            <w:pPr>
              <w:spacing w:after="0"/>
              <w:rPr>
                <w:sz w:val="1"/>
                <w:szCs w:val="1"/>
                <w:color w:val="auto"/>
              </w:rPr>
            </w:pPr>
          </w:p>
        </w:tc>
      </w:tr>
      <w:tr>
        <w:trPr>
          <w:trHeight w:val="235"/>
        </w:trPr>
        <w:tc>
          <w:tcPr>
            <w:tcW w:w="452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1,072</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(472)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00" w:type="dxa"/>
            <w:vAlign w:val="bottom"/>
          </w:tcPr>
          <w:p>
            <w:pPr>
              <w:spacing w:after="0"/>
              <w:rPr>
                <w:sz w:val="20"/>
                <w:szCs w:val="20"/>
                <w:color w:val="auto"/>
              </w:rPr>
            </w:pPr>
            <w:r>
              <w:rPr>
                <w:rFonts w:ascii="Courier New" w:cs="Courier New" w:eastAsia="Courier New" w:hAnsi="Courier New"/>
                <w:sz w:val="18"/>
                <w:szCs w:val="18"/>
                <w:color w:val="auto"/>
              </w:rPr>
              <w:t>Net cash used for investing activities</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(371,055)</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(137,186)</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268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w w:val="98"/>
              </w:rPr>
              <w:t>Cash flows from financing</w:t>
            </w:r>
          </w:p>
        </w:tc>
        <w:tc>
          <w:tcPr>
            <w:tcW w:w="178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activities:</w:t>
            </w:r>
          </w:p>
        </w:tc>
        <w:tc>
          <w:tcPr>
            <w:tcW w:w="14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117,183</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41,651</w:t>
            </w:r>
          </w:p>
        </w:tc>
        <w:tc>
          <w:tcPr>
            <w:tcW w:w="0" w:type="dxa"/>
            <w:vAlign w:val="bottom"/>
          </w:tcPr>
          <w:p>
            <w:pPr>
              <w:spacing w:after="0"/>
              <w:rPr>
                <w:sz w:val="1"/>
                <w:szCs w:val="1"/>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Proceeds from</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issuance of</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Payments on equipment purchase contracts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(94,039)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(44,170)</w:t>
            </w:r>
          </w:p>
        </w:tc>
        <w:tc>
          <w:tcPr>
            <w:tcW w:w="0" w:type="dxa"/>
            <w:vAlign w:val="bottom"/>
          </w:tcPr>
          <w:p>
            <w:pPr>
              <w:spacing w:after="0"/>
              <w:rPr>
                <w:sz w:val="1"/>
                <w:szCs w:val="1"/>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Repayments of</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debt</w:t>
            </w:r>
          </w:p>
        </w:tc>
        <w:tc>
          <w:tcPr>
            <w:tcW w:w="17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common stock</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(41,349)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(49,198)</w:t>
            </w:r>
          </w:p>
        </w:tc>
        <w:tc>
          <w:tcPr>
            <w:tcW w:w="0" w:type="dxa"/>
            <w:vAlign w:val="bottom"/>
          </w:tcPr>
          <w:p>
            <w:pPr>
              <w:spacing w:after="0"/>
              <w:rPr>
                <w:sz w:val="1"/>
                <w:szCs w:val="1"/>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Proceeds from</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issuance of</w:t>
            </w:r>
          </w:p>
        </w:tc>
        <w:tc>
          <w:tcPr>
            <w:tcW w:w="1780" w:type="dxa"/>
            <w:vAlign w:val="bottom"/>
            <w:vMerge w:val="continue"/>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10,239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14,230</w:t>
            </w: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178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(7,096)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(1,941)</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(245)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Pr>
          <w:p>
            <w:pPr>
              <w:spacing w:after="0"/>
              <w:rPr>
                <w:sz w:val="20"/>
                <w:szCs w:val="20"/>
                <w:color w:val="auto"/>
              </w:rPr>
            </w:pPr>
            <w:r>
              <w:rPr>
                <w:rFonts w:ascii="Courier New" w:cs="Courier New" w:eastAsia="Courier New" w:hAnsi="Courier New"/>
                <w:sz w:val="18"/>
                <w:szCs w:val="18"/>
                <w:color w:val="auto"/>
              </w:rPr>
              <w:t>Net cash used for financing activities</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(15,445)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(39,673)</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3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5"/>
              </w:rPr>
              <w:t>Net increase</w:t>
            </w:r>
          </w:p>
        </w:tc>
        <w:tc>
          <w:tcPr>
            <w:tcW w:w="11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(decrease)</w:t>
            </w:r>
          </w:p>
        </w:tc>
        <w:tc>
          <w:tcPr>
            <w:tcW w:w="3420" w:type="dxa"/>
            <w:vAlign w:val="bottom"/>
          </w:tcPr>
          <w:p>
            <w:pPr>
              <w:jc w:val="right"/>
              <w:ind w:right="2112"/>
              <w:spacing w:after="0" w:line="192" w:lineRule="exact"/>
              <w:rPr>
                <w:sz w:val="20"/>
                <w:szCs w:val="20"/>
                <w:color w:val="auto"/>
              </w:rPr>
            </w:pPr>
            <w:r>
              <w:rPr>
                <w:rFonts w:ascii="Courier New" w:cs="Courier New" w:eastAsia="Courier New" w:hAnsi="Courier New"/>
                <w:sz w:val="18"/>
                <w:szCs w:val="18"/>
                <w:color w:val="auto"/>
              </w:rPr>
              <w:t>in cash and</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(20,412)</w:t>
            </w:r>
          </w:p>
        </w:tc>
        <w:tc>
          <w:tcPr>
            <w:tcW w:w="0" w:type="dxa"/>
            <w:vAlign w:val="bottom"/>
          </w:tcPr>
          <w:p>
            <w:pPr>
              <w:spacing w:after="0"/>
              <w:rPr>
                <w:sz w:val="1"/>
                <w:szCs w:val="1"/>
                <w:color w:val="auto"/>
              </w:rPr>
            </w:pPr>
          </w:p>
        </w:tc>
      </w:tr>
      <w:tr>
        <w:trPr>
          <w:trHeight w:val="203"/>
        </w:trPr>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w:t>
            </w:r>
          </w:p>
        </w:tc>
        <w:tc>
          <w:tcPr>
            <w:tcW w:w="1160" w:type="dxa"/>
            <w:vAlign w:val="bottom"/>
          </w:tcPr>
          <w:p>
            <w:pPr>
              <w:spacing w:after="0"/>
              <w:rPr>
                <w:sz w:val="17"/>
                <w:szCs w:val="17"/>
                <w:color w:val="auto"/>
              </w:rPr>
            </w:pPr>
          </w:p>
        </w:tc>
        <w:tc>
          <w:tcPr>
            <w:tcW w:w="3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3,673</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Cash and equivalents at</w:t>
            </w:r>
          </w:p>
        </w:tc>
        <w:tc>
          <w:tcPr>
            <w:tcW w:w="34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8"/>
              </w:rPr>
              <w:t>beginning of period   47,523</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35,733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Cash and equivalents at end of period</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51,196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$ 15,321</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line="192" w:lineRule="exact"/>
              <w:rPr>
                <w:sz w:val="20"/>
                <w:szCs w:val="20"/>
                <w:color w:val="auto"/>
              </w:rPr>
            </w:pPr>
            <w:r>
              <w:rPr>
                <w:rFonts w:ascii="Courier New" w:cs="Courier New" w:eastAsia="Courier New" w:hAnsi="Courier New"/>
                <w:sz w:val="18"/>
                <w:szCs w:val="18"/>
                <w:color w:val="auto"/>
              </w:rPr>
              <w:t>Supplemental disclosures:</w:t>
            </w:r>
          </w:p>
        </w:tc>
        <w:tc>
          <w:tcPr>
            <w:tcW w:w="24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(138,022)</w:t>
            </w:r>
          </w:p>
        </w:tc>
        <w:tc>
          <w:tcPr>
            <w:tcW w:w="11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95"/>
              </w:rPr>
              <w:t>(7,676)</w:t>
            </w:r>
          </w:p>
        </w:tc>
        <w:tc>
          <w:tcPr>
            <w:tcW w:w="0" w:type="dxa"/>
            <w:vAlign w:val="bottom"/>
          </w:tcPr>
          <w:p>
            <w:pPr>
              <w:spacing w:after="0"/>
              <w:rPr>
                <w:sz w:val="1"/>
                <w:szCs w:val="1"/>
                <w:color w:val="auto"/>
              </w:rPr>
            </w:pP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paid, net</w:t>
            </w:r>
          </w:p>
        </w:tc>
        <w:tc>
          <w:tcPr>
            <w:tcW w:w="24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(4,527)</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(4,750)</w:t>
            </w: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activities: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Equipment acquisitions on contracts payable</w:t>
            </w:r>
          </w:p>
        </w:tc>
        <w:tc>
          <w:tcPr>
            <w:tcW w:w="11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50,256</w:t>
            </w:r>
          </w:p>
        </w:tc>
        <w:tc>
          <w:tcPr>
            <w:tcW w:w="0" w:type="dxa"/>
            <w:vAlign w:val="bottom"/>
          </w:tcPr>
          <w:p>
            <w:pPr>
              <w:spacing w:after="0"/>
              <w:rPr>
                <w:sz w:val="1"/>
                <w:szCs w:val="1"/>
                <w:color w:val="auto"/>
              </w:rPr>
            </w:pPr>
          </w:p>
        </w:tc>
      </w:tr>
      <w:tr>
        <w:trPr>
          <w:trHeight w:val="296"/>
        </w:trPr>
        <w:tc>
          <w:tcPr>
            <w:tcW w:w="3520" w:type="dxa"/>
            <w:vAlign w:val="bottom"/>
          </w:tcPr>
          <w:p>
            <w:pPr>
              <w:ind w:left="200"/>
              <w:spacing w:after="0"/>
              <w:rPr>
                <w:sz w:val="20"/>
                <w:szCs w:val="20"/>
                <w:color w:val="auto"/>
              </w:rPr>
            </w:pPr>
            <w:r>
              <w:rPr>
                <w:rFonts w:ascii="Courier New" w:cs="Courier New" w:eastAsia="Courier New" w:hAnsi="Courier New"/>
                <w:sz w:val="18"/>
                <w:szCs w:val="18"/>
                <w:color w:val="auto"/>
              </w:rPr>
              <w:t>and capital leases</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86,949</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359"/>
          </w:cols>
          <w:pgMar w:left="1100" w:top="1096" w:right="1440" w:bottom="1440" w:gutter="0" w:footer="0" w:header="0"/>
        </w:sectPr>
      </w:pPr>
    </w:p>
    <w:bookmarkStart w:id="5" w:name="page6"/>
    <w:bookmarkEnd w:id="5"/>
    <w:p>
      <w:pPr>
        <w:jc w:val="center"/>
        <w:ind w:right="199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31" w:lineRule="exact"/>
        <w:rPr>
          <w:sz w:val="20"/>
          <w:szCs w:val="20"/>
          <w:color w:val="auto"/>
        </w:rPr>
      </w:pPr>
    </w:p>
    <w:p>
      <w:pPr>
        <w:jc w:val="center"/>
        <w:ind w:right="1990"/>
        <w:spacing w:after="0"/>
        <w:rPr>
          <w:sz w:val="20"/>
          <w:szCs w:val="20"/>
          <w:color w:val="auto"/>
        </w:rPr>
      </w:pPr>
      <w:r>
        <w:rPr>
          <w:rFonts w:ascii="Courier New" w:cs="Courier New" w:eastAsia="Courier New" w:hAnsi="Courier New"/>
          <w:sz w:val="18"/>
          <w:szCs w:val="18"/>
          <w:color w:val="auto"/>
        </w:rPr>
        <w:t>(All tabular dollar amounts are stated in thousands)</w:t>
      </w:r>
    </w:p>
    <w:p>
      <w:pPr>
        <w:spacing w:after="0" w:line="372" w:lineRule="exact"/>
        <w:rPr>
          <w:sz w:val="20"/>
          <w:szCs w:val="20"/>
          <w:color w:val="auto"/>
        </w:rPr>
      </w:pPr>
    </w:p>
    <w:p>
      <w:pPr>
        <w:ind w:left="529" w:hanging="529"/>
        <w:spacing w:after="0"/>
        <w:tabs>
          <w:tab w:leader="none" w:pos="5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1" w:lineRule="exact"/>
        <w:rPr>
          <w:sz w:val="20"/>
          <w:szCs w:val="20"/>
          <w:color w:val="auto"/>
        </w:rPr>
      </w:pPr>
    </w:p>
    <w:p>
      <w:pPr>
        <w:ind w:left="9" w:right="2319" w:firstLine="527"/>
        <w:spacing w:after="0" w:line="265"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adjustments necessary to present fairly the consolidated financial position of Micron Technology, Inc., and subsidiaries (the "company"), and their consolidated results of operations and cash flows.</w:t>
      </w:r>
    </w:p>
    <w:p>
      <w:pPr>
        <w:spacing w:after="0" w:line="90" w:lineRule="exact"/>
        <w:rPr>
          <w:sz w:val="20"/>
          <w:szCs w:val="20"/>
          <w:color w:val="auto"/>
        </w:rPr>
      </w:pPr>
    </w:p>
    <w:p>
      <w:pPr>
        <w:ind w:left="9" w:right="2199" w:firstLine="527"/>
        <w:spacing w:after="0" w:line="274" w:lineRule="auto"/>
        <w:rPr>
          <w:sz w:val="20"/>
          <w:szCs w:val="20"/>
          <w:color w:val="auto"/>
        </w:rPr>
      </w:pPr>
      <w:r>
        <w:rPr>
          <w:rFonts w:ascii="Courier New" w:cs="Courier New" w:eastAsia="Courier New" w:hAnsi="Courier New"/>
          <w:sz w:val="18"/>
          <w:szCs w:val="18"/>
          <w:color w:val="auto"/>
        </w:rPr>
        <w:t>This report on Form 10-Q for the quarter and nine months ended June 2, 1994 should be read in conjunction with the company's Annual Report to Shareholders and/or Form 10-K for the year ended September 2, 1993.</w:t>
      </w:r>
    </w:p>
    <w:p>
      <w:pPr>
        <w:spacing w:after="0" w:line="200" w:lineRule="exact"/>
        <w:rPr>
          <w:sz w:val="20"/>
          <w:szCs w:val="20"/>
          <w:color w:val="auto"/>
        </w:rPr>
      </w:pPr>
    </w:p>
    <w:p>
      <w:pPr>
        <w:spacing w:after="0" w:line="287" w:lineRule="exact"/>
        <w:rPr>
          <w:sz w:val="20"/>
          <w:szCs w:val="20"/>
          <w:color w:val="auto"/>
        </w:rPr>
      </w:pPr>
    </w:p>
    <w:tbl>
      <w:tblPr>
        <w:tblLayout w:type="fixed"/>
        <w:tblInd w:w="9" w:type="dxa"/>
        <w:tblCellMar>
          <w:top w:w="0" w:type="dxa"/>
          <w:left w:w="0" w:type="dxa"/>
          <w:bottom w:w="0" w:type="dxa"/>
          <w:right w:w="0" w:type="dxa"/>
        </w:tblCellMar>
      </w:tblPr>
      <w:tr>
        <w:trPr>
          <w:trHeight w:val="296"/>
        </w:trPr>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83"/>
              </w:rPr>
              <w:t>2.</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Receivables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June 2,</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September 2,</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1993</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60" w:type="dxa"/>
            <w:vAlign w:val="bottom"/>
          </w:tcPr>
          <w:p>
            <w:pPr>
              <w:spacing w:after="0"/>
              <w:rPr>
                <w:sz w:val="24"/>
                <w:szCs w:val="24"/>
                <w:color w:val="auto"/>
              </w:rPr>
            </w:pP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Trade receivables</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210,883</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$155,010</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8,891</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7,145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Allowance for returns and</w:t>
            </w:r>
          </w:p>
        </w:tc>
        <w:tc>
          <w:tcPr>
            <w:tcW w:w="420" w:type="dxa"/>
            <w:vAlign w:val="bottom"/>
          </w:tcPr>
          <w:p>
            <w:pPr>
              <w:spacing w:after="0"/>
              <w:rPr>
                <w:sz w:val="17"/>
                <w:szCs w:val="17"/>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(7,344)</w:t>
            </w:r>
          </w:p>
        </w:tc>
        <w:tc>
          <w:tcPr>
            <w:tcW w:w="1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(5,680)</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discounts</w:t>
            </w: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4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(2,113)</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210,317</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$154,686</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83"/>
              </w:rPr>
              <w:t>3.</w:t>
            </w: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June 2,</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September 2,</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Finished goods</w:t>
            </w: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vMerge w:val="continue"/>
          </w:tcPr>
          <w:p>
            <w:pPr>
              <w:spacing w:after="0"/>
              <w:rPr>
                <w:sz w:val="17"/>
                <w:szCs w:val="17"/>
                <w:color w:val="auto"/>
              </w:rPr>
            </w:pP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8,221</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7,343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Work in progress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56,992</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52,473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34,152</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23,348</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99,365</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$ 83,164</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58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368"/>
          </w:cols>
          <w:pgMar w:left="1091" w:top="1096" w:right="1440" w:bottom="1440" w:gutter="0" w:footer="0" w:header="0"/>
        </w:sectPr>
      </w:pPr>
    </w:p>
    <w:bookmarkStart w:id="6" w:name="page7"/>
    <w:bookmarkEnd w:id="6"/>
    <w:p>
      <w:pPr>
        <w:ind w:left="84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00" w:type="dxa"/>
            <w:vAlign w:val="bottom"/>
          </w:tcPr>
          <w:p>
            <w:pPr>
              <w:spacing w:after="0"/>
              <w:rPr>
                <w:sz w:val="20"/>
                <w:szCs w:val="20"/>
                <w:color w:val="auto"/>
              </w:rPr>
            </w:pPr>
            <w:r>
              <w:rPr>
                <w:rFonts w:ascii="Courier New" w:cs="Courier New" w:eastAsia="Courier New" w:hAnsi="Courier New"/>
                <w:sz w:val="18"/>
                <w:szCs w:val="18"/>
                <w:color w:val="auto"/>
                <w:w w:val="96"/>
              </w:rPr>
              <w:t>4.   Product and process technology, net</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June 2,</w:t>
            </w:r>
          </w:p>
        </w:tc>
        <w:tc>
          <w:tcPr>
            <w:tcW w:w="14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September 2,</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1993</w:t>
            </w:r>
          </w:p>
        </w:tc>
        <w:tc>
          <w:tcPr>
            <w:tcW w:w="0" w:type="dxa"/>
            <w:vAlign w:val="bottom"/>
          </w:tcPr>
          <w:p>
            <w:pPr>
              <w:spacing w:after="0"/>
              <w:rPr>
                <w:sz w:val="1"/>
                <w:szCs w:val="1"/>
                <w:color w:val="auto"/>
              </w:rPr>
            </w:pPr>
          </w:p>
        </w:tc>
      </w:tr>
      <w:tr>
        <w:trPr>
          <w:trHeight w:val="296"/>
        </w:trPr>
        <w:tc>
          <w:tcPr>
            <w:tcW w:w="420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Product and process technology,</w:t>
            </w:r>
          </w:p>
        </w:tc>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200" w:type="dxa"/>
            <w:vAlign w:val="bottom"/>
            <w:vMerge w:val="continue"/>
          </w:tcPr>
          <w:p>
            <w:pPr>
              <w:spacing w:after="0"/>
              <w:rPr>
                <w:sz w:val="9"/>
                <w:szCs w:val="9"/>
                <w:color w:val="auto"/>
              </w:rPr>
            </w:pPr>
          </w:p>
        </w:tc>
        <w:tc>
          <w:tcPr>
            <w:tcW w:w="100" w:type="dxa"/>
            <w:vAlign w:val="bottom"/>
            <w:vMerge w:val="restart"/>
          </w:tcPr>
          <w:p>
            <w:pPr>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148,297</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$129,221</w:t>
            </w:r>
          </w:p>
        </w:tc>
        <w:tc>
          <w:tcPr>
            <w:tcW w:w="0" w:type="dxa"/>
            <w:vAlign w:val="bottom"/>
          </w:tcPr>
          <w:p>
            <w:pPr>
              <w:spacing w:after="0"/>
              <w:rPr>
                <w:sz w:val="1"/>
                <w:szCs w:val="1"/>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at cost</w:t>
            </w: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(97,604)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(59,518)</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50,693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$ 69,703</w:t>
            </w:r>
          </w:p>
        </w:tc>
        <w:tc>
          <w:tcPr>
            <w:tcW w:w="0" w:type="dxa"/>
            <w:vAlign w:val="bottom"/>
          </w:tcPr>
          <w:p>
            <w:pPr>
              <w:spacing w:after="0"/>
              <w:rPr>
                <w:sz w:val="1"/>
                <w:szCs w:val="1"/>
                <w:color w:val="auto"/>
              </w:rPr>
            </w:pPr>
          </w:p>
        </w:tc>
      </w:tr>
      <w:tr>
        <w:trPr>
          <w:trHeight w:val="296"/>
        </w:trPr>
        <w:tc>
          <w:tcPr>
            <w:tcW w:w="42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200" w:type="dxa"/>
            <w:vAlign w:val="bottom"/>
          </w:tcPr>
          <w:p>
            <w:pPr>
              <w:spacing w:after="0"/>
              <w:rPr>
                <w:sz w:val="20"/>
                <w:szCs w:val="20"/>
                <w:color w:val="auto"/>
              </w:rPr>
            </w:pPr>
            <w:r>
              <w:rPr>
                <w:rFonts w:ascii="Courier New" w:cs="Courier New" w:eastAsia="Courier New" w:hAnsi="Courier New"/>
                <w:sz w:val="18"/>
                <w:szCs w:val="18"/>
                <w:color w:val="auto"/>
                <w:w w:val="96"/>
              </w:rPr>
              <w:t>5.   Property, plant, and equipment, net</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June 2,</w:t>
            </w:r>
          </w:p>
        </w:tc>
        <w:tc>
          <w:tcPr>
            <w:tcW w:w="14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September 2,</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1993</w:t>
            </w:r>
          </w:p>
        </w:tc>
        <w:tc>
          <w:tcPr>
            <w:tcW w:w="0" w:type="dxa"/>
            <w:vAlign w:val="bottom"/>
          </w:tcPr>
          <w:p>
            <w:pPr>
              <w:spacing w:after="0"/>
              <w:rPr>
                <w:sz w:val="1"/>
                <w:szCs w:val="1"/>
                <w:color w:val="auto"/>
              </w:rPr>
            </w:pPr>
          </w:p>
        </w:tc>
      </w:tr>
      <w:tr>
        <w:trPr>
          <w:trHeight w:val="203"/>
        </w:trPr>
        <w:tc>
          <w:tcPr>
            <w:tcW w:w="420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Land</w:t>
            </w: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7,968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7,483</w:t>
            </w:r>
          </w:p>
        </w:tc>
        <w:tc>
          <w:tcPr>
            <w:tcW w:w="0" w:type="dxa"/>
            <w:vAlign w:val="bottom"/>
          </w:tcPr>
          <w:p>
            <w:pPr>
              <w:spacing w:after="0"/>
              <w:rPr>
                <w:sz w:val="1"/>
                <w:szCs w:val="1"/>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Buildings</w:t>
            </w:r>
          </w:p>
        </w:tc>
        <w:tc>
          <w:tcPr>
            <w:tcW w:w="10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235,554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217,655</w:t>
            </w:r>
          </w:p>
        </w:tc>
        <w:tc>
          <w:tcPr>
            <w:tcW w:w="0" w:type="dxa"/>
            <w:vAlign w:val="bottom"/>
          </w:tcPr>
          <w:p>
            <w:pPr>
              <w:spacing w:after="0"/>
              <w:rPr>
                <w:sz w:val="1"/>
                <w:szCs w:val="1"/>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0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762,205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578,810</w:t>
            </w:r>
          </w:p>
        </w:tc>
        <w:tc>
          <w:tcPr>
            <w:tcW w:w="0" w:type="dxa"/>
            <w:vAlign w:val="bottom"/>
          </w:tcPr>
          <w:p>
            <w:pPr>
              <w:spacing w:after="0"/>
              <w:rPr>
                <w:sz w:val="1"/>
                <w:szCs w:val="1"/>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0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67,226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24,667</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20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Less accumulated depreciation</w:t>
            </w:r>
          </w:p>
        </w:tc>
        <w:tc>
          <w:tcPr>
            <w:tcW w:w="10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1,072,953</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828,615</w:t>
            </w:r>
          </w:p>
        </w:tc>
        <w:tc>
          <w:tcPr>
            <w:tcW w:w="0" w:type="dxa"/>
            <w:vAlign w:val="bottom"/>
          </w:tcPr>
          <w:p>
            <w:pPr>
              <w:spacing w:after="0"/>
              <w:rPr>
                <w:sz w:val="1"/>
                <w:szCs w:val="1"/>
                <w:color w:val="auto"/>
              </w:rPr>
            </w:pPr>
          </w:p>
        </w:tc>
      </w:tr>
      <w:tr>
        <w:trPr>
          <w:trHeight w:val="109"/>
        </w:trPr>
        <w:tc>
          <w:tcPr>
            <w:tcW w:w="4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(473,158)</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(390,854)</w:t>
            </w:r>
          </w:p>
        </w:tc>
        <w:tc>
          <w:tcPr>
            <w:tcW w:w="0" w:type="dxa"/>
            <w:vAlign w:val="bottom"/>
          </w:tcPr>
          <w:p>
            <w:pPr>
              <w:spacing w:after="0"/>
              <w:rPr>
                <w:sz w:val="1"/>
                <w:szCs w:val="1"/>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599,795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$437,761</w:t>
            </w:r>
          </w:p>
        </w:tc>
        <w:tc>
          <w:tcPr>
            <w:tcW w:w="0" w:type="dxa"/>
            <w:vAlign w:val="bottom"/>
          </w:tcPr>
          <w:p>
            <w:pPr>
              <w:spacing w:after="0"/>
              <w:rPr>
                <w:sz w:val="1"/>
                <w:szCs w:val="1"/>
                <w:color w:val="auto"/>
              </w:rPr>
            </w:pPr>
          </w:p>
        </w:tc>
      </w:tr>
      <w:tr>
        <w:trPr>
          <w:trHeight w:val="296"/>
        </w:trPr>
        <w:tc>
          <w:tcPr>
            <w:tcW w:w="4200" w:type="dxa"/>
            <w:vAlign w:val="bottom"/>
          </w:tcPr>
          <w:p>
            <w:pPr>
              <w:spacing w:after="0"/>
              <w:rPr>
                <w:sz w:val="24"/>
                <w:szCs w:val="24"/>
                <w:color w:val="auto"/>
              </w:rPr>
            </w:pPr>
          </w:p>
        </w:tc>
        <w:tc>
          <w:tcPr>
            <w:tcW w:w="14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5620" w:type="dxa"/>
            <w:vAlign w:val="bottom"/>
            <w:gridSpan w:val="3"/>
          </w:tcPr>
          <w:p>
            <w:pPr>
              <w:spacing w:after="0"/>
              <w:rPr>
                <w:sz w:val="20"/>
                <w:szCs w:val="20"/>
                <w:color w:val="auto"/>
              </w:rPr>
            </w:pPr>
            <w:r>
              <w:rPr>
                <w:rFonts w:ascii="Courier New" w:cs="Courier New" w:eastAsia="Courier New" w:hAnsi="Courier New"/>
                <w:sz w:val="18"/>
                <w:szCs w:val="18"/>
                <w:color w:val="auto"/>
              </w:rPr>
              <w:t>6.   Accounts payable and accrued expenses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June 2,</w:t>
            </w:r>
          </w:p>
        </w:tc>
        <w:tc>
          <w:tcPr>
            <w:tcW w:w="14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September 2,</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1993</w:t>
            </w:r>
          </w:p>
        </w:tc>
        <w:tc>
          <w:tcPr>
            <w:tcW w:w="0" w:type="dxa"/>
            <w:vAlign w:val="bottom"/>
          </w:tcPr>
          <w:p>
            <w:pPr>
              <w:spacing w:after="0"/>
              <w:rPr>
                <w:sz w:val="1"/>
                <w:szCs w:val="1"/>
                <w:color w:val="auto"/>
              </w:rPr>
            </w:pPr>
          </w:p>
        </w:tc>
      </w:tr>
      <w:tr>
        <w:trPr>
          <w:trHeight w:val="203"/>
        </w:trPr>
        <w:tc>
          <w:tcPr>
            <w:tcW w:w="420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Accounts payable</w:t>
            </w: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51,031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$ 34,740</w:t>
            </w:r>
          </w:p>
        </w:tc>
        <w:tc>
          <w:tcPr>
            <w:tcW w:w="0" w:type="dxa"/>
            <w:vAlign w:val="bottom"/>
          </w:tcPr>
          <w:p>
            <w:pPr>
              <w:spacing w:after="0"/>
              <w:rPr>
                <w:sz w:val="1"/>
                <w:szCs w:val="1"/>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10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47,646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28,829</w:t>
            </w:r>
          </w:p>
        </w:tc>
        <w:tc>
          <w:tcPr>
            <w:tcW w:w="0" w:type="dxa"/>
            <w:vAlign w:val="bottom"/>
          </w:tcPr>
          <w:p>
            <w:pPr>
              <w:spacing w:after="0"/>
              <w:rPr>
                <w:sz w:val="1"/>
                <w:szCs w:val="1"/>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10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46,236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45,932</w:t>
            </w:r>
          </w:p>
        </w:tc>
        <w:tc>
          <w:tcPr>
            <w:tcW w:w="0" w:type="dxa"/>
            <w:vAlign w:val="bottom"/>
          </w:tcPr>
          <w:p>
            <w:pPr>
              <w:spacing w:after="0"/>
              <w:rPr>
                <w:sz w:val="1"/>
                <w:szCs w:val="1"/>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33,587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30,581</w:t>
            </w:r>
          </w:p>
        </w:tc>
        <w:tc>
          <w:tcPr>
            <w:tcW w:w="0" w:type="dxa"/>
            <w:vAlign w:val="bottom"/>
          </w:tcPr>
          <w:p>
            <w:pPr>
              <w:spacing w:after="0"/>
              <w:rPr>
                <w:sz w:val="1"/>
                <w:szCs w:val="1"/>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Commissions</w:t>
            </w:r>
          </w:p>
        </w:tc>
        <w:tc>
          <w:tcPr>
            <w:tcW w:w="10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5,429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4,675</w:t>
            </w:r>
          </w:p>
        </w:tc>
        <w:tc>
          <w:tcPr>
            <w:tcW w:w="0" w:type="dxa"/>
            <w:vAlign w:val="bottom"/>
          </w:tcPr>
          <w:p>
            <w:pPr>
              <w:spacing w:after="0"/>
              <w:rPr>
                <w:sz w:val="1"/>
                <w:szCs w:val="1"/>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15,718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10,206</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199,647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$154,963</w:t>
            </w:r>
          </w:p>
        </w:tc>
        <w:tc>
          <w:tcPr>
            <w:tcW w:w="0" w:type="dxa"/>
            <w:vAlign w:val="bottom"/>
          </w:tcPr>
          <w:p>
            <w:pPr>
              <w:spacing w:after="0"/>
              <w:rPr>
                <w:sz w:val="1"/>
                <w:szCs w:val="1"/>
                <w:color w:val="auto"/>
              </w:rPr>
            </w:pPr>
          </w:p>
        </w:tc>
      </w:tr>
      <w:tr>
        <w:trPr>
          <w:trHeight w:val="296"/>
        </w:trPr>
        <w:tc>
          <w:tcPr>
            <w:tcW w:w="4200" w:type="dxa"/>
            <w:vAlign w:val="bottom"/>
          </w:tcPr>
          <w:p>
            <w:pPr>
              <w:spacing w:after="0"/>
              <w:rPr>
                <w:sz w:val="24"/>
                <w:szCs w:val="24"/>
                <w:color w:val="auto"/>
              </w:rPr>
            </w:pPr>
          </w:p>
        </w:tc>
        <w:tc>
          <w:tcPr>
            <w:tcW w:w="14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359"/>
          </w:cols>
          <w:pgMar w:left="1100" w:top="1298" w:right="1440" w:bottom="1440" w:gutter="0" w:footer="0" w:header="0"/>
        </w:sectPr>
      </w:pPr>
    </w:p>
    <w:bookmarkStart w:id="7" w:name="page8"/>
    <w:bookmarkEnd w:id="7"/>
    <w:p>
      <w:pPr>
        <w:ind w:left="84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tbl>
      <w:tblPr>
        <w:tblLayout w:type="fixed"/>
        <w:tblInd w:w="9" w:type="dxa"/>
        <w:tblCellMar>
          <w:top w:w="0" w:type="dxa"/>
          <w:left w:w="0" w:type="dxa"/>
          <w:bottom w:w="0" w:type="dxa"/>
          <w:right w:w="0" w:type="dxa"/>
        </w:tblCellMar>
      </w:tblPr>
      <w:tr>
        <w:trPr>
          <w:trHeight w:val="296"/>
        </w:trPr>
        <w:tc>
          <w:tcPr>
            <w:tcW w:w="4040" w:type="dxa"/>
            <w:vAlign w:val="bottom"/>
          </w:tcPr>
          <w:p>
            <w:pPr>
              <w:spacing w:after="0"/>
              <w:rPr>
                <w:sz w:val="20"/>
                <w:szCs w:val="20"/>
                <w:color w:val="auto"/>
              </w:rPr>
            </w:pPr>
            <w:r>
              <w:rPr>
                <w:rFonts w:ascii="Courier New" w:cs="Courier New" w:eastAsia="Courier New" w:hAnsi="Courier New"/>
                <w:sz w:val="18"/>
                <w:szCs w:val="18"/>
                <w:color w:val="auto"/>
              </w:rPr>
              <w:t>7.   Long-term debt</w:t>
            </w:r>
          </w:p>
        </w:tc>
        <w:tc>
          <w:tcPr>
            <w:tcW w:w="380" w:type="dxa"/>
            <w:vAlign w:val="bottom"/>
          </w:tcPr>
          <w:p>
            <w:pPr>
              <w:spacing w:after="0"/>
              <w:rPr>
                <w:sz w:val="24"/>
                <w:szCs w:val="24"/>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June 2,</w:t>
            </w:r>
          </w:p>
        </w:tc>
        <w:tc>
          <w:tcPr>
            <w:tcW w:w="1460" w:type="dxa"/>
            <w:vAlign w:val="bottom"/>
            <w:vMerge w:val="restart"/>
          </w:tcPr>
          <w:p>
            <w:pPr>
              <w:jc w:val="center"/>
              <w:ind w:left="112"/>
              <w:spacing w:after="0"/>
              <w:rPr>
                <w:sz w:val="20"/>
                <w:szCs w:val="20"/>
                <w:color w:val="auto"/>
              </w:rPr>
            </w:pPr>
            <w:r>
              <w:rPr>
                <w:rFonts w:ascii="Courier New" w:cs="Courier New" w:eastAsia="Courier New" w:hAnsi="Courier New"/>
                <w:sz w:val="18"/>
                <w:szCs w:val="18"/>
                <w:color w:val="auto"/>
                <w:w w:val="97"/>
              </w:rPr>
              <w:t>September 2,</w:t>
            </w:r>
          </w:p>
        </w:tc>
        <w:tc>
          <w:tcPr>
            <w:tcW w:w="0" w:type="dxa"/>
            <w:vAlign w:val="bottom"/>
          </w:tcPr>
          <w:p>
            <w:pPr>
              <w:spacing w:after="0"/>
              <w:rPr>
                <w:sz w:val="1"/>
                <w:szCs w:val="1"/>
                <w:color w:val="auto"/>
              </w:rPr>
            </w:pPr>
          </w:p>
        </w:tc>
      </w:tr>
      <w:tr>
        <w:trPr>
          <w:trHeight w:val="109"/>
        </w:trPr>
        <w:tc>
          <w:tcPr>
            <w:tcW w:w="4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1993</w:t>
            </w:r>
          </w:p>
        </w:tc>
        <w:tc>
          <w:tcPr>
            <w:tcW w:w="0" w:type="dxa"/>
            <w:vAlign w:val="bottom"/>
          </w:tcPr>
          <w:p>
            <w:pPr>
              <w:spacing w:after="0"/>
              <w:rPr>
                <w:sz w:val="1"/>
                <w:szCs w:val="1"/>
                <w:color w:val="auto"/>
              </w:rPr>
            </w:pPr>
          </w:p>
        </w:tc>
      </w:tr>
      <w:tr>
        <w:trPr>
          <w:trHeight w:val="296"/>
        </w:trPr>
        <w:tc>
          <w:tcPr>
            <w:tcW w:w="4040" w:type="dxa"/>
            <w:vAlign w:val="bottom"/>
          </w:tcPr>
          <w:p>
            <w:pPr>
              <w:spacing w:after="0"/>
              <w:rPr>
                <w:sz w:val="24"/>
                <w:szCs w:val="24"/>
                <w:color w:val="auto"/>
              </w:rPr>
            </w:pP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4040" w:type="dxa"/>
            <w:vAlign w:val="bottom"/>
          </w:tcPr>
          <w:p>
            <w:pPr>
              <w:ind w:left="520"/>
              <w:spacing w:after="0"/>
              <w:rPr>
                <w:sz w:val="20"/>
                <w:szCs w:val="20"/>
                <w:color w:val="auto"/>
              </w:rPr>
            </w:pPr>
            <w:r>
              <w:rPr>
                <w:rFonts w:ascii="Courier New" w:cs="Courier New" w:eastAsia="Courier New" w:hAnsi="Courier New"/>
                <w:sz w:val="18"/>
                <w:szCs w:val="18"/>
                <w:color w:val="auto"/>
              </w:rPr>
              <w:t>Notes payable in monthly</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installments through May</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1999, weighted average interest</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rate of 7.30% and 8.24%,</w:t>
            </w:r>
          </w:p>
        </w:tc>
        <w:tc>
          <w:tcPr>
            <w:tcW w:w="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117,595</w:t>
            </w:r>
          </w:p>
        </w:tc>
        <w:tc>
          <w:tcPr>
            <w:tcW w:w="14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$31,174</w:t>
            </w:r>
          </w:p>
        </w:tc>
        <w:tc>
          <w:tcPr>
            <w:tcW w:w="0" w:type="dxa"/>
            <w:vAlign w:val="bottom"/>
          </w:tcPr>
          <w:p>
            <w:pPr>
              <w:spacing w:after="0"/>
              <w:rPr>
                <w:sz w:val="1"/>
                <w:szCs w:val="1"/>
                <w:color w:val="auto"/>
              </w:rPr>
            </w:pPr>
          </w:p>
        </w:tc>
      </w:tr>
      <w:tr>
        <w:trPr>
          <w:trHeight w:val="296"/>
        </w:trPr>
        <w:tc>
          <w:tcPr>
            <w:tcW w:w="4040" w:type="dxa"/>
            <w:vAlign w:val="bottom"/>
          </w:tcPr>
          <w:p>
            <w:pPr>
              <w:ind w:left="620"/>
              <w:spacing w:after="0"/>
              <w:rPr>
                <w:sz w:val="20"/>
                <w:szCs w:val="20"/>
                <w:color w:val="auto"/>
              </w:rPr>
            </w:pPr>
            <w:r>
              <w:rPr>
                <w:rFonts w:ascii="Courier New" w:cs="Courier New" w:eastAsia="Courier New" w:hAnsi="Courier New"/>
                <w:sz w:val="18"/>
                <w:szCs w:val="18"/>
                <w:color w:val="auto"/>
              </w:rPr>
              <w:t>respectively</w:t>
            </w:r>
          </w:p>
        </w:tc>
        <w:tc>
          <w:tcPr>
            <w:tcW w:w="38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40" w:type="dxa"/>
            <w:vAlign w:val="bottom"/>
          </w:tcPr>
          <w:p>
            <w:pPr>
              <w:ind w:left="520"/>
              <w:spacing w:after="0"/>
              <w:rPr>
                <w:sz w:val="20"/>
                <w:szCs w:val="20"/>
                <w:color w:val="auto"/>
              </w:rPr>
            </w:pPr>
            <w:r>
              <w:rPr>
                <w:rFonts w:ascii="Courier New" w:cs="Courier New" w:eastAsia="Courier New" w:hAnsi="Courier New"/>
                <w:sz w:val="18"/>
                <w:szCs w:val="18"/>
                <w:color w:val="auto"/>
              </w:rPr>
              <w:t>Capitalized lease obligations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payable in monthly installments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through April 1998, weighted</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average interest rate of 7.94%</w:t>
            </w:r>
          </w:p>
        </w:tc>
        <w:tc>
          <w:tcPr>
            <w:tcW w:w="380" w:type="dxa"/>
            <w:vAlign w:val="bottom"/>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13,200</w:t>
            </w:r>
          </w:p>
        </w:tc>
        <w:tc>
          <w:tcPr>
            <w:tcW w:w="14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28,550</w:t>
            </w:r>
          </w:p>
        </w:tc>
        <w:tc>
          <w:tcPr>
            <w:tcW w:w="0" w:type="dxa"/>
            <w:vAlign w:val="bottom"/>
          </w:tcPr>
          <w:p>
            <w:pPr>
              <w:spacing w:after="0"/>
              <w:rPr>
                <w:sz w:val="1"/>
                <w:szCs w:val="1"/>
                <w:color w:val="auto"/>
              </w:rPr>
            </w:pPr>
          </w:p>
        </w:tc>
      </w:tr>
      <w:tr>
        <w:trPr>
          <w:trHeight w:val="296"/>
        </w:trPr>
        <w:tc>
          <w:tcPr>
            <w:tcW w:w="4040" w:type="dxa"/>
            <w:vAlign w:val="bottom"/>
          </w:tcPr>
          <w:p>
            <w:pPr>
              <w:ind w:left="620"/>
              <w:spacing w:after="0"/>
              <w:rPr>
                <w:sz w:val="20"/>
                <w:szCs w:val="20"/>
                <w:color w:val="auto"/>
              </w:rPr>
            </w:pPr>
            <w:r>
              <w:rPr>
                <w:rFonts w:ascii="Courier New" w:cs="Courier New" w:eastAsia="Courier New" w:hAnsi="Courier New"/>
                <w:sz w:val="18"/>
                <w:szCs w:val="18"/>
                <w:color w:val="auto"/>
              </w:rPr>
              <w:t>and 8.79%, respectively</w:t>
            </w:r>
          </w:p>
        </w:tc>
        <w:tc>
          <w:tcPr>
            <w:tcW w:w="3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40" w:type="dxa"/>
            <w:vAlign w:val="bottom"/>
          </w:tcPr>
          <w:p>
            <w:pPr>
              <w:ind w:left="520"/>
              <w:spacing w:after="0"/>
              <w:rPr>
                <w:sz w:val="20"/>
                <w:szCs w:val="20"/>
                <w:color w:val="auto"/>
              </w:rPr>
            </w:pPr>
            <w:r>
              <w:rPr>
                <w:rFonts w:ascii="Courier New" w:cs="Courier New" w:eastAsia="Courier New" w:hAnsi="Courier New"/>
                <w:sz w:val="18"/>
                <w:szCs w:val="18"/>
                <w:color w:val="auto"/>
              </w:rPr>
              <w:t>Noninterest bearing obligation,</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due June 1997, original face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amount $19.8 million (net of</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discount based on imputed</w:t>
            </w:r>
          </w:p>
        </w:tc>
        <w:tc>
          <w:tcPr>
            <w:tcW w:w="380" w:type="dxa"/>
            <w:vAlign w:val="bottom"/>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16,357</w:t>
            </w:r>
          </w:p>
        </w:tc>
        <w:tc>
          <w:tcPr>
            <w:tcW w:w="14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040" w:type="dxa"/>
            <w:vAlign w:val="bottom"/>
          </w:tcPr>
          <w:p>
            <w:pPr>
              <w:ind w:left="620"/>
              <w:spacing w:after="0"/>
              <w:rPr>
                <w:sz w:val="20"/>
                <w:szCs w:val="20"/>
                <w:color w:val="auto"/>
              </w:rPr>
            </w:pPr>
            <w:r>
              <w:rPr>
                <w:rFonts w:ascii="Courier New" w:cs="Courier New" w:eastAsia="Courier New" w:hAnsi="Courier New"/>
                <w:sz w:val="18"/>
                <w:szCs w:val="18"/>
                <w:color w:val="auto"/>
              </w:rPr>
              <w:t>interest rate of 6.50%)</w:t>
            </w:r>
          </w:p>
        </w:tc>
        <w:tc>
          <w:tcPr>
            <w:tcW w:w="3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40" w:type="dxa"/>
            <w:vAlign w:val="bottom"/>
          </w:tcPr>
          <w:p>
            <w:pPr>
              <w:ind w:left="520"/>
              <w:spacing w:after="0"/>
              <w:rPr>
                <w:sz w:val="20"/>
                <w:szCs w:val="20"/>
                <w:color w:val="auto"/>
              </w:rPr>
            </w:pPr>
            <w:r>
              <w:rPr>
                <w:rFonts w:ascii="Courier New" w:cs="Courier New" w:eastAsia="Courier New" w:hAnsi="Courier New"/>
                <w:sz w:val="18"/>
                <w:szCs w:val="18"/>
                <w:color w:val="auto"/>
              </w:rPr>
              <w:t>Noninterest bearing obligation,</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due in annual installments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through November 1994, original</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face amount of $50.0 million</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(net of discount based on</w:t>
            </w:r>
          </w:p>
        </w:tc>
        <w:tc>
          <w:tcPr>
            <w:tcW w:w="380" w:type="dxa"/>
            <w:vAlign w:val="bottom"/>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9,577</w:t>
            </w:r>
          </w:p>
        </w:tc>
        <w:tc>
          <w:tcPr>
            <w:tcW w:w="14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18,775</w:t>
            </w:r>
          </w:p>
        </w:tc>
        <w:tc>
          <w:tcPr>
            <w:tcW w:w="0" w:type="dxa"/>
            <w:vAlign w:val="bottom"/>
          </w:tcPr>
          <w:p>
            <w:pPr>
              <w:spacing w:after="0"/>
              <w:rPr>
                <w:sz w:val="1"/>
                <w:szCs w:val="1"/>
                <w:color w:val="auto"/>
              </w:rPr>
            </w:pPr>
          </w:p>
        </w:tc>
      </w:tr>
      <w:tr>
        <w:trPr>
          <w:trHeight w:val="296"/>
        </w:trPr>
        <w:tc>
          <w:tcPr>
            <w:tcW w:w="4040" w:type="dxa"/>
            <w:vAlign w:val="bottom"/>
          </w:tcPr>
          <w:p>
            <w:pPr>
              <w:ind w:left="620"/>
              <w:spacing w:after="0"/>
              <w:rPr>
                <w:sz w:val="20"/>
                <w:szCs w:val="20"/>
                <w:color w:val="auto"/>
              </w:rPr>
            </w:pPr>
            <w:r>
              <w:rPr>
                <w:rFonts w:ascii="Courier New" w:cs="Courier New" w:eastAsia="Courier New" w:hAnsi="Courier New"/>
                <w:sz w:val="18"/>
                <w:szCs w:val="18"/>
                <w:color w:val="auto"/>
                <w:w w:val="98"/>
              </w:rPr>
              <w:t>imputed interest rate of 10.25%)</w:t>
            </w:r>
          </w:p>
        </w:tc>
        <w:tc>
          <w:tcPr>
            <w:tcW w:w="3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40" w:type="dxa"/>
            <w:vAlign w:val="bottom"/>
          </w:tcPr>
          <w:p>
            <w:pPr>
              <w:ind w:left="520"/>
              <w:spacing w:after="0"/>
              <w:rPr>
                <w:sz w:val="20"/>
                <w:szCs w:val="20"/>
                <w:color w:val="auto"/>
              </w:rPr>
            </w:pPr>
            <w:r>
              <w:rPr>
                <w:rFonts w:ascii="Courier New" w:cs="Courier New" w:eastAsia="Courier New" w:hAnsi="Courier New"/>
                <w:sz w:val="18"/>
                <w:szCs w:val="18"/>
                <w:color w:val="auto"/>
              </w:rPr>
              <w:t>Noninterest bearing obligation,</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paid January 1994, (net of</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discount based on imputed</w:t>
            </w:r>
          </w:p>
        </w:tc>
        <w:tc>
          <w:tcPr>
            <w:tcW w:w="38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1,269</w:t>
            </w:r>
          </w:p>
        </w:tc>
        <w:tc>
          <w:tcPr>
            <w:tcW w:w="0" w:type="dxa"/>
            <w:vAlign w:val="bottom"/>
          </w:tcPr>
          <w:p>
            <w:pPr>
              <w:spacing w:after="0"/>
              <w:rPr>
                <w:sz w:val="1"/>
                <w:szCs w:val="1"/>
                <w:color w:val="auto"/>
              </w:rPr>
            </w:pPr>
          </w:p>
        </w:tc>
      </w:tr>
      <w:tr>
        <w:trPr>
          <w:trHeight w:val="296"/>
        </w:trPr>
        <w:tc>
          <w:tcPr>
            <w:tcW w:w="4040" w:type="dxa"/>
            <w:vAlign w:val="bottom"/>
          </w:tcPr>
          <w:p>
            <w:pPr>
              <w:ind w:left="620"/>
              <w:spacing w:after="0"/>
              <w:rPr>
                <w:sz w:val="20"/>
                <w:szCs w:val="20"/>
                <w:color w:val="auto"/>
              </w:rPr>
            </w:pPr>
            <w:r>
              <w:rPr>
                <w:rFonts w:ascii="Courier New" w:cs="Courier New" w:eastAsia="Courier New" w:hAnsi="Courier New"/>
                <w:sz w:val="18"/>
                <w:szCs w:val="18"/>
                <w:color w:val="auto"/>
              </w:rPr>
              <w:t>interest rate of 7.41%)</w:t>
            </w:r>
          </w:p>
        </w:tc>
        <w:tc>
          <w:tcPr>
            <w:tcW w:w="3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40" w:type="dxa"/>
            <w:vAlign w:val="bottom"/>
          </w:tcPr>
          <w:p>
            <w:pPr>
              <w:spacing w:after="0"/>
              <w:rPr>
                <w:sz w:val="24"/>
                <w:szCs w:val="24"/>
                <w:color w:val="auto"/>
              </w:rPr>
            </w:pP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4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Less current portion</w:t>
            </w:r>
          </w:p>
        </w:tc>
        <w:tc>
          <w:tcPr>
            <w:tcW w:w="3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156,729</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79,768</w:t>
            </w:r>
          </w:p>
        </w:tc>
        <w:tc>
          <w:tcPr>
            <w:tcW w:w="0" w:type="dxa"/>
            <w:vAlign w:val="bottom"/>
          </w:tcPr>
          <w:p>
            <w:pPr>
              <w:spacing w:after="0"/>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(29,179)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(25,407)</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127,550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$54,361</w:t>
            </w:r>
          </w:p>
        </w:tc>
        <w:tc>
          <w:tcPr>
            <w:tcW w:w="0" w:type="dxa"/>
            <w:vAlign w:val="bottom"/>
          </w:tcPr>
          <w:p>
            <w:pPr>
              <w:spacing w:after="0"/>
              <w:rPr>
                <w:sz w:val="1"/>
                <w:szCs w:val="1"/>
                <w:color w:val="auto"/>
              </w:rPr>
            </w:pPr>
          </w:p>
        </w:tc>
      </w:tr>
      <w:tr>
        <w:trPr>
          <w:trHeight w:val="296"/>
        </w:trPr>
        <w:tc>
          <w:tcPr>
            <w:tcW w:w="404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29" w:hanging="529"/>
        <w:spacing w:after="0"/>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1" w:lineRule="exact"/>
        <w:rPr>
          <w:sz w:val="20"/>
          <w:szCs w:val="20"/>
          <w:color w:val="auto"/>
        </w:rPr>
      </w:pPr>
    </w:p>
    <w:p>
      <w:pPr>
        <w:ind w:left="9" w:right="2099" w:firstLine="527"/>
        <w:spacing w:after="0" w:line="265" w:lineRule="auto"/>
        <w:rPr>
          <w:sz w:val="20"/>
          <w:szCs w:val="20"/>
          <w:color w:val="auto"/>
        </w:rPr>
      </w:pPr>
      <w:r>
        <w:rPr>
          <w:rFonts w:ascii="Courier New" w:cs="Courier New" w:eastAsia="Courier New" w:hAnsi="Courier New"/>
          <w:sz w:val="18"/>
          <w:szCs w:val="18"/>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90" w:lineRule="exact"/>
        <w:rPr>
          <w:sz w:val="20"/>
          <w:szCs w:val="20"/>
          <w:color w:val="auto"/>
        </w:rPr>
      </w:pPr>
    </w:p>
    <w:p>
      <w:pPr>
        <w:ind w:left="9" w:right="2199" w:firstLine="527"/>
        <w:spacing w:after="0" w:line="287" w:lineRule="auto"/>
        <w:rPr>
          <w:sz w:val="20"/>
          <w:szCs w:val="20"/>
          <w:color w:val="auto"/>
        </w:rPr>
      </w:pPr>
      <w:r>
        <w:rPr>
          <w:rFonts w:ascii="Courier New" w:cs="Courier New" w:eastAsia="Courier New" w:hAnsi="Courier New"/>
          <w:sz w:val="16"/>
          <w:szCs w:val="16"/>
          <w:color w:val="auto"/>
        </w:rPr>
        <w:t>On March 1, 1994, the company's board of directors announced a five-for-two stock split, effected in the form of a stock dividend, to shareholders of record on April 1, 1994. A total of 60,942,000 additional shares were issued in conjunction with the stock split. The company distributed cash in lieu of fractional shares resulting from the stock split. The company's par value of $0.10 per share remained unchanged. As a result, $6.1 million was transferred from additional paid-in capital to common stock. All share and per share amounts have been restated to reflect retroactively the stock split.</w:t>
      </w:r>
    </w:p>
    <w:p>
      <w:pPr>
        <w:spacing w:after="0" w:line="75" w:lineRule="exact"/>
        <w:rPr>
          <w:sz w:val="20"/>
          <w:szCs w:val="20"/>
          <w:color w:val="auto"/>
        </w:rPr>
      </w:pPr>
    </w:p>
    <w:p>
      <w:pPr>
        <w:ind w:left="358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368"/>
          </w:cols>
          <w:pgMar w:left="1091" w:top="1096" w:right="1440" w:bottom="1440" w:gutter="0" w:footer="0" w:header="0"/>
        </w:sectPr>
      </w:pPr>
    </w:p>
    <w:bookmarkStart w:id="8" w:name="page9"/>
    <w:bookmarkEnd w:id="8"/>
    <w:p>
      <w:pPr>
        <w:ind w:left="84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529" w:hanging="529"/>
        <w:spacing w:after="0"/>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left="9" w:right="2099" w:firstLine="527"/>
        <w:spacing w:after="0" w:line="260" w:lineRule="auto"/>
        <w:rPr>
          <w:sz w:val="20"/>
          <w:szCs w:val="20"/>
          <w:color w:val="auto"/>
        </w:rPr>
      </w:pPr>
      <w:r>
        <w:rPr>
          <w:rFonts w:ascii="Courier New" w:cs="Courier New" w:eastAsia="Courier New" w:hAnsi="Courier New"/>
          <w:sz w:val="18"/>
          <w:szCs w:val="18"/>
          <w:color w:val="auto"/>
        </w:rPr>
        <w:t>Effective September 3, 1993, the company adopted Statement of Financial Accounting Standards (SFAS) No. 109, "Accounting for Income Taxes." Adoption of SFAS No. 109 did not have a material effect on the company's financial position or results of operations. The estimated effective income tax rate for all periods presented was 36%.</w:t>
      </w:r>
    </w:p>
    <w:p>
      <w:pPr>
        <w:spacing w:after="0" w:line="93" w:lineRule="exact"/>
        <w:rPr>
          <w:sz w:val="20"/>
          <w:szCs w:val="20"/>
          <w:color w:val="auto"/>
        </w:rPr>
      </w:pPr>
    </w:p>
    <w:p>
      <w:pPr>
        <w:ind w:left="9" w:right="2739" w:firstLine="527"/>
        <w:spacing w:after="0" w:line="292" w:lineRule="auto"/>
        <w:rPr>
          <w:sz w:val="20"/>
          <w:szCs w:val="20"/>
          <w:color w:val="auto"/>
        </w:rPr>
      </w:pPr>
      <w:r>
        <w:rPr>
          <w:rFonts w:ascii="Courier New" w:cs="Courier New" w:eastAsia="Courier New" w:hAnsi="Courier New"/>
          <w:sz w:val="18"/>
          <w:szCs w:val="18"/>
          <w:color w:val="auto"/>
        </w:rPr>
        <w:t>The approximate tax effect of temporary differences and carryforwards which give rise to the net deferred tax asset and liability are as follows:</w:t>
      </w:r>
    </w:p>
    <w:p>
      <w:pPr>
        <w:spacing w:after="0" w:line="267"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June 2,</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Current deferred tax asset: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60" w:type="dxa"/>
            <w:vAlign w:val="bottom"/>
          </w:tcPr>
          <w:p>
            <w:pPr>
              <w:ind w:left="520"/>
              <w:spacing w:after="0"/>
              <w:rPr>
                <w:sz w:val="20"/>
                <w:szCs w:val="20"/>
                <w:color w:val="auto"/>
              </w:rPr>
            </w:pPr>
            <w:r>
              <w:rPr>
                <w:rFonts w:ascii="Courier New" w:cs="Courier New" w:eastAsia="Courier New" w:hAnsi="Courier New"/>
                <w:sz w:val="18"/>
                <w:szCs w:val="18"/>
                <w:color w:val="auto"/>
              </w:rPr>
              <w:t>Accrued compensation</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3,831</w:t>
            </w:r>
          </w:p>
        </w:tc>
        <w:tc>
          <w:tcPr>
            <w:tcW w:w="0" w:type="dxa"/>
            <w:vAlign w:val="bottom"/>
          </w:tcPr>
          <w:p>
            <w:pPr>
              <w:spacing w:after="0"/>
              <w:rPr>
                <w:sz w:val="1"/>
                <w:szCs w:val="1"/>
                <w:color w:val="auto"/>
              </w:rPr>
            </w:pPr>
          </w:p>
        </w:tc>
      </w:tr>
      <w:tr>
        <w:trPr>
          <w:trHeight w:val="203"/>
        </w:trPr>
        <w:tc>
          <w:tcPr>
            <w:tcW w:w="4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Deferred income</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2,136</w:t>
            </w:r>
          </w:p>
        </w:tc>
        <w:tc>
          <w:tcPr>
            <w:tcW w:w="0" w:type="dxa"/>
            <w:vAlign w:val="bottom"/>
          </w:tcPr>
          <w:p>
            <w:pPr>
              <w:spacing w:after="0"/>
              <w:rPr>
                <w:sz w:val="1"/>
                <w:szCs w:val="1"/>
                <w:color w:val="auto"/>
              </w:rPr>
            </w:pPr>
          </w:p>
        </w:tc>
      </w:tr>
      <w:tr>
        <w:trPr>
          <w:trHeight w:val="203"/>
        </w:trPr>
        <w:tc>
          <w:tcPr>
            <w:tcW w:w="4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Inventory</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2,062</w:t>
            </w:r>
          </w:p>
        </w:tc>
        <w:tc>
          <w:tcPr>
            <w:tcW w:w="0" w:type="dxa"/>
            <w:vAlign w:val="bottom"/>
          </w:tcPr>
          <w:p>
            <w:pPr>
              <w:spacing w:after="0"/>
              <w:rPr>
                <w:sz w:val="1"/>
                <w:szCs w:val="1"/>
                <w:color w:val="auto"/>
              </w:rPr>
            </w:pPr>
          </w:p>
        </w:tc>
      </w:tr>
      <w:tr>
        <w:trPr>
          <w:trHeight w:val="203"/>
        </w:trPr>
        <w:tc>
          <w:tcPr>
            <w:tcW w:w="4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Other</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8,361</w:t>
            </w:r>
          </w:p>
        </w:tc>
        <w:tc>
          <w:tcPr>
            <w:tcW w:w="0" w:type="dxa"/>
            <w:vAlign w:val="bottom"/>
          </w:tcPr>
          <w:p>
            <w:pPr>
              <w:spacing w:after="0"/>
              <w:rPr>
                <w:sz w:val="1"/>
                <w:szCs w:val="1"/>
                <w:color w:val="auto"/>
              </w:rPr>
            </w:pPr>
          </w:p>
        </w:tc>
      </w:tr>
      <w:tr>
        <w:trPr>
          <w:trHeight w:val="203"/>
        </w:trPr>
        <w:tc>
          <w:tcPr>
            <w:tcW w:w="4160" w:type="dxa"/>
            <w:vAlign w:val="bottom"/>
            <w:vMerge w:val="restart"/>
          </w:tcPr>
          <w:p>
            <w:pPr>
              <w:ind w:left="720"/>
              <w:spacing w:after="0"/>
              <w:rPr>
                <w:sz w:val="20"/>
                <w:szCs w:val="20"/>
                <w:color w:val="auto"/>
              </w:rPr>
            </w:pPr>
            <w:r>
              <w:rPr>
                <w:rFonts w:ascii="Courier New" w:cs="Courier New" w:eastAsia="Courier New" w:hAnsi="Courier New"/>
                <w:sz w:val="18"/>
                <w:szCs w:val="18"/>
                <w:color w:val="auto"/>
              </w:rPr>
              <w:t>Net deferred tax asset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$ 16,390</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Noncurrent deferred tax liability:</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$(47,911)</w:t>
            </w:r>
          </w:p>
        </w:tc>
        <w:tc>
          <w:tcPr>
            <w:tcW w:w="0" w:type="dxa"/>
            <w:vAlign w:val="bottom"/>
          </w:tcPr>
          <w:p>
            <w:pPr>
              <w:spacing w:after="0"/>
              <w:rPr>
                <w:sz w:val="1"/>
                <w:szCs w:val="1"/>
                <w:color w:val="auto"/>
              </w:rPr>
            </w:pPr>
          </w:p>
        </w:tc>
      </w:tr>
      <w:tr>
        <w:trPr>
          <w:trHeight w:val="203"/>
        </w:trPr>
        <w:tc>
          <w:tcPr>
            <w:tcW w:w="4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Deferred internal patent charges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(2,282)</w:t>
            </w:r>
          </w:p>
        </w:tc>
        <w:tc>
          <w:tcPr>
            <w:tcW w:w="0" w:type="dxa"/>
            <w:vAlign w:val="bottom"/>
          </w:tcPr>
          <w:p>
            <w:pPr>
              <w:spacing w:after="0"/>
              <w:rPr>
                <w:sz w:val="1"/>
                <w:szCs w:val="1"/>
                <w:color w:val="auto"/>
              </w:rPr>
            </w:pPr>
          </w:p>
        </w:tc>
      </w:tr>
      <w:tr>
        <w:trPr>
          <w:trHeight w:val="203"/>
        </w:trPr>
        <w:tc>
          <w:tcPr>
            <w:tcW w:w="4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6,912</w:t>
            </w:r>
          </w:p>
        </w:tc>
        <w:tc>
          <w:tcPr>
            <w:tcW w:w="0" w:type="dxa"/>
            <w:vAlign w:val="bottom"/>
          </w:tcPr>
          <w:p>
            <w:pPr>
              <w:spacing w:after="0"/>
              <w:rPr>
                <w:sz w:val="1"/>
                <w:szCs w:val="1"/>
                <w:color w:val="auto"/>
              </w:rPr>
            </w:pPr>
          </w:p>
        </w:tc>
      </w:tr>
      <w:tr>
        <w:trPr>
          <w:trHeight w:val="203"/>
        </w:trPr>
        <w:tc>
          <w:tcPr>
            <w:tcW w:w="416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amortization</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4,371</w:t>
            </w:r>
          </w:p>
        </w:tc>
        <w:tc>
          <w:tcPr>
            <w:tcW w:w="0" w:type="dxa"/>
            <w:vAlign w:val="bottom"/>
          </w:tcPr>
          <w:p>
            <w:pPr>
              <w:spacing w:after="0"/>
              <w:rPr>
                <w:sz w:val="1"/>
                <w:szCs w:val="1"/>
                <w:color w:val="auto"/>
              </w:rPr>
            </w:pPr>
          </w:p>
        </w:tc>
      </w:tr>
      <w:tr>
        <w:trPr>
          <w:trHeight w:val="203"/>
        </w:trPr>
        <w:tc>
          <w:tcPr>
            <w:tcW w:w="4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Other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(3,328)</w:t>
            </w:r>
          </w:p>
        </w:tc>
        <w:tc>
          <w:tcPr>
            <w:tcW w:w="0" w:type="dxa"/>
            <w:vAlign w:val="bottom"/>
          </w:tcPr>
          <w:p>
            <w:pPr>
              <w:spacing w:after="0"/>
              <w:rPr>
                <w:sz w:val="1"/>
                <w:szCs w:val="1"/>
                <w:color w:val="auto"/>
              </w:rPr>
            </w:pPr>
          </w:p>
        </w:tc>
      </w:tr>
      <w:tr>
        <w:trPr>
          <w:trHeight w:val="203"/>
        </w:trPr>
        <w:tc>
          <w:tcPr>
            <w:tcW w:w="4160" w:type="dxa"/>
            <w:vAlign w:val="bottom"/>
            <w:vMerge w:val="restart"/>
          </w:tcPr>
          <w:p>
            <w:pPr>
              <w:ind w:left="720"/>
              <w:spacing w:after="0"/>
              <w:rPr>
                <w:sz w:val="20"/>
                <w:szCs w:val="20"/>
                <w:color w:val="auto"/>
              </w:rPr>
            </w:pPr>
            <w:r>
              <w:rPr>
                <w:rFonts w:ascii="Courier New" w:cs="Courier New" w:eastAsia="Courier New" w:hAnsi="Courier New"/>
                <w:sz w:val="18"/>
                <w:szCs w:val="18"/>
                <w:color w:val="auto"/>
              </w:rPr>
              <w:t>Net deferred tax liability</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$(42,238)</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29" w:hanging="529"/>
        <w:spacing w:after="0"/>
        <w:tabs>
          <w:tab w:leader="none" w:pos="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1" w:lineRule="exact"/>
        <w:rPr>
          <w:sz w:val="20"/>
          <w:szCs w:val="20"/>
          <w:color w:val="auto"/>
        </w:rPr>
      </w:pPr>
    </w:p>
    <w:p>
      <w:pPr>
        <w:ind w:left="9" w:right="2099" w:firstLine="527"/>
        <w:spacing w:after="0" w:line="292" w:lineRule="auto"/>
        <w:rPr>
          <w:sz w:val="20"/>
          <w:szCs w:val="20"/>
          <w:color w:val="auto"/>
        </w:rPr>
      </w:pPr>
      <w:r>
        <w:rPr>
          <w:rFonts w:ascii="Courier New" w:cs="Courier New" w:eastAsia="Courier New" w:hAnsi="Courier New"/>
          <w:sz w:val="18"/>
          <w:szCs w:val="18"/>
          <w:color w:val="auto"/>
        </w:rPr>
        <w:t>As of June 2, 1994, the company had commitments of approximately $219 million for equipment purchases and $82 million for the construction of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8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368"/>
          </w:cols>
          <w:pgMar w:left="1091" w:top="1096" w:right="1440" w:bottom="1440" w:gutter="0" w:footer="0" w:header="0"/>
        </w:sectPr>
      </w:pPr>
    </w:p>
    <w:bookmarkStart w:id="9" w:name="page10"/>
    <w:bookmarkEnd w:id="9"/>
    <w:p>
      <w:pPr>
        <w:ind w:left="84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529" w:hanging="529"/>
        <w:spacing w:after="0"/>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1" w:lineRule="exact"/>
        <w:rPr>
          <w:sz w:val="20"/>
          <w:szCs w:val="20"/>
          <w:color w:val="auto"/>
        </w:rPr>
      </w:pPr>
    </w:p>
    <w:p>
      <w:pPr>
        <w:ind w:left="9" w:right="2099" w:firstLine="527"/>
        <w:spacing w:after="0" w:line="281"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w:t>
      </w:r>
    </w:p>
    <w:p>
      <w:pPr>
        <w:spacing w:after="0" w:line="290" w:lineRule="exact"/>
        <w:rPr>
          <w:sz w:val="20"/>
          <w:szCs w:val="20"/>
          <w:color w:val="auto"/>
        </w:rPr>
      </w:pPr>
    </w:p>
    <w:p>
      <w:pPr>
        <w:ind w:left="9" w:right="2319" w:firstLine="527"/>
        <w:spacing w:after="0" w:line="274" w:lineRule="auto"/>
        <w:rPr>
          <w:sz w:val="20"/>
          <w:szCs w:val="20"/>
          <w:color w:val="auto"/>
        </w:rPr>
      </w:pPr>
      <w:r>
        <w:rPr>
          <w:rFonts w:ascii="Courier New" w:cs="Courier New" w:eastAsia="Courier New" w:hAnsi="Courier New"/>
          <w:sz w:val="18"/>
          <w:szCs w:val="18"/>
          <w:color w:val="auto"/>
        </w:rPr>
        <w:t>The company is a party to various legal actions arising out of the normal course of business, none of which is expected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58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368"/>
          </w:cols>
          <w:pgMar w:left="1091" w:top="1096" w:right="1440" w:bottom="1440" w:gutter="0" w:footer="0" w:header="0"/>
        </w:sectPr>
      </w:pPr>
    </w:p>
    <w:bookmarkStart w:id="10" w:name="page11"/>
    <w:bookmarkEnd w:id="10"/>
    <w:p>
      <w:pPr>
        <w:ind w:right="2199"/>
        <w:spacing w:after="0" w:line="347"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All references are to the company's fiscal periods ended June 2,</w:t>
      </w:r>
    </w:p>
    <w:p>
      <w:pPr>
        <w:spacing w:after="0" w:line="53" w:lineRule="exact"/>
        <w:rPr>
          <w:sz w:val="20"/>
          <w:szCs w:val="20"/>
          <w:color w:val="auto"/>
        </w:rPr>
      </w:pPr>
    </w:p>
    <w:p>
      <w:pPr>
        <w:ind w:right="2739"/>
        <w:spacing w:after="0" w:line="309" w:lineRule="auto"/>
        <w:rPr>
          <w:sz w:val="20"/>
          <w:szCs w:val="20"/>
          <w:color w:val="auto"/>
        </w:rPr>
      </w:pPr>
      <w:r>
        <w:rPr>
          <w:rFonts w:ascii="Courier New" w:cs="Courier New" w:eastAsia="Courier New" w:hAnsi="Courier New"/>
          <w:sz w:val="18"/>
          <w:szCs w:val="18"/>
          <w:color w:val="auto"/>
        </w:rPr>
        <w:t>1994 and June 3, 1993, unless otherwise indicated. All tabular dollar amounts are stated in thousands.</w:t>
      </w:r>
    </w:p>
    <w:p>
      <w:pPr>
        <w:spacing w:after="0" w:line="51" w:lineRule="exact"/>
        <w:rPr>
          <w:sz w:val="20"/>
          <w:szCs w:val="20"/>
          <w:color w:val="auto"/>
        </w:rPr>
      </w:pPr>
    </w:p>
    <w:p>
      <w:pPr>
        <w:ind w:right="2199" w:firstLine="527"/>
        <w:spacing w:after="0" w:line="318" w:lineRule="auto"/>
        <w:rPr>
          <w:sz w:val="20"/>
          <w:szCs w:val="20"/>
          <w:color w:val="auto"/>
        </w:rPr>
      </w:pPr>
      <w:r>
        <w:rPr>
          <w:rFonts w:ascii="Courier New" w:cs="Courier New" w:eastAsia="Courier New" w:hAnsi="Courier New"/>
          <w:sz w:val="16"/>
          <w:szCs w:val="16"/>
          <w:color w:val="auto"/>
        </w:rPr>
        <w:t>Net sales for the third quarter of 1994 were $426 million, compared to net sales of $215 million for the same quarter a year ago. Net sales for the first nine months of 1994 totaled $1,137 million, compared to $522 million for the first nine months of 1993.</w:t>
      </w:r>
    </w:p>
    <w:p>
      <w:pPr>
        <w:spacing w:after="0" w:line="52" w:lineRule="exact"/>
        <w:rPr>
          <w:sz w:val="20"/>
          <w:szCs w:val="20"/>
          <w:color w:val="auto"/>
        </w:rPr>
      </w:pPr>
    </w:p>
    <w:p>
      <w:pPr>
        <w:ind w:right="2099" w:firstLine="527"/>
        <w:spacing w:after="0" w:line="256" w:lineRule="auto"/>
        <w:rPr>
          <w:sz w:val="20"/>
          <w:szCs w:val="20"/>
          <w:color w:val="auto"/>
        </w:rPr>
      </w:pPr>
      <w:r>
        <w:rPr>
          <w:rFonts w:ascii="Courier New" w:cs="Courier New" w:eastAsia="Courier New" w:hAnsi="Courier New"/>
          <w:sz w:val="18"/>
          <w:szCs w:val="18"/>
          <w:color w:val="auto"/>
        </w:rPr>
        <w:t>The company reported net income of $104 million, or $0.99 per fully diluted share, for the third quarter of 1994, and net income of $259 million, or $2.47 per fully diluted share for the first nine months of 1994. For the third quarter of 1993, the company reported net income of $29 million, or $0.29 per fully diluted share, and for the first nine months of 1993 reported net income of $41 million, or $0.41 per fully diluted share.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720" w:type="dxa"/>
            <w:vAlign w:val="bottom"/>
            <w:gridSpan w:val="2"/>
          </w:tcPr>
          <w:p>
            <w:pPr>
              <w:spacing w:after="0"/>
              <w:rPr>
                <w:sz w:val="20"/>
                <w:szCs w:val="20"/>
                <w:color w:val="auto"/>
              </w:rPr>
            </w:pPr>
            <w:r>
              <w:rPr>
                <w:rFonts w:ascii="Courier New" w:cs="Courier New" w:eastAsia="Courier New" w:hAnsi="Courier New"/>
                <w:sz w:val="18"/>
                <w:szCs w:val="18"/>
                <w:color w:val="auto"/>
              </w:rPr>
              <w:t>Results of Operations</w:t>
            </w:r>
          </w:p>
        </w:tc>
        <w:tc>
          <w:tcPr>
            <w:tcW w:w="17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420" w:type="dxa"/>
            <w:vAlign w:val="bottom"/>
          </w:tcPr>
          <w:p>
            <w:pPr>
              <w:spacing w:after="0"/>
              <w:rPr>
                <w:sz w:val="24"/>
                <w:szCs w:val="24"/>
                <w:color w:val="auto"/>
              </w:rPr>
            </w:pPr>
          </w:p>
        </w:tc>
        <w:tc>
          <w:tcPr>
            <w:tcW w:w="304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Third Quarter</w:t>
            </w:r>
          </w:p>
        </w:tc>
        <w:tc>
          <w:tcPr>
            <w:tcW w:w="2800" w:type="dxa"/>
            <w:vAlign w:val="bottom"/>
          </w:tcPr>
          <w:p>
            <w:pPr>
              <w:ind w:left="380"/>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300" w:type="dxa"/>
            <w:vAlign w:val="bottom"/>
            <w:vMerge w:val="restart"/>
          </w:tcPr>
          <w:p>
            <w:pPr>
              <w:ind w:left="46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1994</w:t>
            </w:r>
          </w:p>
        </w:tc>
        <w:tc>
          <w:tcPr>
            <w:tcW w:w="17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 Change  1993</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2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1994   % Change  1993</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304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8"/>
              </w:rPr>
              <w:t>------------------------</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300" w:type="dxa"/>
            <w:vAlign w:val="bottom"/>
          </w:tcPr>
          <w:p>
            <w:pPr>
              <w:ind w:left="460"/>
              <w:spacing w:after="0"/>
              <w:rPr>
                <w:sz w:val="20"/>
                <w:szCs w:val="20"/>
                <w:color w:val="auto"/>
              </w:rPr>
            </w:pPr>
            <w:r>
              <w:rPr>
                <w:rFonts w:ascii="Courier New" w:cs="Courier New" w:eastAsia="Courier New" w:hAnsi="Courier New"/>
                <w:sz w:val="18"/>
                <w:szCs w:val="18"/>
                <w:color w:val="auto"/>
                <w:w w:val="94"/>
              </w:rPr>
              <w:t>$426,392</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98.4% $214,926</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w w:val="98"/>
              </w:rPr>
              <w:t>$1,136,989 117.7% $522,304</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199" w:firstLine="527"/>
        <w:spacing w:after="0" w:line="256" w:lineRule="auto"/>
        <w:rPr>
          <w:sz w:val="20"/>
          <w:szCs w:val="20"/>
          <w:color w:val="auto"/>
        </w:rPr>
      </w:pPr>
      <w:r>
        <w:rPr>
          <w:rFonts w:ascii="Courier New" w:cs="Courier New" w:eastAsia="Courier New" w:hAnsi="Courier New"/>
          <w:sz w:val="18"/>
          <w:szCs w:val="18"/>
          <w:color w:val="auto"/>
        </w:rPr>
        <w:t>Net sales for the third quarter and first nine months of fiscal 1994 were significantly higher than for the comparable periods of 1993 principally due to favorable market conditions and higher volumes of semiconductor memory sold. Memory volumes were generally higher as a result of a combination of increased wafer output, improved yields, shrinks of existing products, and transitions to higher density memory products.</w:t>
      </w:r>
    </w:p>
    <w:p>
      <w:pPr>
        <w:spacing w:after="0" w:line="98" w:lineRule="exact"/>
        <w:rPr>
          <w:sz w:val="20"/>
          <w:szCs w:val="20"/>
          <w:color w:val="auto"/>
        </w:rPr>
      </w:pPr>
    </w:p>
    <w:p>
      <w:pPr>
        <w:ind w:right="2099" w:firstLine="527"/>
        <w:spacing w:after="0" w:line="249" w:lineRule="auto"/>
        <w:rPr>
          <w:sz w:val="20"/>
          <w:szCs w:val="20"/>
          <w:color w:val="auto"/>
        </w:rPr>
      </w:pPr>
      <w:r>
        <w:rPr>
          <w:rFonts w:ascii="Courier New" w:cs="Courier New" w:eastAsia="Courier New" w:hAnsi="Courier New"/>
          <w:sz w:val="18"/>
          <w:szCs w:val="18"/>
          <w:color w:val="auto"/>
        </w:rPr>
        <w:t>The company has benefited from supply and demand relationships resulting in relatively stable product pricing for approximately the past two years. Pricing per megabit for DRAM products has historically declined approximately 30% per year on a long-term trend line. The company's net sales would have been substantially lower had actual average selling prices followed the long-term trend line in the third quarter and first nine months of 1994. Several competitors, both foreign and domestic, are reportedly adding significant semiconductor manufacturing capacity. Excess supply would cause a rapid fall in product pricing to, or below, the long-term declining trend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359"/>
          </w:cols>
          <w:pgMar w:left="1100" w:top="1096" w:right="1440" w:bottom="1440" w:gutter="0" w:footer="0" w:header="0"/>
        </w:sectPr>
      </w:pPr>
    </w:p>
    <w:bookmarkStart w:id="11" w:name="page12"/>
    <w:bookmarkEnd w:id="11"/>
    <w:p>
      <w:pPr>
        <w:ind w:right="2099" w:firstLine="527"/>
        <w:spacing w:after="0" w:line="249" w:lineRule="auto"/>
        <w:rPr>
          <w:sz w:val="20"/>
          <w:szCs w:val="20"/>
          <w:color w:val="auto"/>
        </w:rPr>
      </w:pPr>
      <w:r>
        <w:rPr>
          <w:rFonts w:ascii="Courier New" w:cs="Courier New" w:eastAsia="Courier New" w:hAnsi="Courier New"/>
          <w:sz w:val="18"/>
          <w:szCs w:val="18"/>
          <w:color w:val="auto"/>
        </w:rPr>
        <w:t>The company's principal product for the first nine months of 1994 was the 4 Meg DRAM. Volumes for specialty DRAMs decreased in the third quarter and first nine months of 1994 compared to the corresponding periods of 1993 as the company dedicated more production resources to the 4 Meg DRAM. SRAM net sales were higher in both the third quarter and first nine months of 1994 as compared to the corresponding periods of 1993, but declined as a percentage of total net sales to approximately 7% and 8% for the third quarter and first nine months of 1994, respectively. SRAM net sales for the third quarter and first nine months of 1993 were 14% and 16% of total net sales, respectively.</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26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Third Quarter</w:t>
            </w:r>
          </w:p>
        </w:tc>
        <w:tc>
          <w:tcPr>
            <w:tcW w:w="2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00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00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Change  1993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Change  1993</w:t>
            </w:r>
          </w:p>
        </w:tc>
      </w:tr>
      <w:tr>
        <w:trPr>
          <w:trHeight w:val="296"/>
        </w:trPr>
        <w:tc>
          <w:tcPr>
            <w:tcW w:w="2000" w:type="dxa"/>
            <w:vAlign w:val="bottom"/>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$206,967</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56.4% $132,323</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$577,660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63.3% $353,836</w:t>
            </w:r>
          </w:p>
        </w:tc>
      </w:t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rPr>
              <w:t>Gross margin %</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51.5%</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38.4%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49.2%</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32.3%</w:t>
            </w:r>
          </w:p>
        </w:tc>
      </w:tr>
    </w:tbl>
    <w:p>
      <w:pPr>
        <w:spacing w:after="0" w:line="200" w:lineRule="exact"/>
        <w:rPr>
          <w:sz w:val="20"/>
          <w:szCs w:val="20"/>
          <w:color w:val="auto"/>
        </w:rPr>
      </w:pPr>
    </w:p>
    <w:p>
      <w:pPr>
        <w:spacing w:after="0" w:line="314"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The company's overall gross margin percentage improved significantly for both the third quarter and first nine months of 1994 compared to the corresponding periods of 1993 due to relatively stable average selling prices and reductions in cost per unit of memory sold for DRAM products. Reductions in cost per unit sold were realized primarily from a combination of increased wafer output, yield improvements, die shrinks, and transition to higher density memory products.</w:t>
      </w:r>
    </w:p>
    <w:p>
      <w:pPr>
        <w:spacing w:after="0" w:line="1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The company has been producing a limited quantity of 400 mil 16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Meg DRAMs for internal qualification and customer sampling purposes.</w:t>
      </w:r>
    </w:p>
    <w:p>
      <w:pPr>
        <w:spacing w:after="0" w:line="238" w:lineRule="auto"/>
        <w:rPr>
          <w:sz w:val="20"/>
          <w:szCs w:val="20"/>
          <w:color w:val="auto"/>
        </w:rPr>
      </w:pPr>
      <w:r>
        <w:rPr>
          <w:rFonts w:ascii="Courier New" w:cs="Courier New" w:eastAsia="Courier New" w:hAnsi="Courier New"/>
          <w:sz w:val="18"/>
          <w:szCs w:val="18"/>
          <w:color w:val="auto"/>
        </w:rPr>
        <w:t>No major customer sales in large quantities have occurred to date.</w:t>
      </w:r>
    </w:p>
    <w:p>
      <w:pPr>
        <w:spacing w:after="0"/>
        <w:rPr>
          <w:sz w:val="20"/>
          <w:szCs w:val="20"/>
          <w:color w:val="auto"/>
        </w:rPr>
      </w:pPr>
      <w:r>
        <w:rPr>
          <w:rFonts w:ascii="Courier New" w:cs="Courier New" w:eastAsia="Courier New" w:hAnsi="Courier New"/>
          <w:sz w:val="18"/>
          <w:szCs w:val="18"/>
          <w:color w:val="auto"/>
        </w:rPr>
        <w:t>The company continues to develop a reduced die size 16 Meg DRAM in</w:t>
      </w:r>
    </w:p>
    <w:p>
      <w:pPr>
        <w:spacing w:after="0"/>
        <w:rPr>
          <w:sz w:val="20"/>
          <w:szCs w:val="20"/>
          <w:color w:val="auto"/>
        </w:rPr>
      </w:pPr>
      <w:r>
        <w:rPr>
          <w:rFonts w:ascii="Courier New" w:cs="Courier New" w:eastAsia="Courier New" w:hAnsi="Courier New"/>
          <w:sz w:val="16"/>
          <w:szCs w:val="16"/>
          <w:color w:val="auto"/>
        </w:rPr>
        <w:t>a 300 mil package which is expected to be the preferred market package.</w:t>
      </w:r>
    </w:p>
    <w:p>
      <w:pPr>
        <w:spacing w:after="0" w:line="2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Due to currently lower manufacturing yields associated with the 16 Meg DRAM as compared to the company's more mature products, a rapid transition to the 16 Meg DRAM as the industry's primary product without significant improvement in the company's manufacturing yields would have a negative impact on the results of operations.</w:t>
      </w:r>
    </w:p>
    <w:p>
      <w:pPr>
        <w:spacing w:after="0" w:line="96" w:lineRule="exact"/>
        <w:rPr>
          <w:sz w:val="20"/>
          <w:szCs w:val="20"/>
          <w:color w:val="auto"/>
        </w:rPr>
      </w:pPr>
    </w:p>
    <w:p>
      <w:pPr>
        <w:ind w:right="2199" w:firstLine="527"/>
        <w:spacing w:after="0" w:line="256" w:lineRule="auto"/>
        <w:rPr>
          <w:sz w:val="20"/>
          <w:szCs w:val="20"/>
          <w:color w:val="auto"/>
        </w:rPr>
      </w:pPr>
      <w:r>
        <w:rPr>
          <w:rFonts w:ascii="Courier New" w:cs="Courier New" w:eastAsia="Courier New" w:hAnsi="Courier New"/>
          <w:sz w:val="18"/>
          <w:szCs w:val="18"/>
          <w:color w:val="auto"/>
        </w:rPr>
        <w:t>Sales of personal computers accounted for approximately 6% and 7% of total net sales for the third quarter and first nine months of 1994, respectively. Gross margin percentages for personal computer sales are substantially lower than for the company's other products. Should sales of personal computers increase as a percentage of total net sales, the company's overall gross margin percentage would decrease.</w:t>
      </w:r>
    </w:p>
    <w:p>
      <w:pPr>
        <w:spacing w:after="0" w:line="98" w:lineRule="exact"/>
        <w:rPr>
          <w:sz w:val="20"/>
          <w:szCs w:val="20"/>
          <w:color w:val="auto"/>
        </w:rPr>
      </w:pPr>
    </w:p>
    <w:p>
      <w:pPr>
        <w:ind w:right="2099" w:firstLine="527"/>
        <w:spacing w:after="0" w:line="289" w:lineRule="auto"/>
        <w:rPr>
          <w:sz w:val="20"/>
          <w:szCs w:val="20"/>
          <w:color w:val="auto"/>
        </w:rPr>
      </w:pPr>
      <w:r>
        <w:rPr>
          <w:rFonts w:ascii="Courier New" w:cs="Courier New" w:eastAsia="Courier New" w:hAnsi="Courier New"/>
          <w:sz w:val="16"/>
          <w:szCs w:val="16"/>
          <w:color w:val="auto"/>
        </w:rPr>
        <w:t>Cost of goods sold includes estimated costs of settlement or adjudication of asserted and unasserted claims for patent infringement prior to the balance sheet date, and costs of product and process technology licensing arrangements. The charges for product and process technology have remained relatively constant as a percentage of net sales across all periods presented. Future product and process technology charges may increase, however, as a result of claims that may be asserted in the future. See "Certain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359"/>
          </w:cols>
          <w:pgMar w:left="1100" w:top="1298" w:right="1440" w:bottom="1440" w:gutter="0" w:footer="0" w:header="0"/>
        </w:sectPr>
      </w:pPr>
    </w:p>
    <w:bookmarkStart w:id="12" w:name="page13"/>
    <w:bookmarkEnd w:id="12"/>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40" w:type="dxa"/>
            <w:vAlign w:val="bottom"/>
          </w:tcPr>
          <w:p>
            <w:pPr>
              <w:spacing w:after="0"/>
              <w:rPr>
                <w:sz w:val="17"/>
                <w:szCs w:val="17"/>
                <w:color w:val="auto"/>
              </w:rPr>
            </w:pPr>
          </w:p>
        </w:tc>
        <w:tc>
          <w:tcPr>
            <w:tcW w:w="2640" w:type="dxa"/>
            <w:vAlign w:val="bottom"/>
            <w:gridSpan w:val="3"/>
          </w:tcPr>
          <w:p>
            <w:pPr>
              <w:jc w:val="center"/>
              <w:ind w:left="27"/>
              <w:spacing w:after="0"/>
              <w:rPr>
                <w:sz w:val="20"/>
                <w:szCs w:val="20"/>
                <w:color w:val="auto"/>
              </w:rPr>
            </w:pPr>
            <w:r>
              <w:rPr>
                <w:rFonts w:ascii="Courier New" w:cs="Courier New" w:eastAsia="Courier New" w:hAnsi="Courier New"/>
                <w:sz w:val="18"/>
                <w:szCs w:val="18"/>
                <w:color w:val="auto"/>
                <w:w w:val="98"/>
              </w:rPr>
              <w:t>Third Quarter</w:t>
            </w:r>
          </w:p>
        </w:tc>
        <w:tc>
          <w:tcPr>
            <w:tcW w:w="2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1994</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 Change</w:t>
            </w:r>
          </w:p>
        </w:tc>
        <w:tc>
          <w:tcPr>
            <w:tcW w:w="8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Change  1993</w:t>
            </w:r>
          </w:p>
        </w:tc>
        <w:tc>
          <w:tcPr>
            <w:tcW w:w="0" w:type="dxa"/>
            <w:vAlign w:val="bottom"/>
          </w:tcPr>
          <w:p>
            <w:pPr>
              <w:spacing w:after="0"/>
              <w:rPr>
                <w:sz w:val="1"/>
                <w:szCs w:val="1"/>
                <w:color w:val="auto"/>
              </w:rPr>
            </w:pPr>
          </w:p>
        </w:tc>
      </w:tr>
      <w:tr>
        <w:trPr>
          <w:trHeight w:val="296"/>
        </w:trPr>
        <w:tc>
          <w:tcPr>
            <w:tcW w:w="204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840" w:type="dxa"/>
            <w:vAlign w:val="bottom"/>
          </w:tcPr>
          <w:p>
            <w:pPr>
              <w:spacing w:after="0"/>
              <w:rPr>
                <w:sz w:val="24"/>
                <w:szCs w:val="2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2040" w:type="dxa"/>
            <w:vAlign w:val="bottom"/>
          </w:tcPr>
          <w:p>
            <w:pPr>
              <w:spacing w:after="0"/>
              <w:rPr>
                <w:sz w:val="20"/>
                <w:szCs w:val="20"/>
                <w:color w:val="auto"/>
              </w:rPr>
            </w:pPr>
            <w:r>
              <w:rPr>
                <w:rFonts w:ascii="Courier New" w:cs="Courier New" w:eastAsia="Courier New" w:hAnsi="Courier New"/>
                <w:sz w:val="18"/>
                <w:szCs w:val="18"/>
                <w:color w:val="auto"/>
              </w:rPr>
              <w:t>Selling, general,</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$ 35,773</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69.9%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$21,061</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$102,958</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69.0% $ 60,906</w:t>
            </w:r>
          </w:p>
        </w:tc>
        <w:tc>
          <w:tcPr>
            <w:tcW w:w="0" w:type="dxa"/>
            <w:vAlign w:val="bottom"/>
          </w:tcPr>
          <w:p>
            <w:pPr>
              <w:spacing w:after="0"/>
              <w:rPr>
                <w:sz w:val="1"/>
                <w:szCs w:val="1"/>
                <w:color w:val="auto"/>
              </w:rPr>
            </w:pP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9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40" w:type="dxa"/>
            <w:vAlign w:val="bottom"/>
          </w:tcPr>
          <w:p>
            <w:pPr>
              <w:spacing w:after="0"/>
              <w:rPr>
                <w:sz w:val="20"/>
                <w:szCs w:val="20"/>
                <w:color w:val="auto"/>
              </w:rPr>
            </w:pPr>
            <w:r>
              <w:rPr>
                <w:rFonts w:ascii="Courier New" w:cs="Courier New" w:eastAsia="Courier New" w:hAnsi="Courier New"/>
                <w:sz w:val="18"/>
                <w:szCs w:val="18"/>
                <w:color w:val="auto"/>
                <w:w w:val="98"/>
              </w:rPr>
              <w:t>as a % of net sales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8.4%</w:t>
            </w:r>
          </w:p>
        </w:tc>
        <w:tc>
          <w:tcPr>
            <w:tcW w:w="9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9.1%</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11.7%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527"/>
        <w:spacing w:after="0" w:line="247" w:lineRule="auto"/>
        <w:rPr>
          <w:sz w:val="20"/>
          <w:szCs w:val="20"/>
          <w:color w:val="auto"/>
        </w:rPr>
      </w:pPr>
      <w:r>
        <w:rPr>
          <w:rFonts w:ascii="Courier New" w:cs="Courier New" w:eastAsia="Courier New" w:hAnsi="Courier New"/>
          <w:sz w:val="18"/>
          <w:szCs w:val="18"/>
          <w:color w:val="auto"/>
        </w:rPr>
        <w:t>Selling, general, and administrative expenses increased significantly in the third quarter and first nine months of 1994 over the comparable periods of 1993, primarily as a result of higher personnel costs. The higher personnel costs were primarily due to the company's employee compensation program which provides incentives relating directly to the financial performance of the company. Also contributing to the increase in selling, general, and administrative expense for the first nine months of 1994 compared to the first nine months of 1993 were increased costs incurred in conjunction with the company's action before the International Trade Commission and patent litigation, each of which have since been settled, increased sales commissions based on a higher level of net sales, and a higher level of state sales tax.</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40" w:type="dxa"/>
            <w:vAlign w:val="bottom"/>
          </w:tcPr>
          <w:p>
            <w:pPr>
              <w:spacing w:after="0"/>
              <w:rPr>
                <w:sz w:val="17"/>
                <w:szCs w:val="17"/>
                <w:color w:val="auto"/>
              </w:rPr>
            </w:pPr>
          </w:p>
        </w:tc>
        <w:tc>
          <w:tcPr>
            <w:tcW w:w="26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Third Quarter</w:t>
            </w:r>
          </w:p>
        </w:tc>
        <w:tc>
          <w:tcPr>
            <w:tcW w:w="2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1994</w:t>
            </w:r>
          </w:p>
        </w:tc>
        <w:tc>
          <w:tcPr>
            <w:tcW w:w="17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 Change  1993</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Change  1993</w:t>
            </w:r>
          </w:p>
        </w:tc>
        <w:tc>
          <w:tcPr>
            <w:tcW w:w="0" w:type="dxa"/>
            <w:vAlign w:val="bottom"/>
          </w:tcPr>
          <w:p>
            <w:pPr>
              <w:spacing w:after="0"/>
              <w:rPr>
                <w:sz w:val="1"/>
                <w:szCs w:val="1"/>
                <w:color w:val="auto"/>
              </w:rPr>
            </w:pPr>
          </w:p>
        </w:tc>
      </w:tr>
      <w:tr>
        <w:trPr>
          <w:trHeight w:val="296"/>
        </w:trPr>
        <w:tc>
          <w:tcPr>
            <w:tcW w:w="204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2040" w:type="dxa"/>
            <w:vAlign w:val="bottom"/>
          </w:tcPr>
          <w:p>
            <w:pPr>
              <w:spacing w:after="0"/>
              <w:rPr>
                <w:sz w:val="20"/>
                <w:szCs w:val="20"/>
                <w:color w:val="auto"/>
              </w:rPr>
            </w:pPr>
            <w:r>
              <w:rPr>
                <w:rFonts w:ascii="Courier New" w:cs="Courier New" w:eastAsia="Courier New" w:hAnsi="Courier New"/>
                <w:sz w:val="18"/>
                <w:szCs w:val="18"/>
                <w:color w:val="auto"/>
              </w:rPr>
              <w:t>Research and</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$ 22,933</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56.2% $ 14,685</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$ 55,981</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39.3% $ 40,181</w:t>
            </w:r>
          </w:p>
        </w:tc>
        <w:tc>
          <w:tcPr>
            <w:tcW w:w="0" w:type="dxa"/>
            <w:vAlign w:val="bottom"/>
          </w:tcPr>
          <w:p>
            <w:pPr>
              <w:spacing w:after="0"/>
              <w:rPr>
                <w:sz w:val="1"/>
                <w:szCs w:val="1"/>
                <w:color w:val="auto"/>
              </w:rPr>
            </w:pPr>
          </w:p>
        </w:tc>
      </w:tr>
      <w:tr>
        <w:trPr>
          <w:trHeight w:val="203"/>
        </w:trPr>
        <w:tc>
          <w:tcPr>
            <w:tcW w:w="2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development</w:t>
            </w:r>
          </w:p>
        </w:tc>
        <w:tc>
          <w:tcPr>
            <w:tcW w:w="90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40" w:type="dxa"/>
            <w:vAlign w:val="bottom"/>
          </w:tcPr>
          <w:p>
            <w:pPr>
              <w:spacing w:after="0"/>
              <w:rPr>
                <w:sz w:val="20"/>
                <w:szCs w:val="20"/>
                <w:color w:val="auto"/>
              </w:rPr>
            </w:pPr>
            <w:r>
              <w:rPr>
                <w:rFonts w:ascii="Courier New" w:cs="Courier New" w:eastAsia="Courier New" w:hAnsi="Courier New"/>
                <w:sz w:val="18"/>
                <w:szCs w:val="18"/>
                <w:color w:val="auto"/>
                <w:w w:val="98"/>
              </w:rPr>
              <w:t>as a % of net sales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5.4%</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6.8%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7.7%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Research and development expenses, which vary primarily with the number of wafers and personnel dedicated to new product and process development, were higher, but decreased as a percentage of net sales, for the third quarter and first nine months of 1994 compared to the corresponding periods of 1993. Efforts in the current quarter were focused primarily on development of the 16 Meg DRAM, and design and development of the 64 Meg DRAM and the 4 Meg and 16 Meg SRAMs. Development of VRAMs beyond the company's current 2 Meg generation has been terminated as the company pursues more cost-effective alternatives for graphics applications. The company expects research and development expense for fiscal 1994 to be significantly higher than fiscal 1993 as additional resources are dedicated to development of the 16 Meg DRAM shrink and design and development of the 64 Meg</w:t>
      </w:r>
    </w:p>
    <w:p>
      <w:pPr>
        <w:spacing w:after="0" w:line="5" w:lineRule="exact"/>
        <w:rPr>
          <w:sz w:val="20"/>
          <w:szCs w:val="20"/>
          <w:color w:val="auto"/>
        </w:rPr>
      </w:pPr>
    </w:p>
    <w:p>
      <w:pPr>
        <w:ind w:right="1879"/>
        <w:spacing w:after="0" w:line="323" w:lineRule="auto"/>
        <w:rPr>
          <w:sz w:val="20"/>
          <w:szCs w:val="20"/>
          <w:color w:val="auto"/>
        </w:rPr>
      </w:pPr>
      <w:r>
        <w:rPr>
          <w:rFonts w:ascii="Courier New" w:cs="Courier New" w:eastAsia="Courier New" w:hAnsi="Courier New"/>
          <w:sz w:val="16"/>
          <w:szCs w:val="16"/>
          <w:color w:val="auto"/>
        </w:rPr>
        <w:t>and 256 Meg DRAMs as well as design and development of new technologies including radio frequency identification products, non-volatile semiconductor memory devices, and field emission flat panel displays.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306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Third Quarter</w:t>
            </w:r>
          </w:p>
        </w:tc>
        <w:tc>
          <w:tcPr>
            <w:tcW w:w="25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320" w:type="dxa"/>
            <w:vAlign w:val="bottom"/>
            <w:vMerge w:val="restart"/>
          </w:tcPr>
          <w:p>
            <w:pPr>
              <w:ind w:left="48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1994</w:t>
            </w:r>
          </w:p>
        </w:tc>
        <w:tc>
          <w:tcPr>
            <w:tcW w:w="17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 Change  1993</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Change</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30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8"/>
              </w:rPr>
              <w:t>------------------------</w:t>
            </w:r>
          </w:p>
        </w:tc>
        <w:tc>
          <w:tcPr>
            <w:tcW w:w="25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0"/>
                <w:szCs w:val="20"/>
                <w:color w:val="auto"/>
              </w:rPr>
            </w:pPr>
            <w:r>
              <w:rPr>
                <w:rFonts w:ascii="Courier New" w:cs="Courier New" w:eastAsia="Courier New" w:hAnsi="Courier New"/>
                <w:sz w:val="18"/>
                <w:szCs w:val="18"/>
                <w:color w:val="auto"/>
              </w:rPr>
              <w:t>Income tax</w:t>
            </w:r>
          </w:p>
        </w:tc>
        <w:tc>
          <w:tcPr>
            <w:tcW w:w="1320" w:type="dxa"/>
            <w:vAlign w:val="bottom"/>
            <w:vMerge w:val="restart"/>
          </w:tcPr>
          <w:p>
            <w:pPr>
              <w:ind w:left="480"/>
              <w:spacing w:after="0"/>
              <w:rPr>
                <w:sz w:val="20"/>
                <w:szCs w:val="20"/>
                <w:color w:val="auto"/>
              </w:rPr>
            </w:pPr>
            <w:r>
              <w:rPr>
                <w:rFonts w:ascii="Courier New" w:cs="Courier New" w:eastAsia="Courier New" w:hAnsi="Courier New"/>
                <w:sz w:val="18"/>
                <w:szCs w:val="18"/>
                <w:color w:val="auto"/>
                <w:w w:val="94"/>
              </w:rPr>
              <w:t>$ 58,685</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254% $ 16,589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$145,484</w:t>
            </w:r>
          </w:p>
        </w:tc>
        <w:tc>
          <w:tcPr>
            <w:tcW w:w="88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527%</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$23,188</w:t>
            </w:r>
          </w:p>
        </w:tc>
        <w:tc>
          <w:tcPr>
            <w:tcW w:w="0" w:type="dxa"/>
            <w:vAlign w:val="bottom"/>
          </w:tcPr>
          <w:p>
            <w:pPr>
              <w:spacing w:after="0"/>
              <w:rPr>
                <w:sz w:val="1"/>
                <w:szCs w:val="1"/>
                <w:color w:val="auto"/>
              </w:rPr>
            </w:pPr>
          </w:p>
        </w:tc>
      </w:tr>
      <w:tr>
        <w:trPr>
          <w:trHeight w:val="296"/>
        </w:trPr>
        <w:tc>
          <w:tcPr>
            <w:tcW w:w="1620" w:type="dxa"/>
            <w:vAlign w:val="bottom"/>
          </w:tcPr>
          <w:p>
            <w:pPr>
              <w:ind w:left="200"/>
              <w:spacing w:after="0"/>
              <w:rPr>
                <w:sz w:val="20"/>
                <w:szCs w:val="20"/>
                <w:color w:val="auto"/>
              </w:rPr>
            </w:pPr>
            <w:r>
              <w:rPr>
                <w:rFonts w:ascii="Courier New" w:cs="Courier New" w:eastAsia="Courier New" w:hAnsi="Courier New"/>
                <w:sz w:val="18"/>
                <w:szCs w:val="18"/>
                <w:color w:val="auto"/>
              </w:rPr>
              <w:t>provision</w:t>
            </w:r>
          </w:p>
        </w:tc>
        <w:tc>
          <w:tcPr>
            <w:tcW w:w="132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Effective September 3, 1993, the company adopted Statement of Financial Accounting Standards (SFAS) No. 109, "Accounting for Income Taxes." Adoption of SFAS No. 109 did not have a material effect on the company's financial position or results of operations. The effective tax rate for the third quarter and first nine months of 1994 and 1993 was 36%.</w:t>
      </w:r>
    </w:p>
    <w:p>
      <w:pPr>
        <w:sectPr>
          <w:pgSz w:w="11900" w:h="16838" w:orient="portrait"/>
          <w:cols w:equalWidth="0" w:num="1">
            <w:col w:w="9359"/>
          </w:cols>
          <w:pgMar w:left="1100" w:top="1440" w:right="1440" w:bottom="0" w:gutter="0" w:footer="0" w:header="0"/>
        </w:sectPr>
      </w:pPr>
    </w:p>
    <w:bookmarkStart w:id="13" w:name="page14"/>
    <w:bookmarkEnd w:id="13"/>
    <w:p>
      <w:pPr>
        <w:ind w:left="32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51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2199" w:firstLine="527"/>
        <w:spacing w:after="0" w:line="281" w:lineRule="auto"/>
        <w:rPr>
          <w:sz w:val="20"/>
          <w:szCs w:val="20"/>
          <w:color w:val="auto"/>
        </w:rPr>
      </w:pPr>
      <w:r>
        <w:rPr>
          <w:rFonts w:ascii="Courier New" w:cs="Courier New" w:eastAsia="Courier New" w:hAnsi="Courier New"/>
          <w:sz w:val="16"/>
          <w:szCs w:val="16"/>
          <w:color w:val="auto"/>
        </w:rPr>
        <w:t>The company had cash and liquid investments of $366 million as of June 2, 1994, representing an increase of $180 million during the first nine months of 1994. The company's principal sources of liquidity during the first nine months of 1994 were cash flows from operations of $390 million, issuance of long-term debt of $117 million, equipment financing of $87 million, and proceeds of $10 million from the issuance of common stock in connection with the company's employee stock purchase and stock option plans. The principal uses of funds in the first nine months of 1994 were $177 million for property, plant, and equipment, $94 million for repayments of equipment contracts, $41 million for payments on long-term debt, $18 million for acquisition of product and process technology, and $7 million for payments of cash dividends.</w:t>
      </w:r>
    </w:p>
    <w:p>
      <w:pPr>
        <w:spacing w:after="0" w:line="290" w:lineRule="exact"/>
        <w:rPr>
          <w:sz w:val="20"/>
          <w:szCs w:val="20"/>
          <w:color w:val="auto"/>
        </w:rPr>
      </w:pPr>
    </w:p>
    <w:p>
      <w:pPr>
        <w:ind w:right="2099" w:firstLine="527"/>
        <w:spacing w:after="0" w:line="285" w:lineRule="auto"/>
        <w:rPr>
          <w:sz w:val="20"/>
          <w:szCs w:val="20"/>
          <w:color w:val="auto"/>
        </w:rPr>
      </w:pPr>
      <w:r>
        <w:rPr>
          <w:rFonts w:ascii="Courier New" w:cs="Courier New" w:eastAsia="Courier New" w:hAnsi="Courier New"/>
          <w:sz w:val="16"/>
          <w:szCs w:val="16"/>
          <w:color w:val="auto"/>
        </w:rPr>
        <w:t>As of June 2, 1994, the company had commitments of approximately $219 million for equipment purchases and approximately $82 million for the construction of buildings. Anticipated capital expenditures include remodels and upgrades of existing fabrication facilities and equipment, and the construction of a central ion implant facility, a new developmental wafer fabrication facility, and an additional central utilities plant. Completion of these and future projects as currently anticipated will require substantial cash resources including significant payments out of the company's cash flow from operations through the upcoming fiscal year.</w:t>
      </w:r>
    </w:p>
    <w:p>
      <w:pPr>
        <w:spacing w:after="0" w:line="291" w:lineRule="exact"/>
        <w:rPr>
          <w:sz w:val="20"/>
          <w:szCs w:val="20"/>
          <w:color w:val="auto"/>
        </w:rPr>
      </w:pPr>
    </w:p>
    <w:p>
      <w:pPr>
        <w:ind w:right="2199" w:firstLine="527"/>
        <w:spacing w:after="0" w:line="253" w:lineRule="auto"/>
        <w:rPr>
          <w:sz w:val="20"/>
          <w:szCs w:val="20"/>
          <w:color w:val="auto"/>
        </w:rPr>
      </w:pPr>
      <w:r>
        <w:rPr>
          <w:rFonts w:ascii="Courier New" w:cs="Courier New" w:eastAsia="Courier New" w:hAnsi="Courier New"/>
          <w:sz w:val="18"/>
          <w:szCs w:val="18"/>
          <w:color w:val="auto"/>
        </w:rPr>
        <w:t>The company's bank credit agreement provides for borrowings of up to $120 million under a revolving loan expiring January 1997. Substantially all of the tangible assets of the company's semiconductor memory operations not otherwise pledged as collateral for other notes payable and capital leases are pledged as collateral under the agreement. The agreement contains certain financial covenants. As of June 2, 1994, the company had no borrowings outstanding under the agreement.</w:t>
      </w:r>
    </w:p>
    <w:p>
      <w:pPr>
        <w:spacing w:after="0" w:line="104" w:lineRule="exact"/>
        <w:rPr>
          <w:sz w:val="20"/>
          <w:szCs w:val="20"/>
          <w:color w:val="auto"/>
        </w:rPr>
      </w:pPr>
    </w:p>
    <w:p>
      <w:pPr>
        <w:ind w:right="2199" w:firstLine="527"/>
        <w:spacing w:after="0" w:line="282" w:lineRule="auto"/>
        <w:rPr>
          <w:sz w:val="20"/>
          <w:szCs w:val="20"/>
          <w:color w:val="auto"/>
        </w:rPr>
      </w:pPr>
      <w:r>
        <w:rPr>
          <w:rFonts w:ascii="Courier New" w:cs="Courier New" w:eastAsia="Courier New" w:hAnsi="Courier New"/>
          <w:sz w:val="16"/>
          <w:szCs w:val="16"/>
          <w:color w:val="auto"/>
        </w:rPr>
        <w:t>The company believes continuing investments in manufacturing technology, capital equipment, research and development, and product and process technology are necessary to support future growth, achieve operating efficiencies, and maintain product quality. Although external sources of cash have been required historically to supplement the company's cash flows from operations to fund these ongoing investments, the company currently expects that it will be able to fund its near-term liquidity needs through cash flows from operations, existing cash and liquid investment balances, and equipment financings. Depending on overall market conditions, the company may borrow amounts available under the bank credit agreement or pursue other external sources of liquidity.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1"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as evidenced by significantly fluctuating product pricing. These circumstances historically have made the semiconductor industry highly cyclical,</w:t>
      </w:r>
    </w:p>
    <w:p>
      <w:pPr>
        <w:spacing w:after="0" w:line="9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359"/>
          </w:cols>
          <w:pgMar w:left="1100" w:top="1096" w:right="1440" w:bottom="1440" w:gutter="0" w:footer="0" w:header="0"/>
        </w:sectPr>
      </w:pPr>
    </w:p>
    <w:bookmarkStart w:id="15" w:name="page16"/>
    <w:bookmarkEnd w:id="15"/>
    <w:p>
      <w:pPr>
        <w:jc w:val="both"/>
        <w:ind w:right="2099"/>
        <w:spacing w:after="0" w:line="282" w:lineRule="auto"/>
        <w:rPr>
          <w:sz w:val="20"/>
          <w:szCs w:val="20"/>
          <w:color w:val="auto"/>
        </w:rPr>
      </w:pPr>
      <w:r>
        <w:rPr>
          <w:rFonts w:ascii="Courier New" w:cs="Courier New" w:eastAsia="Courier New" w:hAnsi="Courier New"/>
          <w:sz w:val="16"/>
          <w:szCs w:val="16"/>
          <w:color w:val="auto"/>
        </w:rPr>
        <w:t>particularly in the market for DRAMs, which are the company's primary products. The company has recently benefited from supply and demand relationships resulting in relatively stable product pricing.</w:t>
      </w:r>
    </w:p>
    <w:p>
      <w:pPr>
        <w:spacing w:after="0" w:line="1" w:lineRule="exact"/>
        <w:rPr>
          <w:sz w:val="20"/>
          <w:szCs w:val="20"/>
          <w:color w:val="auto"/>
        </w:rPr>
      </w:pPr>
    </w:p>
    <w:p>
      <w:pPr>
        <w:ind w:right="2099"/>
        <w:spacing w:after="0" w:line="243" w:lineRule="auto"/>
        <w:rPr>
          <w:sz w:val="20"/>
          <w:szCs w:val="20"/>
          <w:color w:val="auto"/>
        </w:rPr>
      </w:pPr>
      <w:r>
        <w:rPr>
          <w:rFonts w:ascii="Courier New" w:cs="Courier New" w:eastAsia="Courier New" w:hAnsi="Courier New"/>
          <w:sz w:val="18"/>
          <w:szCs w:val="18"/>
          <w:color w:val="auto"/>
        </w:rPr>
        <w:t>However, the company expects product pricing to return to the long-term historical declining trend line at some point in the future. The company experiences intense competition from a number of substantially larger foreign and domestic companies, which are reportedly adding significant semiconductor manufacturing capacity. Several of these new facilities use 8-inch wafers which contain greater than 70% more surface area than the company's exclusively used 6-inch wafer facility. Use of 8-inch wafers could result in a comparative cost advantage. A substantial increase in overall industry production capacity, adverse market conditions, and currency fluctuations resulting in a strengthening dollar against the yen, could result in downward pricing pressure. A decline in the current favorable product pricing could have a material adverse effect on the company's results of operations. Historically, severe downward movements in product pricing have resulted in decreases in the market value for the company's stock.</w:t>
      </w:r>
    </w:p>
    <w:p>
      <w:pPr>
        <w:spacing w:after="0" w:line="109" w:lineRule="exact"/>
        <w:rPr>
          <w:sz w:val="20"/>
          <w:szCs w:val="20"/>
          <w:color w:val="auto"/>
        </w:rPr>
      </w:pPr>
    </w:p>
    <w:p>
      <w:pPr>
        <w:ind w:right="2099" w:firstLine="527"/>
        <w:spacing w:after="0" w:line="246" w:lineRule="auto"/>
        <w:rPr>
          <w:sz w:val="20"/>
          <w:szCs w:val="20"/>
          <w:color w:val="auto"/>
        </w:rPr>
      </w:pPr>
      <w:r>
        <w:rPr>
          <w:rFonts w:ascii="Courier New" w:cs="Courier New" w:eastAsia="Courier New" w:hAnsi="Courier New"/>
          <w:sz w:val="18"/>
          <w:szCs w:val="18"/>
          <w:color w:val="auto"/>
        </w:rPr>
        <w:t>The manufacture of the company's products is a complex process and involves a number of precise steps, including wafer fabrication, assembly in a variety of packages, burn-in, and final test. From time to time, the company has experienced volatility in its manufacturing yields, as it is not unusual to encounter difficulties in ramping shrink versions of existing devices or new generation devices to commercial volumes. The company continues to develop a reduced die size 16 Meg DRAM in a 300 mil package which is expected to be the preferred market package. The company's net sales and operating results are highly dependent on increasing yields at an acceptable rate and to an acceptable level, of which there can be no assurance. Future results of operations may be adversely impacted if the company is unable to transition to future generation products in a timely fashion or at gross margin rates comparable to the company's current primary products.</w:t>
      </w:r>
    </w:p>
    <w:p>
      <w:pPr>
        <w:spacing w:after="0" w:line="106" w:lineRule="exact"/>
        <w:rPr>
          <w:sz w:val="20"/>
          <w:szCs w:val="20"/>
          <w:color w:val="auto"/>
        </w:rPr>
      </w:pPr>
    </w:p>
    <w:p>
      <w:pPr>
        <w:ind w:right="2099" w:firstLine="527"/>
        <w:spacing w:after="0" w:line="281"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359"/>
          </w:cols>
          <w:pgMar w:left="1100" w:top="1096" w:right="1440" w:bottom="1440" w:gutter="0" w:footer="0" w:header="0"/>
        </w:sectPr>
      </w:pPr>
    </w:p>
    <w:bookmarkStart w:id="16" w:name="page17"/>
    <w:bookmarkEnd w:id="16"/>
    <w:p>
      <w:pPr>
        <w:ind w:left="2200"/>
        <w:spacing w:after="0"/>
        <w:tabs>
          <w:tab w:leader="none" w:pos="32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ind w:left="520"/>
        <w:spacing w:after="0"/>
        <w:tabs>
          <w:tab w:leader="none" w:pos="27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INDEX OF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204"/>
        </w:trPr>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Exhibit</w:t>
            </w:r>
          </w:p>
        </w:tc>
        <w:tc>
          <w:tcPr>
            <w:tcW w:w="358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Description of Exhibit</w:t>
            </w:r>
          </w:p>
        </w:tc>
        <w:tc>
          <w:tcPr>
            <w:tcW w:w="0" w:type="dxa"/>
            <w:vAlign w:val="bottom"/>
          </w:tcPr>
          <w:p>
            <w:pPr>
              <w:spacing w:after="0"/>
              <w:rPr>
                <w:sz w:val="1"/>
                <w:szCs w:val="1"/>
                <w:color w:val="auto"/>
              </w:rPr>
            </w:pPr>
          </w:p>
        </w:tc>
      </w:tr>
      <w:tr>
        <w:trPr>
          <w:trHeight w:val="203"/>
        </w:trPr>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Number</w:t>
            </w:r>
          </w:p>
        </w:tc>
        <w:tc>
          <w:tcPr>
            <w:tcW w:w="3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w:t>
            </w:r>
          </w:p>
        </w:tc>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00" w:right="3779" w:hanging="845"/>
        <w:spacing w:after="0" w:line="274" w:lineRule="auto"/>
        <w:tabs>
          <w:tab w:leader="none" w:pos="21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per share earnings for the quarters and nine month periods ended June 2, 1994, and June 3, 1993</w:t>
      </w:r>
    </w:p>
    <w:p>
      <w:pPr>
        <w:spacing w:after="0" w:line="284" w:lineRule="exact"/>
        <w:rPr>
          <w:rFonts w:ascii="Courier New" w:cs="Courier New" w:eastAsia="Courier New" w:hAnsi="Courier New"/>
          <w:sz w:val="18"/>
          <w:szCs w:val="18"/>
          <w:color w:val="auto"/>
        </w:rPr>
      </w:pPr>
    </w:p>
    <w:p>
      <w:pPr>
        <w:ind w:right="2319" w:firstLine="517"/>
        <w:spacing w:after="0" w:line="347"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did not file any Reports on Form 8-K during the quarter ended June 2,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359"/>
          </w:cols>
          <w:pgMar w:left="1100" w:top="1298" w:right="1440" w:bottom="1440" w:gutter="0" w:footer="0" w:header="0"/>
        </w:sectPr>
      </w:pPr>
    </w:p>
    <w:bookmarkStart w:id="17" w:name="page18"/>
    <w:bookmarkEnd w:id="17"/>
    <w:p>
      <w:pPr>
        <w:ind w:left="31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9359"/>
          </w:cols>
          <w:pgMar w:left="1100" w:top="1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Reid N. Langrill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Vice President Finance, Treasurer,</w:t>
      </w:r>
    </w:p>
    <w:p>
      <w:pPr>
        <w:spacing w:after="0"/>
        <w:rPr>
          <w:sz w:val="20"/>
          <w:szCs w:val="20"/>
          <w:color w:val="auto"/>
        </w:rPr>
      </w:pPr>
      <w:r>
        <w:rPr>
          <w:rFonts w:ascii="Courier New" w:cs="Courier New" w:eastAsia="Courier New" w:hAnsi="Courier New"/>
          <w:sz w:val="16"/>
          <w:szCs w:val="16"/>
          <w:color w:val="auto"/>
        </w:rPr>
        <w:t>and Chief Financial Officer (Principal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ectPr>
          <w:pgSz w:w="11900" w:h="16838" w:orient="portrait"/>
          <w:cols w:equalWidth="0" w:num="3">
            <w:col w:w="620" w:space="220"/>
            <w:col w:w="1900" w:space="720"/>
            <w:col w:w="5899"/>
          </w:cols>
          <w:pgMar w:left="1100" w:top="1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359"/>
          </w:cols>
          <w:pgMar w:left="1100" w:top="1298" w:right="1440" w:bottom="1440" w:gutter="0" w:footer="0" w:header="0"/>
          <w:type w:val="continuous"/>
        </w:sectPr>
      </w:pPr>
    </w:p>
    <w:bookmarkStart w:id="18" w:name="page19"/>
    <w:bookmarkEnd w:id="18"/>
    <w:p>
      <w:pPr>
        <w:ind w:left="242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940" w:right="3039" w:firstLine="1053"/>
        <w:spacing w:after="0" w:line="420" w:lineRule="auto"/>
        <w:rPr>
          <w:sz w:val="20"/>
          <w:szCs w:val="20"/>
          <w:color w:val="auto"/>
        </w:rPr>
      </w:pPr>
      <w:r>
        <w:rPr>
          <w:rFonts w:ascii="Courier New" w:cs="Courier New" w:eastAsia="Courier New" w:hAnsi="Courier New"/>
          <w:sz w:val="16"/>
          <w:szCs w:val="16"/>
          <w:color w:val="auto"/>
        </w:rPr>
        <w:t>Computation of Per Share Amounts (Amounts 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306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Quarter Ended</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June 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38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3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405"/>
        </w:trPr>
        <w:tc>
          <w:tcPr>
            <w:tcW w:w="388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880" w:type="dxa"/>
            <w:vAlign w:val="bottom"/>
          </w:tcPr>
          <w:p>
            <w:pPr>
              <w:ind w:left="200"/>
              <w:spacing w:after="0"/>
              <w:rPr>
                <w:sz w:val="20"/>
                <w:szCs w:val="20"/>
                <w:color w:val="auto"/>
              </w:rPr>
            </w:pPr>
            <w:r>
              <w:rPr>
                <w:rFonts w:ascii="Courier New" w:cs="Courier New" w:eastAsia="Courier New" w:hAnsi="Courier New"/>
                <w:sz w:val="18"/>
                <w:szCs w:val="18"/>
                <w:color w:val="auto"/>
              </w:rPr>
              <w:t>Weighted average shares</w:t>
            </w:r>
          </w:p>
        </w:tc>
        <w:tc>
          <w:tcPr>
            <w:tcW w:w="1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101,575</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99,149</w:t>
            </w:r>
          </w:p>
        </w:tc>
        <w:tc>
          <w:tcPr>
            <w:tcW w:w="0" w:type="dxa"/>
            <w:vAlign w:val="bottom"/>
          </w:tcPr>
          <w:p>
            <w:pPr>
              <w:spacing w:after="0"/>
              <w:rPr>
                <w:sz w:val="1"/>
                <w:szCs w:val="1"/>
                <w:color w:val="auto"/>
              </w:rPr>
            </w:pPr>
          </w:p>
        </w:tc>
      </w:tr>
      <w:tr>
        <w:trPr>
          <w:trHeight w:val="296"/>
        </w:trPr>
        <w:tc>
          <w:tcPr>
            <w:tcW w:w="3880" w:type="dxa"/>
            <w:vAlign w:val="bottom"/>
          </w:tcPr>
          <w:p>
            <w:pPr>
              <w:ind w:left="300"/>
              <w:spacing w:after="0"/>
              <w:rPr>
                <w:sz w:val="20"/>
                <w:szCs w:val="20"/>
                <w:color w:val="auto"/>
              </w:rPr>
            </w:pPr>
            <w:r>
              <w:rPr>
                <w:rFonts w:ascii="Courier New" w:cs="Courier New" w:eastAsia="Courier New" w:hAnsi="Courier New"/>
                <w:sz w:val="18"/>
                <w:szCs w:val="18"/>
                <w:color w:val="auto"/>
              </w:rPr>
              <w:t>outstanding</w:t>
            </w:r>
          </w:p>
        </w:tc>
        <w:tc>
          <w:tcPr>
            <w:tcW w:w="17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80" w:type="dxa"/>
            <w:vAlign w:val="bottom"/>
          </w:tcPr>
          <w:p>
            <w:pPr>
              <w:ind w:left="200"/>
              <w:spacing w:after="0"/>
              <w:rPr>
                <w:sz w:val="20"/>
                <w:szCs w:val="20"/>
                <w:color w:val="auto"/>
              </w:rPr>
            </w:pPr>
            <w:r>
              <w:rPr>
                <w:rFonts w:ascii="Courier New" w:cs="Courier New" w:eastAsia="Courier New" w:hAnsi="Courier New"/>
                <w:sz w:val="18"/>
                <w:szCs w:val="18"/>
                <w:color w:val="auto"/>
              </w:rPr>
              <w:t>Stock options using average</w:t>
            </w:r>
          </w:p>
        </w:tc>
        <w:tc>
          <w:tcPr>
            <w:tcW w:w="174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4,055</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2,251</w:t>
            </w:r>
          </w:p>
        </w:tc>
        <w:tc>
          <w:tcPr>
            <w:tcW w:w="0" w:type="dxa"/>
            <w:vAlign w:val="bottom"/>
          </w:tcPr>
          <w:p>
            <w:pPr>
              <w:spacing w:after="0"/>
              <w:rPr>
                <w:sz w:val="1"/>
                <w:szCs w:val="1"/>
                <w:color w:val="auto"/>
              </w:rPr>
            </w:pPr>
          </w:p>
        </w:tc>
      </w:tr>
      <w:tr>
        <w:trPr>
          <w:trHeight w:val="203"/>
        </w:trPr>
        <w:tc>
          <w:tcPr>
            <w:tcW w:w="38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market price</w:t>
            </w:r>
          </w:p>
        </w:tc>
        <w:tc>
          <w:tcPr>
            <w:tcW w:w="17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Total shares</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105,630</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101,400</w:t>
            </w: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Net income</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$104,327</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$29,491</w:t>
            </w: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Per share amount</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$0.99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$0.29</w:t>
            </w:r>
          </w:p>
        </w:tc>
        <w:tc>
          <w:tcPr>
            <w:tcW w:w="0" w:type="dxa"/>
            <w:vAlign w:val="bottom"/>
          </w:tcPr>
          <w:p>
            <w:pPr>
              <w:spacing w:after="0"/>
              <w:rPr>
                <w:sz w:val="1"/>
                <w:szCs w:val="1"/>
                <w:color w:val="auto"/>
              </w:rPr>
            </w:pPr>
          </w:p>
        </w:tc>
      </w:tr>
      <w:tr>
        <w:trPr>
          <w:trHeight w:val="296"/>
        </w:trPr>
        <w:tc>
          <w:tcPr>
            <w:tcW w:w="38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608"/>
        </w:trPr>
        <w:tc>
          <w:tcPr>
            <w:tcW w:w="388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80" w:type="dxa"/>
            <w:vAlign w:val="bottom"/>
          </w:tcPr>
          <w:p>
            <w:pPr>
              <w:ind w:left="200"/>
              <w:spacing w:after="0"/>
              <w:rPr>
                <w:sz w:val="20"/>
                <w:szCs w:val="20"/>
                <w:color w:val="auto"/>
              </w:rPr>
            </w:pPr>
            <w:r>
              <w:rPr>
                <w:rFonts w:ascii="Courier New" w:cs="Courier New" w:eastAsia="Courier New" w:hAnsi="Courier New"/>
                <w:sz w:val="18"/>
                <w:szCs w:val="18"/>
                <w:color w:val="auto"/>
              </w:rPr>
              <w:t>Weighted average shares</w:t>
            </w:r>
          </w:p>
        </w:tc>
        <w:tc>
          <w:tcPr>
            <w:tcW w:w="1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101,575</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99,149</w:t>
            </w:r>
          </w:p>
        </w:tc>
        <w:tc>
          <w:tcPr>
            <w:tcW w:w="0" w:type="dxa"/>
            <w:vAlign w:val="bottom"/>
          </w:tcPr>
          <w:p>
            <w:pPr>
              <w:spacing w:after="0"/>
              <w:rPr>
                <w:sz w:val="1"/>
                <w:szCs w:val="1"/>
                <w:color w:val="auto"/>
              </w:rPr>
            </w:pPr>
          </w:p>
        </w:tc>
      </w:tr>
      <w:tr>
        <w:trPr>
          <w:trHeight w:val="296"/>
        </w:trPr>
        <w:tc>
          <w:tcPr>
            <w:tcW w:w="3880" w:type="dxa"/>
            <w:vAlign w:val="bottom"/>
          </w:tcPr>
          <w:p>
            <w:pPr>
              <w:ind w:left="300"/>
              <w:spacing w:after="0"/>
              <w:rPr>
                <w:sz w:val="20"/>
                <w:szCs w:val="20"/>
                <w:color w:val="auto"/>
              </w:rPr>
            </w:pPr>
            <w:r>
              <w:rPr>
                <w:rFonts w:ascii="Courier New" w:cs="Courier New" w:eastAsia="Courier New" w:hAnsi="Courier New"/>
                <w:sz w:val="18"/>
                <w:szCs w:val="18"/>
                <w:color w:val="auto"/>
              </w:rPr>
              <w:t>outstanding</w:t>
            </w:r>
          </w:p>
        </w:tc>
        <w:tc>
          <w:tcPr>
            <w:tcW w:w="17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80" w:type="dxa"/>
            <w:vAlign w:val="bottom"/>
          </w:tcPr>
          <w:p>
            <w:pPr>
              <w:ind w:left="200"/>
              <w:spacing w:after="0"/>
              <w:rPr>
                <w:sz w:val="20"/>
                <w:szCs w:val="20"/>
                <w:color w:val="auto"/>
              </w:rPr>
            </w:pPr>
            <w:r>
              <w:rPr>
                <w:rFonts w:ascii="Courier New" w:cs="Courier New" w:eastAsia="Courier New" w:hAnsi="Courier New"/>
                <w:sz w:val="18"/>
                <w:szCs w:val="18"/>
                <w:color w:val="auto"/>
              </w:rPr>
              <w:t>Stock options using greater of</w:t>
            </w:r>
          </w:p>
        </w:tc>
        <w:tc>
          <w:tcPr>
            <w:tcW w:w="174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4,115</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3,059</w:t>
            </w:r>
          </w:p>
        </w:tc>
        <w:tc>
          <w:tcPr>
            <w:tcW w:w="0" w:type="dxa"/>
            <w:vAlign w:val="bottom"/>
          </w:tcPr>
          <w:p>
            <w:pPr>
              <w:spacing w:after="0"/>
              <w:rPr>
                <w:sz w:val="1"/>
                <w:szCs w:val="1"/>
                <w:color w:val="auto"/>
              </w:rPr>
            </w:pPr>
          </w:p>
        </w:tc>
      </w:tr>
      <w:tr>
        <w:trPr>
          <w:trHeight w:val="203"/>
        </w:trPr>
        <w:tc>
          <w:tcPr>
            <w:tcW w:w="38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average or ending market price</w:t>
            </w:r>
          </w:p>
        </w:tc>
        <w:tc>
          <w:tcPr>
            <w:tcW w:w="17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Total shares</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105,690</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102,208</w:t>
            </w: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Net income</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$104,327</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$29,491</w:t>
            </w: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Per share amount</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$0.99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$0.29</w:t>
            </w:r>
          </w:p>
        </w:tc>
        <w:tc>
          <w:tcPr>
            <w:tcW w:w="0" w:type="dxa"/>
            <w:vAlign w:val="bottom"/>
          </w:tcPr>
          <w:p>
            <w:pPr>
              <w:spacing w:after="0"/>
              <w:rPr>
                <w:sz w:val="1"/>
                <w:szCs w:val="1"/>
                <w:color w:val="auto"/>
              </w:rPr>
            </w:pPr>
          </w:p>
        </w:tc>
      </w:tr>
      <w:tr>
        <w:trPr>
          <w:trHeight w:val="296"/>
        </w:trPr>
        <w:tc>
          <w:tcPr>
            <w:tcW w:w="38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940" w:right="3039" w:firstLine="1053"/>
        <w:spacing w:after="0" w:line="420" w:lineRule="auto"/>
        <w:rPr>
          <w:sz w:val="20"/>
          <w:szCs w:val="20"/>
          <w:color w:val="auto"/>
        </w:rPr>
      </w:pPr>
      <w:r>
        <w:rPr>
          <w:rFonts w:ascii="Courier New" w:cs="Courier New" w:eastAsia="Courier New" w:hAnsi="Courier New"/>
          <w:sz w:val="16"/>
          <w:szCs w:val="16"/>
          <w:color w:val="auto"/>
        </w:rPr>
        <w:t>Computation of Per Share Amounts (Amounts in thousands except for per share amounts)</w:t>
      </w:r>
    </w:p>
    <w:p>
      <w:pPr>
        <w:sectPr>
          <w:pgSz w:w="11900" w:h="16838" w:orient="portrait"/>
          <w:cols w:equalWidth="0" w:num="1">
            <w:col w:w="9359"/>
          </w:cols>
          <w:pgMar w:left="1100" w:top="718" w:right="1440"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30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June 2,</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June 3,</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3880" w:type="dxa"/>
            <w:vAlign w:val="bottom"/>
          </w:tcPr>
          <w:p>
            <w:pPr>
              <w:spacing w:after="0"/>
              <w:rPr>
                <w:sz w:val="24"/>
                <w:szCs w:val="24"/>
                <w:color w:val="auto"/>
              </w:rPr>
            </w:pP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88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880" w:type="dxa"/>
            <w:vAlign w:val="bottom"/>
          </w:tcPr>
          <w:p>
            <w:pPr>
              <w:ind w:left="200"/>
              <w:spacing w:after="0"/>
              <w:rPr>
                <w:sz w:val="20"/>
                <w:szCs w:val="20"/>
                <w:color w:val="auto"/>
              </w:rPr>
            </w:pPr>
            <w:r>
              <w:rPr>
                <w:rFonts w:ascii="Courier New" w:cs="Courier New" w:eastAsia="Courier New" w:hAnsi="Courier New"/>
                <w:sz w:val="18"/>
                <w:szCs w:val="18"/>
                <w:color w:val="auto"/>
              </w:rPr>
              <w:t>Weighted average shares</w:t>
            </w:r>
          </w:p>
        </w:tc>
        <w:tc>
          <w:tcPr>
            <w:tcW w:w="18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100,999</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98,235</w:t>
            </w:r>
          </w:p>
        </w:tc>
        <w:tc>
          <w:tcPr>
            <w:tcW w:w="0" w:type="dxa"/>
            <w:vAlign w:val="bottom"/>
          </w:tcPr>
          <w:p>
            <w:pPr>
              <w:spacing w:after="0"/>
              <w:rPr>
                <w:sz w:val="1"/>
                <w:szCs w:val="1"/>
                <w:color w:val="auto"/>
              </w:rPr>
            </w:pPr>
          </w:p>
        </w:tc>
      </w:tr>
      <w:tr>
        <w:trPr>
          <w:trHeight w:val="296"/>
        </w:trPr>
        <w:tc>
          <w:tcPr>
            <w:tcW w:w="3880" w:type="dxa"/>
            <w:vAlign w:val="bottom"/>
          </w:tcPr>
          <w:p>
            <w:pPr>
              <w:ind w:left="300"/>
              <w:spacing w:after="0"/>
              <w:rPr>
                <w:sz w:val="20"/>
                <w:szCs w:val="20"/>
                <w:color w:val="auto"/>
              </w:rPr>
            </w:pPr>
            <w:r>
              <w:rPr>
                <w:rFonts w:ascii="Courier New" w:cs="Courier New" w:eastAsia="Courier New" w:hAnsi="Courier New"/>
                <w:sz w:val="18"/>
                <w:szCs w:val="18"/>
                <w:color w:val="auto"/>
              </w:rPr>
              <w:t>outstanding</w:t>
            </w:r>
          </w:p>
        </w:tc>
        <w:tc>
          <w:tcPr>
            <w:tcW w:w="18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80" w:type="dxa"/>
            <w:vAlign w:val="bottom"/>
          </w:tcPr>
          <w:p>
            <w:pPr>
              <w:ind w:left="200"/>
              <w:spacing w:after="0"/>
              <w:rPr>
                <w:sz w:val="20"/>
                <w:szCs w:val="20"/>
                <w:color w:val="auto"/>
              </w:rPr>
            </w:pPr>
            <w:r>
              <w:rPr>
                <w:rFonts w:ascii="Courier New" w:cs="Courier New" w:eastAsia="Courier New" w:hAnsi="Courier New"/>
                <w:sz w:val="18"/>
                <w:szCs w:val="18"/>
                <w:color w:val="auto"/>
              </w:rPr>
              <w:t>Stock options using average</w:t>
            </w:r>
          </w:p>
        </w:tc>
        <w:tc>
          <w:tcPr>
            <w:tcW w:w="18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3,117</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1,866</w:t>
            </w:r>
          </w:p>
        </w:tc>
        <w:tc>
          <w:tcPr>
            <w:tcW w:w="0" w:type="dxa"/>
            <w:vAlign w:val="bottom"/>
          </w:tcPr>
          <w:p>
            <w:pPr>
              <w:spacing w:after="0"/>
              <w:rPr>
                <w:sz w:val="1"/>
                <w:szCs w:val="1"/>
                <w:color w:val="auto"/>
              </w:rPr>
            </w:pPr>
          </w:p>
        </w:tc>
      </w:tr>
      <w:tr>
        <w:trPr>
          <w:trHeight w:val="203"/>
        </w:trPr>
        <w:tc>
          <w:tcPr>
            <w:tcW w:w="38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market price</w:t>
            </w:r>
          </w:p>
        </w:tc>
        <w:tc>
          <w:tcPr>
            <w:tcW w:w="1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Total shares</w:t>
            </w:r>
          </w:p>
        </w:tc>
        <w:tc>
          <w:tcPr>
            <w:tcW w:w="1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104,116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100,101</w:t>
            </w: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Net income</w:t>
            </w:r>
          </w:p>
        </w:tc>
        <w:tc>
          <w:tcPr>
            <w:tcW w:w="1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$258,638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$41,224</w:t>
            </w: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Per share amount</w:t>
            </w:r>
          </w:p>
        </w:tc>
        <w:tc>
          <w:tcPr>
            <w:tcW w:w="1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$0.41</w:t>
            </w:r>
          </w:p>
        </w:tc>
        <w:tc>
          <w:tcPr>
            <w:tcW w:w="0" w:type="dxa"/>
            <w:vAlign w:val="bottom"/>
          </w:tcPr>
          <w:p>
            <w:pPr>
              <w:spacing w:after="0"/>
              <w:rPr>
                <w:sz w:val="1"/>
                <w:szCs w:val="1"/>
                <w:color w:val="auto"/>
              </w:rPr>
            </w:pPr>
          </w:p>
        </w:tc>
      </w:tr>
      <w:tr>
        <w:trPr>
          <w:trHeight w:val="296"/>
        </w:trPr>
        <w:tc>
          <w:tcPr>
            <w:tcW w:w="38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388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80" w:type="dxa"/>
            <w:vAlign w:val="bottom"/>
          </w:tcPr>
          <w:p>
            <w:pPr>
              <w:ind w:left="200"/>
              <w:spacing w:after="0"/>
              <w:rPr>
                <w:sz w:val="20"/>
                <w:szCs w:val="20"/>
                <w:color w:val="auto"/>
              </w:rPr>
            </w:pPr>
            <w:r>
              <w:rPr>
                <w:rFonts w:ascii="Courier New" w:cs="Courier New" w:eastAsia="Courier New" w:hAnsi="Courier New"/>
                <w:sz w:val="18"/>
                <w:szCs w:val="18"/>
                <w:color w:val="auto"/>
              </w:rPr>
              <w:t>Weighted average shares</w:t>
            </w:r>
          </w:p>
        </w:tc>
        <w:tc>
          <w:tcPr>
            <w:tcW w:w="18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100,999</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98,235</w:t>
            </w:r>
          </w:p>
        </w:tc>
        <w:tc>
          <w:tcPr>
            <w:tcW w:w="0" w:type="dxa"/>
            <w:vAlign w:val="bottom"/>
          </w:tcPr>
          <w:p>
            <w:pPr>
              <w:spacing w:after="0"/>
              <w:rPr>
                <w:sz w:val="1"/>
                <w:szCs w:val="1"/>
                <w:color w:val="auto"/>
              </w:rPr>
            </w:pPr>
          </w:p>
        </w:tc>
      </w:tr>
      <w:tr>
        <w:trPr>
          <w:trHeight w:val="296"/>
        </w:trPr>
        <w:tc>
          <w:tcPr>
            <w:tcW w:w="3880" w:type="dxa"/>
            <w:vAlign w:val="bottom"/>
          </w:tcPr>
          <w:p>
            <w:pPr>
              <w:ind w:left="300"/>
              <w:spacing w:after="0"/>
              <w:rPr>
                <w:sz w:val="20"/>
                <w:szCs w:val="20"/>
                <w:color w:val="auto"/>
              </w:rPr>
            </w:pPr>
            <w:r>
              <w:rPr>
                <w:rFonts w:ascii="Courier New" w:cs="Courier New" w:eastAsia="Courier New" w:hAnsi="Courier New"/>
                <w:sz w:val="18"/>
                <w:szCs w:val="18"/>
                <w:color w:val="auto"/>
              </w:rPr>
              <w:t>outstanding</w:t>
            </w:r>
          </w:p>
        </w:tc>
        <w:tc>
          <w:tcPr>
            <w:tcW w:w="18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80" w:type="dxa"/>
            <w:vAlign w:val="bottom"/>
          </w:tcPr>
          <w:p>
            <w:pPr>
              <w:ind w:left="200"/>
              <w:spacing w:after="0"/>
              <w:rPr>
                <w:sz w:val="20"/>
                <w:szCs w:val="20"/>
                <w:color w:val="auto"/>
              </w:rPr>
            </w:pPr>
            <w:r>
              <w:rPr>
                <w:rFonts w:ascii="Courier New" w:cs="Courier New" w:eastAsia="Courier New" w:hAnsi="Courier New"/>
                <w:sz w:val="18"/>
                <w:szCs w:val="18"/>
                <w:color w:val="auto"/>
              </w:rPr>
              <w:t>Stock options using greater of</w:t>
            </w:r>
          </w:p>
        </w:tc>
        <w:tc>
          <w:tcPr>
            <w:tcW w:w="18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3,906</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2,697</w:t>
            </w:r>
          </w:p>
        </w:tc>
        <w:tc>
          <w:tcPr>
            <w:tcW w:w="0" w:type="dxa"/>
            <w:vAlign w:val="bottom"/>
          </w:tcPr>
          <w:p>
            <w:pPr>
              <w:spacing w:after="0"/>
              <w:rPr>
                <w:sz w:val="1"/>
                <w:szCs w:val="1"/>
                <w:color w:val="auto"/>
              </w:rPr>
            </w:pPr>
          </w:p>
        </w:tc>
      </w:tr>
      <w:tr>
        <w:trPr>
          <w:trHeight w:val="203"/>
        </w:trPr>
        <w:tc>
          <w:tcPr>
            <w:tcW w:w="38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average or ending market price</w:t>
            </w:r>
          </w:p>
        </w:tc>
        <w:tc>
          <w:tcPr>
            <w:tcW w:w="1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Total shares</w:t>
            </w:r>
          </w:p>
        </w:tc>
        <w:tc>
          <w:tcPr>
            <w:tcW w:w="1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104,905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100,932</w:t>
            </w:r>
          </w:p>
        </w:tc>
        <w:tc>
          <w:tcPr>
            <w:tcW w:w="0" w:type="dxa"/>
            <w:vAlign w:val="bottom"/>
          </w:tcPr>
          <w:p>
            <w:pPr>
              <w:spacing w:after="0"/>
              <w:rPr>
                <w:sz w:val="1"/>
                <w:szCs w:val="1"/>
                <w:color w:val="auto"/>
              </w:rPr>
            </w:pPr>
          </w:p>
        </w:tc>
      </w:tr>
      <w:tr>
        <w:trPr>
          <w:trHeight w:val="296"/>
        </w:trPr>
        <w:tc>
          <w:tcPr>
            <w:tcW w:w="38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3880" w:type="dxa"/>
            <w:vAlign w:val="bottom"/>
          </w:tcPr>
          <w:p>
            <w:pPr>
              <w:ind w:left="200"/>
              <w:spacing w:after="0"/>
              <w:rPr>
                <w:sz w:val="20"/>
                <w:szCs w:val="20"/>
                <w:color w:val="auto"/>
              </w:rPr>
            </w:pPr>
            <w:r>
              <w:rPr>
                <w:rFonts w:ascii="Courier New" w:cs="Courier New" w:eastAsia="Courier New" w:hAnsi="Courier New"/>
                <w:sz w:val="18"/>
                <w:szCs w:val="18"/>
                <w:color w:val="auto"/>
              </w:rPr>
              <w:t>Net income</w:t>
            </w: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$258,638</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$41,224</w:t>
            </w:r>
          </w:p>
        </w:tc>
        <w:tc>
          <w:tcPr>
            <w:tcW w:w="0" w:type="dxa"/>
            <w:vAlign w:val="bottom"/>
          </w:tcPr>
          <w:p>
            <w:pPr>
              <w:spacing w:after="0"/>
              <w:rPr>
                <w:sz w:val="1"/>
                <w:szCs w:val="1"/>
                <w:color w:val="auto"/>
              </w:rPr>
            </w:pPr>
          </w:p>
        </w:tc>
      </w:tr>
      <w:tr>
        <w:trPr>
          <w:trHeight w:val="203"/>
        </w:trPr>
        <w:tc>
          <w:tcPr>
            <w:tcW w:w="38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Per share amount</w:t>
            </w:r>
          </w:p>
        </w:tc>
        <w:tc>
          <w:tcPr>
            <w:tcW w:w="1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$0.41</w:t>
            </w:r>
          </w:p>
        </w:tc>
        <w:tc>
          <w:tcPr>
            <w:tcW w:w="0" w:type="dxa"/>
            <w:vAlign w:val="bottom"/>
          </w:tcPr>
          <w:p>
            <w:pPr>
              <w:spacing w:after="0"/>
              <w:rPr>
                <w:sz w:val="1"/>
                <w:szCs w:val="1"/>
                <w:color w:val="auto"/>
              </w:rPr>
            </w:pPr>
          </w:p>
        </w:tc>
      </w:tr>
      <w:tr>
        <w:trPr>
          <w:trHeight w:val="296"/>
        </w:trPr>
        <w:tc>
          <w:tcPr>
            <w:tcW w:w="38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359"/>
      </w:cols>
      <w:pgMar w:left="1100" w:top="7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8"/>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1"/>
    </w:lvl>
    <w:lvl w:ilvl="1">
      <w:lvlJc w:val="left"/>
      <w:lvlText w:val="%2"/>
      <w:numFmt w:val="decimal"/>
      <w:start w:val="11"/>
    </w:lvl>
  </w:abstractNum>
  <w:abstractNum w:abstractNumId="8">
    <w:nsid w:val="5BD062C2"/>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2019-12-13T13:15:46Z</dcterms:created>
  <dcterms:modified xsi:type="dcterms:W3CDTF">2019-12-13T13:15:46Z</dcterms:modified>
</cp:coreProperties>
</file>