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11,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142875</wp:posOffset>
            </wp:positionV>
            <wp:extent cx="202311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380" w:type="dxa"/>
            <w:vAlign w:val="bottom"/>
            <w:tcBorders>
              <w:bottom w:val="single" w:sz="8" w:color="auto"/>
            </w:tcBorders>
            <w:gridSpan w:val="2"/>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28"/>
        </w:trPr>
        <w:tc>
          <w:tcPr>
            <w:tcW w:w="3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3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28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58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r>
      <w:tr>
        <w:trPr>
          <w:trHeight w:val="228"/>
        </w:trPr>
        <w:tc>
          <w:tcPr>
            <w:tcW w:w="2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58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28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58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2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58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2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August 11, 2025, Micron Technology, Inc. issued a press release updating its guidance for the fourth fiscal quarter ending August 28, 2025. A copy of the press release is attached hereto as Exhibit 99.1 and incorporated herein by reference.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gridSpan w:val="3"/>
          </w:tcPr>
          <w:p>
            <w:pPr>
              <w:jc w:val="center"/>
              <w:ind w:right="44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4"/>
                <w:szCs w:val="14"/>
                <w:color w:val="auto"/>
              </w:rPr>
            </w:pPr>
          </w:p>
        </w:tc>
        <w:tc>
          <w:tcPr>
            <w:tcW w:w="97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August 11, 2025</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3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64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Murphy</w:t>
            </w:r>
          </w:p>
        </w:tc>
      </w:tr>
      <w:tr>
        <w:trPr>
          <w:trHeight w:val="191"/>
        </w:trPr>
        <w:tc>
          <w:tcPr>
            <w:tcW w:w="3860" w:type="dxa"/>
            <w:vAlign w:val="bottom"/>
          </w:tcPr>
          <w:p>
            <w:pPr>
              <w:spacing w:after="0"/>
              <w:rPr>
                <w:sz w:val="16"/>
                <w:szCs w:val="16"/>
                <w:color w:val="auto"/>
              </w:rPr>
            </w:pPr>
          </w:p>
        </w:tc>
        <w:tc>
          <w:tcPr>
            <w:tcW w:w="290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Murphy</w:t>
            </w:r>
          </w:p>
        </w:tc>
      </w:tr>
      <w:tr>
        <w:trPr>
          <w:trHeight w:val="234"/>
        </w:trPr>
        <w:tc>
          <w:tcPr>
            <w:tcW w:w="386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675"/>
        </w:trPr>
        <w:tc>
          <w:tcPr>
            <w:tcW w:w="3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Updates Fourth Quarter Fiscal 2025 Guidance</w:t>
      </w:r>
    </w:p>
    <w:p>
      <w:pPr>
        <w:spacing w:after="0" w:line="225"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BOISE, Idaho, Aug. 11, 2025 </w:t>
      </w:r>
      <w:r>
        <w:rPr>
          <w:rFonts w:ascii="Times New Roman" w:cs="Times New Roman" w:eastAsia="Times New Roman" w:hAnsi="Times New Roman"/>
          <w:sz w:val="18"/>
          <w:szCs w:val="18"/>
          <w:color w:val="auto"/>
        </w:rPr>
        <w:t>– Micron Technology, Inc. (Nasdaq: MU) (the “Company”) today announced that it is updating its revenue, gross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expense, and EPS guidance for the fourth quarter of fiscal 2025, which ends August 28, 2025. The Company previously provided guidance for revenue of $10.7 billion ± $300 million, non-GAAP gross margins of 42.0% ± 1.0%, and non-GAAP EPS of $2.50 ± $0.15 for the fourth quarter of fiscal 2025.</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today updated its guidance for fourth quarter of fiscal 2025 revenue to $11.2 billion ± $100 million, non-GAAP gross margins to 44.5% ± 0.5%, and non-GAAP EPS to $2.85 ± $0.07. The Company announced additional updates to guidance as set forth in the tables below. This revised guidance reflects improved pricing, particularly in DRAM, and strong execution.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Micron Executive Vice President and Chief Business Officer, Sumit Sadana, will share further updates in a fireside chat at the 2025 Keybanc Technology Conference in Park City, Utah scheduled to take place at 9:00 a.m. Mountain time on August 11,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live webcast and subsequent replay of the event can be accessed from Micron’s Investor Relations website at http://investors.micron.com.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Previous Guidance</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Updated Guidance</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2160" w:type="dxa"/>
            <w:vAlign w:val="bottom"/>
          </w:tcPr>
          <w:p>
            <w:pPr>
              <w:spacing w:after="0"/>
              <w:rPr>
                <w:sz w:val="16"/>
                <w:szCs w:val="16"/>
                <w:color w:val="auto"/>
              </w:rPr>
            </w:pPr>
          </w:p>
        </w:tc>
        <w:tc>
          <w:tcPr>
            <w:tcW w:w="1280" w:type="dxa"/>
            <w:vAlign w:val="bottom"/>
            <w:gridSpan w:val="2"/>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rPr>
              <w:t>GAAP</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Non-GAAP</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Non-GAAP</w:t>
            </w:r>
          </w:p>
        </w:tc>
        <w:tc>
          <w:tcPr>
            <w:tcW w:w="20" w:type="dxa"/>
            <w:vAlign w:val="bottom"/>
          </w:tcPr>
          <w:p>
            <w:pPr>
              <w:spacing w:after="0"/>
              <w:rPr>
                <w:sz w:val="16"/>
                <w:szCs w:val="16"/>
                <w:color w:val="auto"/>
              </w:rPr>
            </w:pPr>
          </w:p>
        </w:tc>
      </w:tr>
      <w:tr>
        <w:trPr>
          <w:trHeight w:val="238"/>
        </w:trPr>
        <w:tc>
          <w:tcPr>
            <w:tcW w:w="2160" w:type="dxa"/>
            <w:vAlign w:val="bottom"/>
          </w:tcPr>
          <w:p>
            <w:pPr>
              <w:spacing w:after="0"/>
              <w:rPr>
                <w:sz w:val="20"/>
                <w:szCs w:val="20"/>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Outlook</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GAAP Outlook</w:t>
            </w:r>
          </w:p>
        </w:tc>
        <w:tc>
          <w:tcPr>
            <w:tcW w:w="180" w:type="dxa"/>
            <w:vAlign w:val="bottom"/>
          </w:tcPr>
          <w:p>
            <w:pPr>
              <w:spacing w:after="0"/>
              <w:rPr>
                <w:sz w:val="20"/>
                <w:szCs w:val="20"/>
                <w:color w:val="auto"/>
              </w:rPr>
            </w:pPr>
          </w:p>
        </w:tc>
        <w:tc>
          <w:tcPr>
            <w:tcW w:w="19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Outlook</w:t>
            </w:r>
          </w:p>
        </w:tc>
      </w:tr>
      <w:tr>
        <w:trPr>
          <w:trHeight w:val="210"/>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$10.7B ± $300M</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$10.7B ± $300M</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$11.2B ± $100M</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$11.2B ± $100M</w:t>
            </w: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 ± 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 ± 1.0%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 ± 0.5%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 0.5%</w:t>
            </w:r>
          </w:p>
        </w:tc>
        <w:tc>
          <w:tcPr>
            <w:tcW w:w="2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$1.35B ± $20M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147M</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$1.20B ± $20M</w:t>
            </w:r>
          </w:p>
        </w:tc>
        <w:tc>
          <w:tcPr>
            <w:tcW w:w="15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$1.37B ± $15M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147M</w:t>
            </w: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$1.22B ± $15M</w:t>
            </w:r>
          </w:p>
        </w:tc>
        <w:tc>
          <w:tcPr>
            <w:tcW w:w="20" w:type="dxa"/>
            <w:vAlign w:val="bottom"/>
          </w:tcPr>
          <w:p>
            <w:pPr>
              <w:spacing w:after="0"/>
              <w:rPr>
                <w:sz w:val="18"/>
                <w:szCs w:val="18"/>
                <w:color w:val="auto"/>
              </w:rPr>
            </w:pPr>
          </w:p>
        </w:tc>
      </w:tr>
      <w:tr>
        <w:trPr>
          <w:trHeight w:val="39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9"/>
                <w:szCs w:val="29"/>
                <w:color w:val="auto"/>
                <w:vertAlign w:val="superscript"/>
              </w:rPr>
              <w:t>(1)</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 ± $0.15</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0.21</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B, C</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 ± $0.15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 ± $0.07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 B, C</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 ± $0.07</w:t>
            </w:r>
          </w:p>
        </w:tc>
      </w:tr>
    </w:tbl>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Adjustments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 cost of goods sold</w:t>
            </w:r>
          </w:p>
        </w:tc>
        <w:tc>
          <w:tcPr>
            <w:tcW w:w="7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 research and development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 sales, general, and administrative</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effects of the above items and other tax adjustments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9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2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GAAP earnings per share based on approximately 1.13 billion diluted shares and non-GAAP earnings per share based on approximately 1.15 billion diluted shares.</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Micron Technology, Inc.</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are an industry leader in innovative memory and storage solutions transforming how the world uses information to enrich life for all.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Times New Roman" w:cs="Times New Roman" w:eastAsia="Times New Roman" w:hAnsi="Times New Roman"/>
          <w:sz w:val="18"/>
          <w:szCs w:val="18"/>
          <w:u w:val="single" w:color="auto"/>
          <w:color w:val="auto"/>
        </w:rPr>
        <w:t>micron.com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8"/>
        <w:spacing w:after="0" w:line="282" w:lineRule="auto"/>
        <w:tabs>
          <w:tab w:leader="none" w:pos="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Micron Technology, Inc. All rights reserved. Micron, the Micron logo, and all other Micron trademarks are the property of Micron Technology, Inc. All other trademarks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regarding the Company’s financial and operating results, in particular the Company’s expectations and guidance for the fourth quarter of fiscal 2025. These forward-looking statements are subject to a number of risks and uncertainties that could cause actual results to differ materially. Please refer to the documents the Company files with the Securities and Exchange Commission, specifically its most recent Form 10-K and Form 10-Q. These documents contain and identify important factors that could cause the Company’s actual results to differ materially from those contained in these forward-looking statements. These certain factors can be found at </w:t>
      </w:r>
      <w:r>
        <w:rPr>
          <w:rFonts w:ascii="Times New Roman" w:cs="Times New Roman" w:eastAsia="Times New Roman" w:hAnsi="Times New Roman"/>
          <w:sz w:val="18"/>
          <w:szCs w:val="18"/>
          <w:u w:val="single" w:color="auto"/>
          <w:color w:val="auto"/>
        </w:rPr>
        <w:t>investors.micron.com/risk-factor</w:t>
      </w:r>
      <w:r>
        <w:rPr>
          <w:rFonts w:ascii="Times New Roman" w:cs="Times New Roman" w:eastAsia="Times New Roman" w:hAnsi="Times New Roman"/>
          <w:sz w:val="18"/>
          <w:szCs w:val="18"/>
          <w:color w:val="auto"/>
        </w:rPr>
        <w:t>. Although the Company believes that the expectations reflected in the forward-looking statements are reasonable, the Company cannot guarantee future results, levels of activity, performance, or achievements. The Company is under no duty to update any of the forward-looking statements after the date of this press release, except as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Plungy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ind w:right="9540" w:firstLine="8"/>
        <w:spacing w:after="0" w:line="260"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203-2910 mplungy@micron.com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 Kumar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right="9360" w:firstLine="8"/>
        <w:spacing w:after="0" w:line="290" w:lineRule="auto"/>
        <w:tabs>
          <w:tab w:leader="none" w:pos="4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450-6199 satyakumar@micron.com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408"/>
    </w:lvl>
  </w:abstractNum>
  <w:abstractNum w:abstractNumId="4">
    <w:nsid w:val="46E87CCD"/>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2025-08-11T07:06:55Z</dcterms:created>
  <dcterms:modified xsi:type="dcterms:W3CDTF">2025-08-11T07:06:55Z</dcterms:modified>
</cp:coreProperties>
</file>