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521153d1_8k.htm"/>
      <w:bookmarkStart w:id="1" w:name="kstm252115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3_edei--DocumentType_c20250717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0_edei--DocumentPeriodEndDate_c202"/>
      <w:bookmarkEnd w:id="3"/>
      <w:r>
        <w:rPr>
          <w:rFonts w:ascii="Times New Roman;Times;Serif" w:hAnsi="Times New Roman;Times;Serif"/>
          <w:b/>
          <w:i w:val="false"/>
          <w:caps w:val="false"/>
          <w:smallCaps w:val="false"/>
          <w:sz w:val="20"/>
        </w:rPr>
        <w:t>July 17,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078865" cy="2654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78865" cy="26543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sz w:val="32"/>
        </w:rPr>
      </w:pPr>
      <w:bookmarkStart w:id="4" w:name="xdx_907_edei--EntityRegistrantName_c2025"/>
      <w:bookmarkEnd w:id="4"/>
      <w:r>
        <w:rPr>
          <w:rFonts w:ascii="Times New Roman;Times;Serif" w:hAnsi="Times New Roman;Times;Serif"/>
          <w:b/>
          <w:i w:val="false"/>
          <w:caps/>
          <w:sz w:val="32"/>
        </w:rPr>
        <w:t>Micron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535" w:type="dxa"/>
        <w:jc w:val="left"/>
        <w:tblInd w:w="0" w:type="dxa"/>
        <w:tblLayout w:type="fixed"/>
        <w:tblCellMar>
          <w:top w:w="0" w:type="dxa"/>
          <w:left w:w="0" w:type="dxa"/>
          <w:bottom w:w="0" w:type="dxa"/>
          <w:right w:w="0" w:type="dxa"/>
        </w:tblCellMar>
      </w:tblPr>
      <w:tblGrid>
        <w:gridCol w:w="2375"/>
        <w:gridCol w:w="60"/>
        <w:gridCol w:w="1505"/>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50717"/>
            <w:bookmarkEnd w:id="6"/>
            <w:r>
              <w:rPr>
                <w:rFonts w:ascii="Times New Roman;Times;Serif" w:hAnsi="Times New Roman;Times;Serif"/>
                <w:b/>
                <w:sz w:val="20"/>
              </w:rPr>
              <w:t>1-10658</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75-1618004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File </w:t>
              <w:br/>
              <w:t>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8000 South Federal Way</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Boise, </w:t>
      </w:r>
      <w:bookmarkStart w:id="10" w:name="xdx_908_edei--EntityAddressStateOrProvin"/>
      <w:bookmarkEnd w:id="10"/>
      <w:r>
        <w:rPr>
          <w:rFonts w:ascii="Times New Roman;Times;Serif" w:hAnsi="Times New Roman;Times;Serif"/>
          <w:b/>
          <w:i w:val="false"/>
          <w:caps w:val="false"/>
          <w:smallCaps w:val="false"/>
          <w:sz w:val="20"/>
        </w:rPr>
        <w:t>Idaho</w:t>
      </w:r>
      <w:r>
        <w:rPr>
          <w:rFonts w:ascii="Arial;Helvetica;Sans-Serif" w:hAnsi="Arial;Helvetica;Sans-Serif"/>
          <w:b w:val="false"/>
          <w:i w:val="false"/>
          <w:caps w:val="false"/>
          <w:smallCaps w:val="false"/>
          <w:sz w:val="20"/>
        </w:rPr>
        <w:t xml:space="preserve"> </w:t>
      </w:r>
      <w:bookmarkStart w:id="11" w:name="xdx_90E_edei--EntityAddressPostalZipCode"/>
      <w:bookmarkEnd w:id="11"/>
      <w:r>
        <w:rPr>
          <w:rFonts w:ascii="Times New Roman;Times;Serif" w:hAnsi="Times New Roman;Times;Serif"/>
          <w:b/>
          <w:i w:val="false"/>
          <w:caps w:val="false"/>
          <w:smallCaps w:val="false"/>
          <w:sz w:val="20"/>
        </w:rPr>
        <w:t>83716-9632</w:t>
      </w:r>
    </w:p>
    <w:tbl>
      <w:tblPr>
        <w:tblW w:w="4505" w:type="dxa"/>
        <w:jc w:val="left"/>
        <w:tblInd w:w="0" w:type="dxa"/>
        <w:tblLayout w:type="fixed"/>
        <w:tblCellMar>
          <w:top w:w="28" w:type="dxa"/>
          <w:left w:w="0" w:type="dxa"/>
          <w:bottom w:w="0" w:type="dxa"/>
          <w:right w:w="0" w:type="dxa"/>
        </w:tblCellMar>
      </w:tblPr>
      <w:tblGrid>
        <w:gridCol w:w="75"/>
        <w:gridCol w:w="4355"/>
        <w:gridCol w:w="75"/>
      </w:tblGrid>
      <w:tr>
        <w:trPr/>
        <w:tc>
          <w:tcPr>
            <w:tcW w:w="75" w:type="dxa"/>
            <w:tcBorders>
              <w:top w:val="single" w:sz="8" w:space="0" w:color="000000"/>
            </w:tcBorders>
            <w:vAlign w:val="center"/>
          </w:tcPr>
          <w:p>
            <w:pPr>
              <w:pStyle w:val="TableContents"/>
              <w:bidi w:val="0"/>
              <w:spacing w:before="0" w:after="283"/>
              <w:jc w:val="left"/>
              <w:rPr/>
            </w:pPr>
            <w:r>
              <w:rPr/>
              <w:t> </w:t>
            </w:r>
          </w:p>
        </w:tc>
        <w:tc>
          <w:tcPr>
            <w:tcW w:w="4355" w:type="dxa"/>
            <w:tcBorders>
              <w:top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tc>
        <w:tc>
          <w:tcPr>
            <w:tcW w:w="75" w:type="dxa"/>
            <w:tcBorders>
              <w:top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B_edei--CityAreaCode_c20250717__20"/>
      <w:bookmarkEnd w:id="12"/>
      <w:r>
        <w:rPr>
          <w:rFonts w:ascii="Times New Roman;Times;Serif" w:hAnsi="Times New Roman;Times;Serif"/>
          <w:b/>
          <w:i w:val="false"/>
          <w:caps w:val="false"/>
          <w:smallCaps w:val="false"/>
          <w:sz w:val="20"/>
        </w:rPr>
        <w:t xml:space="preserve">208) </w:t>
      </w:r>
      <w:bookmarkStart w:id="13" w:name="xdx_907_edei--LocalPhoneNumber_c20250717"/>
      <w:bookmarkEnd w:id="13"/>
      <w:r>
        <w:rPr>
          <w:rFonts w:ascii="Times New Roman;Times;Serif" w:hAnsi="Times New Roman;Times;Serif"/>
          <w:b/>
          <w:i w:val="false"/>
          <w:caps w:val="false"/>
          <w:smallCaps w:val="false"/>
          <w:sz w:val="20"/>
        </w:rPr>
        <w:t>368-4000</w:t>
      </w:r>
    </w:p>
    <w:tbl>
      <w:tblPr>
        <w:tblW w:w="4475" w:type="dxa"/>
        <w:jc w:val="left"/>
        <w:tblInd w:w="0" w:type="dxa"/>
        <w:tblLayout w:type="fixed"/>
        <w:tblCellMar>
          <w:top w:w="28" w:type="dxa"/>
          <w:left w:w="0" w:type="dxa"/>
          <w:bottom w:w="0" w:type="dxa"/>
          <w:right w:w="0" w:type="dxa"/>
        </w:tblCellMar>
      </w:tblPr>
      <w:tblGrid>
        <w:gridCol w:w="75"/>
        <w:gridCol w:w="4325"/>
        <w:gridCol w:w="75"/>
      </w:tblGrid>
      <w:tr>
        <w:trPr/>
        <w:tc>
          <w:tcPr>
            <w:tcW w:w="75" w:type="dxa"/>
            <w:tcBorders>
              <w:top w:val="single" w:sz="8" w:space="0" w:color="000000"/>
            </w:tcBorders>
            <w:vAlign w:val="center"/>
          </w:tcPr>
          <w:p>
            <w:pPr>
              <w:pStyle w:val="TableContents"/>
              <w:bidi w:val="0"/>
              <w:spacing w:before="0" w:after="283"/>
              <w:jc w:val="left"/>
              <w:rPr/>
            </w:pPr>
            <w:r>
              <w:rPr/>
              <w:t> </w:t>
            </w:r>
          </w:p>
        </w:tc>
        <w:tc>
          <w:tcPr>
            <w:tcW w:w="4325" w:type="dxa"/>
            <w:tcBorders>
              <w:top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c>
          <w:tcPr>
            <w:tcW w:w="75" w:type="dxa"/>
            <w:tcBorders>
              <w:top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8_edei--WrittenCommunications_c202"/>
            <w:bookmarkEnd w:id="14"/>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spacing w:before="0" w:after="0"/>
        <w:ind w:left="285" w:right="0" w:hanging="285"/>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A_edei--SolicitingMaterial_c202507"/>
            <w:bookmarkEnd w:id="15"/>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spacing w:before="0" w:after="0"/>
        <w:ind w:left="285" w:right="0" w:hanging="28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PreCommencementTenderOffer"/>
            <w:bookmarkEnd w:id="16"/>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p>
      <w:pPr>
        <w:pStyle w:val="TextBody"/>
        <w:bidi w:val="0"/>
        <w:spacing w:before="0" w:after="0"/>
        <w:ind w:left="285" w:right="0" w:hanging="28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IssuerTende"/>
            <w:bookmarkEnd w:id="17"/>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65" w:type="dxa"/>
        <w:jc w:val="left"/>
        <w:tblInd w:w="0" w:type="dxa"/>
        <w:tblLayout w:type="fixed"/>
        <w:tblCellMar>
          <w:top w:w="0" w:type="dxa"/>
          <w:left w:w="0" w:type="dxa"/>
          <w:bottom w:w="28" w:type="dxa"/>
          <w:right w:w="0" w:type="dxa"/>
        </w:tblCellMar>
      </w:tblPr>
      <w:tblGrid>
        <w:gridCol w:w="3410"/>
        <w:gridCol w:w="60"/>
        <w:gridCol w:w="725"/>
        <w:gridCol w:w="60"/>
        <w:gridCol w:w="281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 symbol</w:t>
            </w:r>
          </w:p>
        </w:tc>
        <w:tc>
          <w:tcPr>
            <w:tcW w:w="60" w:type="dxa"/>
            <w:tcBorders/>
            <w:tcMar>
              <w:bottom w:w="0" w:type="dxa"/>
            </w:tcMar>
            <w:vAlign w:val="center"/>
          </w:tcPr>
          <w:p>
            <w:pPr>
              <w:pStyle w:val="TableContents"/>
              <w:bidi w:val="0"/>
              <w:spacing w:before="0" w:after="283"/>
              <w:jc w:val="left"/>
              <w:rPr/>
            </w:pPr>
            <w:r>
              <w:rPr/>
              <w:t> </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2_edei--Security12bTitle_c20250717"/>
            <w:bookmarkEnd w:id="18"/>
            <w:r>
              <w:rPr>
                <w:rFonts w:ascii="Times New Roman;Times;Serif" w:hAnsi="Times New Roman;Times;Serif"/>
                <w:sz w:val="20"/>
              </w:rPr>
              <w:t>Common Stock, par value $0.10 per share</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A_edei--TradingSymbol_c20250717__2"/>
            <w:bookmarkEnd w:id="19"/>
            <w:r>
              <w:rPr>
                <w:rFonts w:ascii="Times New Roman;Times;Serif" w:hAnsi="Times New Roman;Times;Serif"/>
                <w:sz w:val="20"/>
              </w:rPr>
              <w:t>MU</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F_edei--SecurityExchangeName_c2025"/>
            <w:bookmarkEnd w:id="20"/>
            <w:r>
              <w:rPr>
                <w:rFonts w:ascii="Times New Roman;Times;Serif" w:hAnsi="Times New Roman;Times;Serif"/>
                <w:sz w:val="20"/>
              </w:rPr>
              <w:t>Nasdaq Global Select Market</w:t>
            </w:r>
          </w:p>
        </w:tc>
      </w:tr>
    </w:tbl>
    <w:p>
      <w:pPr>
        <w:pStyle w:val="TextBody"/>
        <w:bidi w:val="0"/>
        <w:spacing w:before="0" w:after="283"/>
        <w:jc w:val="left"/>
        <w:rPr/>
      </w:pPr>
      <w:r>
        <w:rPr/>
        <w:t> </w:t>
      </w:r>
    </w:p>
    <w:p>
      <w:pPr>
        <w:pStyle w:val="TextBody"/>
        <w:bidi w:val="0"/>
        <w:jc w:val="left"/>
        <w:rPr>
          <w:rFonts w:ascii="Times New Roman;Times;Serif" w:hAnsi="Times New Roman;Times;Serif"/>
        </w:rPr>
      </w:pPr>
      <w:r>
        <w:rPr>
          <w:rFonts w:ascii="Times New Roman;Times;Serif" w:hAnsi="Times New Roman;Times;Serif"/>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830"/>
        <w:gridCol w:w="779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5.03</w:t>
            </w:r>
          </w:p>
        </w:tc>
        <w:tc>
          <w:tcPr>
            <w:tcW w:w="7790" w:type="dxa"/>
            <w:tcBorders/>
            <w:vAlign w:val="center"/>
          </w:tcPr>
          <w:p>
            <w:pPr>
              <w:pStyle w:val="TableContents"/>
              <w:bidi w:val="0"/>
              <w:spacing w:before="0" w:after="283"/>
              <w:jc w:val="left"/>
              <w:rPr>
                <w:b/>
              </w:rPr>
            </w:pPr>
            <w:r>
              <w:rPr>
                <w:b/>
              </w:rPr>
              <w:t>Amendments to Articles of Incorporation or Bylaws; Changes in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2025,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Micron Technology,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approved the Company’s Amended and Restated Bylaws (the “</w:t>
      </w:r>
      <w:r>
        <w:rPr>
          <w:rFonts w:ascii="Times New Roman;Times;Serif" w:hAnsi="Times New Roman;Times;Serif"/>
          <w:b/>
          <w:i w:val="false"/>
          <w:caps w:val="false"/>
          <w:smallCaps w:val="false"/>
          <w:sz w:val="20"/>
        </w:rPr>
        <w:t>Amended Bylaws</w:t>
      </w:r>
      <w:r>
        <w:rPr>
          <w:rFonts w:ascii="Times New Roman;Times;Serif" w:hAnsi="Times New Roman;Times;Serif"/>
          <w:b w:val="false"/>
          <w:i w:val="false"/>
          <w:caps w:val="false"/>
          <w:smallCaps w:val="false"/>
          <w:sz w:val="20"/>
        </w:rPr>
        <w:t>”), effective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Bylaws include an amendment to adjust the Company’s existing Delaware exclusive forum provision to reflect changes in the laws of the state of Delaware, and other ministerial, clarifying and conforming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of the amendment to the Company’s bylaws is qualified in its entirety by reference to the text of the Amended Bylaws filed as Exhibit 3.1 to this report.</w:t>
      </w:r>
    </w:p>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875"/>
        <w:gridCol w:w="35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sz w:val="20"/>
              </w:rPr>
            </w:pPr>
            <w:r>
              <w:rPr>
                <w:rFonts w:ascii="Times New Roman;Times;Serif" w:hAnsi="Times New Roman;Times;Serif"/>
                <w:b/>
                <w:sz w:val="20"/>
              </w:rPr>
              <w:t>Exhibit</w:t>
            </w:r>
            <w:r>
              <w:rPr>
                <w:sz w:val="20"/>
              </w:rPr>
              <w:t> </w:t>
            </w:r>
            <w:r>
              <w:rPr>
                <w:b/>
                <w:sz w:val="20"/>
              </w:rPr>
              <w:t>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521153d1_ex3-1.htm">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521153d1_ex3-1.htm">
              <w:r>
                <w:rPr>
                  <w:rStyle w:val="InternetLink"/>
                  <w:rFonts w:ascii="Times New Roman;Times;Serif" w:hAnsi="Times New Roman;Times;Serif"/>
                  <w:sz w:val="20"/>
                </w:rPr>
                <w:t>Amended and Restated Bylaws as of July</w:t>
              </w:r>
            </w:hyperlink>
            <w:hyperlink w:anchor="tm2521153d1_ex3-1.htm">
              <w:r>
                <w:rPr>
                  <w:rStyle w:val="InternetLink"/>
                  <w:sz w:val="20"/>
                </w:rPr>
                <w:t> 17, 2025</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sz w:val="20"/>
              </w:rPr>
            </w:pPr>
            <w:r>
              <w:rPr>
                <w:rFonts w:ascii="Times New Roman;Times;Serif" w:hAnsi="Times New Roman;Times;Serif"/>
                <w:sz w:val="20"/>
              </w:rPr>
              <w:t>Cover Page</w:t>
            </w:r>
            <w:r>
              <w:rPr>
                <w:sz w:val="20"/>
              </w:rPr>
              <w:t>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1625"/>
        <w:gridCol w:w="545"/>
        <w:gridCol w:w="5420"/>
      </w:tblGrid>
      <w:tr>
        <w:trPr/>
        <w:tc>
          <w:tcPr>
            <w:tcW w:w="1625" w:type="dxa"/>
            <w:tcBorders/>
            <w:vAlign w:val="center"/>
          </w:tcPr>
          <w:p>
            <w:pPr>
              <w:pStyle w:val="TableContents"/>
              <w:bidi w:val="0"/>
              <w:spacing w:before="0" w:after="283"/>
              <w:jc w:val="left"/>
              <w:rPr>
                <w:sz w:val="20"/>
              </w:rPr>
            </w:pPr>
            <w:r>
              <w:rPr>
                <w:rFonts w:ascii="Times New Roman;Times;Serif" w:hAnsi="Times New Roman;Times;Serif"/>
                <w:sz w:val="20"/>
              </w:rPr>
              <w:t>Date: July</w:t>
            </w:r>
            <w:r>
              <w:rPr>
                <w:sz w:val="20"/>
              </w:rPr>
              <w:t> 18, 2025</w:t>
            </w:r>
          </w:p>
        </w:tc>
        <w:tc>
          <w:tcPr>
            <w:tcW w:w="5965" w:type="dxa"/>
            <w:gridSpan w:val="2"/>
            <w:tcBorders/>
            <w:vAlign w:val="center"/>
          </w:tcPr>
          <w:p>
            <w:pPr>
              <w:pStyle w:val="TableContents"/>
              <w:bidi w:val="0"/>
              <w:spacing w:before="0" w:after="283"/>
              <w:jc w:val="left"/>
              <w:rPr/>
            </w:pPr>
            <w:r>
              <w:rPr>
                <w:rFonts w:ascii="Times New Roman;Times;Serif" w:hAnsi="Times New Roman;Times;Serif"/>
                <w:b/>
                <w:sz w:val="20"/>
              </w:rPr>
              <w:t>MICRON TECHNOLOGY,</w:t>
            </w:r>
            <w:r>
              <w:rPr/>
              <w:t> </w:t>
            </w:r>
            <w:r>
              <w:rPr>
                <w:b/>
              </w:rPr>
              <w:t>INC.</w:t>
            </w:r>
            <w:r>
              <w:rPr/>
              <w:t xml:space="preserve"> </w:t>
            </w:r>
          </w:p>
        </w:tc>
      </w:tr>
      <w:tr>
        <w:trPr/>
        <w:tc>
          <w:tcPr>
            <w:tcW w:w="162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Ray</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Ray</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2" w:name="tm2521153d1_ex3-1.htm"/>
      <w:bookmarkStart w:id="23" w:name="kstm2521153d1_ex31"/>
      <w:bookmarkEnd w:id="22"/>
      <w:bookmarkEnd w:id="23"/>
      <w:r>
        <w:rPr/>
        <w:t> </w:t>
      </w:r>
      <w:r>
        <w:br w:type="page"/>
      </w:r>
    </w:p>
    <w:p>
      <w:pPr>
        <w:pStyle w:val="TextBody"/>
        <w:bidi w:val="0"/>
        <w:jc w:val="right"/>
        <w:rPr>
          <w:b/>
        </w:rPr>
      </w:pPr>
      <w:r>
        <w:rPr>
          <w:b/>
        </w:rPr>
        <w:t>Exhibit 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Micron Technology, Inc.</w:t>
        <w:br/>
        <w:t>Bylaws</w:t>
        <w:br/>
        <w:t>Amended and Restated as of July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CORPORATE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Registered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shall be fixed in the corporation’s Certificate of Incorporation, as the same may be amended from time to time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Other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also have offices at such other places both within and without the State of Delaware as the Board of Directors may from time to time determine or the business of the corporation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Place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 The Board of Directors may, in its sole discretion, determine that a meeting of stockholders shall not be held at any place, but may instead be held solely by means of remote communication as authorized by Section 211(a)(2) of the Delaware General Corporation Law or any successor legislation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 in accordance with Article II, Section 11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Notice of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the DGCL, the Certificate of Incorporation or these Bylaws, the notice of any meeting of stockholders shall be given not less than ten (10) nor more than sixty (60) days before the date of the meeting to each stockholder entitled to vote at such meeting as of the record date for determining the stockholders entitled to notice of the meeting. The Board of Directors acting pursuant to a resolution adopted by a majority of the Whole Board may cancel, postpone, or reschedule any previously scheduled meeting of stockholders at any time, before or after the notice for such meeting has been sent to the stockholders. For the purposes of these Bylaws, the term “Whole Board” shall mean the total number of authorized directorships whether or not there exist any vacancies or other unfilled seats in previously authorized directorships.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List of Stockholders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shall prepare, no later than the tenth day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Article II, Section 4 or to vote in person or by proxy at any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meetings of the stockholders, for any purpose or purposes, unless otherwise prescribed by law or by the Certificate of Incorporation, may be called at any time by (i) the Board of Directors acting pursuant to a resolution adopted by a majority of the Whole Board, (ii) the Chair of the Board, (iii) the Chief Executive Officer, or (iv)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Section 11(c) or Section 11(e) of this Article II, as applicable, if the actions proposed to be taken were taken at an annual meeting of stockholders.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notice of a special meeting shall include the purpose for which the meeting is called. 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 Nothing contained in this Article II, Section 5(b) shall be construed as limiting, fixing, or affecting the time when a meeting of stockholders called by action of the Board of Directors may be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of the voting power of the stock issued and outstanding and entitled to vote thereat, present in person or represented by proxy, shall constitute a quorum at all meetings of the stockholders for the transaction of business except as otherwise required by law, the Certificate of Incorporation, these Bylaws or the rules of any applicable stock exchange on which the corporation’s securities are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however, such quorum shall not be present or represented at any meeting of the stockholders, then either (a) the Chair of the meeting, or (b) the stockholders entitled to vote at the meeting, present in person or represented by proxy thereat, shall have the power to adjourn the meeting from time to time without notice other than announcement at the meeting, until a quorum shall be present or represented. At such adjourned meeting at which a quorum is present or represented, any business may be transacted that might have been transacted at the original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Adjourned Meeting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stockholders, annual or special, may adjourn from time to time (including an adjournment taken to address a technical failure to convene or continue a meeting using remote communication) to reconvene at the same or some other place, and notice need not be given of any such reconvened meeting if the time, place, if any, and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 new record date for determining stockholders entitled to notice of such reconvened meeting in accordance with Section 213(a) of the DGCL and Article VI, Section 5 of these Bylaws, and shall give notice of the reconvened meeting to each stockholder of record entitled to vote at such reconvened meeting as of the record date so fixed for notice of such reconvened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Proxies;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authorization shall set forth, or be delivered with information enabling the corporation to determine, the identity of the stockholder granting such authorization. The revocability of a proxy that states on its face that it is irrevocable shall be governed by the provisions of Section 212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entitled to vote at any meeting of stockholders shall be determined in accordance with the provisions of Article VI, Section 5 of these Bylaws, subject to Section 217 (relating to voting rights of fiduciaries, pledgors and joint owners of stock) and Section 218 (relating to voting trusts and other voting agreements)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otherwise provided in the Certificate of Incorporation, each stockholder shall be entitled to one vote for each share of capital stock held by such stockholder as of the applicable record date that has voting power upon the matter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quorum is present at any meeting, the affirmative vote of the holders of a majority of the voting power of the stock present in person or represented by proxy and entitled to vote on the subject matter shall decide any issue brought before such meeting, except as otherwise provided by the Certificate of Incorporation, these Bylaws, the rules of any applicable stock exchange on which the corporation’s securities are listed or applicable law. Except as otherwise required by applicable law, the Certificate of Incorporation or these Bylaws, directors shall be elected in accordance with the provisions of Article III,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Notice. </w:t>
      </w:r>
      <w:r>
        <w:rPr>
          <w:rFonts w:ascii="Times New Roman;Times;Serif" w:hAnsi="Times New Roman;Times;Serif"/>
          <w:b w:val="false"/>
          <w:i w:val="false"/>
          <w:caps w:val="false"/>
          <w:smallCaps w:val="false"/>
          <w:sz w:val="20"/>
        </w:rPr>
        <w:t>Unless otherwise restricted by the Certificate of Incorporation, any action required to be taken at any annual or special meeting of 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Record Date. </w:t>
      </w:r>
      <w:r>
        <w:rPr>
          <w:rFonts w:ascii="Times New Roman;Times;Serif" w:hAnsi="Times New Roman;Times;Serif"/>
          <w:b w:val="false"/>
          <w:i w:val="false"/>
          <w:caps w:val="false"/>
          <w:smallCaps w:val="false"/>
          <w:sz w:val="20"/>
        </w:rPr>
        <w:t>Unless otherwise restricted by the Certificate of Incorporation,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Inspector of Elections. </w:t>
      </w:r>
      <w:r>
        <w:rPr>
          <w:rFonts w:ascii="Times New Roman;Times;Serif" w:hAnsi="Times New Roman;Times;Serif"/>
          <w:b w:val="false"/>
          <w:i w:val="false"/>
          <w:caps w:val="false"/>
          <w:smallCaps w:val="false"/>
          <w:sz w:val="20"/>
        </w:rPr>
        <w:t>In the event of the delivery, in the manner provided by this Article II, Section 10 and applicable law, to the corporation 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Effective Date. </w:t>
      </w:r>
      <w:r>
        <w:rPr>
          <w:rFonts w:ascii="Times New Roman;Times;Serif" w:hAnsi="Times New Roman;Times;Serif"/>
          <w:b w:val="false"/>
          <w:i w:val="false"/>
          <w:caps w:val="false"/>
          <w:smallCaps w:val="false"/>
          <w:sz w:val="20"/>
        </w:rPr>
        <w:t>Every written consent shall bear the date of signature of each stockholder who signs the consent and no written consent shall be 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Advance Notice Procedures; Proxy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Annual Meetings of Stockholders; Timely Notice</w:t>
      </w:r>
      <w:r>
        <w:rPr>
          <w:rFonts w:ascii="Times New Roman;Times;Serif" w:hAnsi="Times New Roman;Times;Serif"/>
          <w:b w:val="false"/>
          <w:i w:val="false"/>
          <w:caps w:val="false"/>
          <w:smallCaps w:val="false"/>
          <w:sz w:val="20"/>
        </w:rPr>
        <w:t>. 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specified in the notice of meeting (or any supplement thereto) given by or at the direction of the Board of Directors or any committee thereof that has been formally delegated authority to nominate such persons or propose such business pursuant to a resolution adopted by a majority of the Whole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otherwise properly brought before the meeting by or at the direction of the Board of Directors or any committee thereof that has been formally delegated authority to nominate such persons or propose such business pursuant to a resolution adopted by a majority of the Whole Board,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otherwise properly brought before an annual meeting by a stockholder who: (A) is a stockholder of record on the record date for the determination of stockholders entitled to notice of the annual meeting; (B) is a stockholder of record at the time the notice required hereunder is delivered to the Secretary; (C) is a stockholder of record on the record date for the determination of stockholders entitled to vote at the annual meeting; (D) is a stockholder of record at the time of the annual meeting; and (E) complies with the procedures set forth in this Article II,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 even if such matter is already the subject of any notice to the stockholders or public disclosure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timely, a stockholder's notice must be received by the Secretary at the principal executive office of the corporation no earlier than 8:00 a.m., Mountain time, on the 120th calendar day and no later than 5:00 p.m., Mountain time, on the 90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 xml:space="preserve">calendar day prior to the day of the first anniversary of the date on which the corporation first mailed its proxy materials or a notice of availability of proxy materials (whichever is earlier) to stockholders in connection with the previous year’s annual meeting of stockholders;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that no annual meeting of stockholders was held in the previous year, or if the date of the annual meeting for the current year has been changed by more than thirty (30) days from the first anniversary of the previous year’s annual meeting, then for notice by the stockholder to be timely such notice must be received by the Secretary at the principal executive offices of the corporation no earlier than 8:00 a.m., Mountain time, on the 120th calendar day prior to the day of the annual meeting and no later than 5:00 p.m., Mountain time, on the later of the 90th calendar day prior to the day of the annual meeting or, if the first public announcement of the date of such annual meeting is less than 100 calendar days prior to the date of such annual meeting, the 10th calendar day following the day on which public announcement of the date of the annual meeting was first made by the corporation. In no event will the adjournment, rescheduling, postponement or other 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 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calendar days before the last day that a stockholder may deliver a notice of nomination pursuant to the foregoing provisions, then a stockholder’s notice required by this Article II, Section 11(a) will also be considered timely, but only with respect to any nominees for any new positions created by such increase, if it is received by the Secretary at the principal executive offices of the corporation no later than 5:00 p.m., Mountain time, on the 10th calendar day following the day on which such public announcement is first made. “Public announcement” means disclosure in a press release reported by a national news service or in a document publicly filed by the corporation with the Securities and Exchange Commission (the “SEC”) pursuant to Section 13, Section 14 or Section 15(d) of the Securities Exchange Act of 1934 (as amended and inclusive of rules and regulations thereunder, the “Exchange Act”) or by such other means as is reasonably designed to inform the public or stockholders of the corporation in general of such information, including, without limitation, posting on the corporation’s investor relations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persons who are nominated in accordance with the procedures set forth in Article II, Section 11(b), Section 11(c), or Section 11(e) shall be eligible for election as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Annual Meetings of Stockholders; Notice Procedures</w:t>
      </w:r>
      <w:r>
        <w:rPr>
          <w:rFonts w:ascii="Times New Roman;Times;Serif" w:hAnsi="Times New Roman;Times;Serif"/>
          <w:b w:val="false"/>
          <w:i w:val="false"/>
          <w:caps w:val="false"/>
          <w:smallCaps w:val="false"/>
          <w:sz w:val="20"/>
        </w:rPr>
        <w:t>. Nominations of persons for election to the Board of Directors or the proposal of other business to be transacted by the stockholders at an annual meeting of stockholders may be made by or at the direction of the Board of Directors or any committee thereof as set forth in clauses (i) and (ii) of Article II, Section 11(a) or by any stockholder of the corporation as set forth in clause (iii) of Article II, Section 11(a) who complies with the notice procedures set forth in this Article II, Section 11(b). Such nominations and other business, other than those made by or at the direction of the Board of Directors or any committee thereof, shall be made pursuant to timely notice in writing to the Secretary in accordance with the provisions of Article II, Section 11(a). A stockholder's notice to the Secretary shall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to each person whom the stockholder proposes to nominate for election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name, age, business address and residence address of each nominee proposed in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occupation or employment of each such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number of shares of capital stock of the corporation which are held of record or are beneficially owned by each such nominee and any (i) Derivative Instruments (as defined below) held or beneficially owned by such person,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person with respect to the corporation’s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direct or indirect compensatory, reimbursement, indemnification, payment or other financial agreement, arrangement or understanding that such nominee has, or has had within the past three years, with any person or entity other than the corporation (including, without limitation, the amount of any payment or payments received or receivable thereunder), in each case in connection with candidacy or service as a director of the corporation, (such agreement, arrangement or understanding, a “Compensation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information concerning each such nominee as would be required to be disclosed in a proxy statement soliciting proxies for the election of such nominee as a director in an election contest (even if an election contest is not involved) or that is otherwise required to be disclosed, in each case pursuant to Section 14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consent of each nominee (x) to being named in the proxy statement as a nominee of such stockholder, (y) to being named in the corporation’s form of proxy pursuant to Rule 14a-19 under the Exchange Act and (z) to serving as a director if elected,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description of any other material relationships between such nominee and such nominee’s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to any other business that the stockholder proposes to bring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brief description of the business desired to be brought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text of the proposal or business (including the text of any resolutions proposed for consideration and, if applicable, the text of any proposed amendment to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reasons for conducting such business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material interest in such business of such stockholder giving the notice and the beneficial owner, if any, on whose behalf the proposal is made, and their respective affiliates and associates, or others acting in concert with them,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agreements, arrangements and understandings between such stockholder, the beneficial owner, if any, on whose behalf the proposal is made, and their respective affiliates or associates or others acting in concert with them, in connection with the proposal of such business by such stockholder,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to the proposing stockholder giving the notice and the beneficial owner, if any, on whose behalf the nomination or proposal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name and address of the stockholder as they appear on the corporation's books, of the beneficial owner, and of their respective affiliates or associates or others acting in concert with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class and number of shares of stock of the corporation that are, directly or indirectly, held of record or are beneficially owned by the proposing stockholder, the beneficial owner, or their respective affiliates or associates or others acting in concert with them, as of the date of the proposing stockholder's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agreement, arrangement or understanding with respect to such nomination or other proposal between or among the proposing stockholder, the beneficial owner or their respective affiliates or associates or others acting in concert with them, and any other person or persons (including, in each case, their names) in connection with the proposal of each such nomination or other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(x)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as of the date of the proposing stockholder's notice by, or on behalf of, the proposing stockholder, the beneficial owner or their affiliates or associates or others acting in concert with them with respect to the corporation’s securities (any of the foregoing, a “Derivative Instrument”, including the full notional amount of any securities that, directly or indirectly, underlie any Derivative Instrument, and (y) other agreement, arrangement or understanding that has been made the effect or intent of which is to create or mitigate loss to, manage risk or benefit of share price changes for, or increase or decrease the voting power of, the proposing stockholder, the beneficial owner or their respective affiliates or associates or others acting in concert with them with respect to shares of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proxy, contract, arrangement, understanding or relationship pursuant to which the proposing stockholder, the beneficial owner or their respective affiliates or associates or others acting in concert with them has a right to vote any shares of any security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rights to dividends on the corporation’s securities owned beneficially by the proposed stockholder, the beneficial owner or their respective affiliates or associates or others acting in concert with them that are separated or separable from the underlying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proportionate interest in the corporation’s securities or Derivative Instruments held, directly or indirectly, by a general or limited partnership in which the proposing stockholder, the beneficial owner or their respective affiliates or associates or others acting in concert with them is a general partner or, directly or indirectly, beneficially owns an interest in a general partner of such general or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performance-related fees (other than an asset-based fee) that the proposing stockholder, the beneficial owner or their respective affiliates or associates or others acting in concert with them is entitled to based on any increase or decrease in the value of the corporation’s securities or Derivative Instruments, including, without limitation, any such interests held by members of the immediate family of such persons sharing the same household,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significant equity interests or any Derivative Instruments in any principal competitor (as defined below) of the corporation that are held by the proposing stockholder, the beneficial owner or their respective affiliates or associates or others acting in concert with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direct or indirect interest of the proposing stockholder, the beneficial owner or their respective affiliates or associates or others acting in concert with them in any contract with the corporation, any affiliate of the corporation or any principal competitor of the corporation (in each case, including, without limitation, any employment agreement, collective bargaining agreement or 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material pending or threatened legal proceeding in which the proposing stockholder, the beneficial owner or their respective affiliates or associates or others acting in concert with them is a party or material participant involving the corporation or any of its officers, directors,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material relationship between the proposing stockholder, the beneficial owner or their respective affiliates or associates or others acting in concert with them, on the one hand, and the corporation or any of its officers, directors, or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 representation and undertaking that the proposing stockholder is a holder of record of shares of the corporation as of the date of submission of the stockholder’s notice and intends to appear in person or by proxy at the annual meeting to bring such nomination or other business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 representation and undertaking as to whether the proposing stockholder, the beneficial owner or their respective affiliates, associates or others acting in concert with them intends, or is part of a group that intends, to (x) deliver a proxy statement or form of proxy to holders of at least the percentage of the voting power of the corporation's then-outstanding capital stock required to approve or adopt the proposal or elect each such nominee (which, in the case of the election of a nominee, such representation and undertaking must include a statement as to whether the proposing stockholder, the beneficial owner or their respective affiliates or associates or others acting in concert with them intends to solicit the requisite percentage of the voting power of the corporation’s stock under Rule 14a-19 of the Exchange Act) or (y) otherwise solicit proxies from stockholders in support of such proposal or 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other information relating to the proposing stockholder, the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such other information relating to any proposed item of business as the corporation may reasonably require to determine whether such proposed item of business is a proper matter for stockholder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11, “principal competitor” shall mean any entity that develops or provides products or services that compete with or are alternatives to the principal products developed or produced or services provided by the Company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requirements of this Article II, Section 11, to be timely, a stockholder’s notice (and any additional information submitted to the corporation in connection therewith) must further be updated and supplemented (x) if necessary, so that the information provided or required to be provided in such notice is true and correct as of the record date(s) for determining the stockholders entitled to notice of, and to vote at, the annual meeting and as of the date that is 10 business days prior to the annual meeting or any adjournment, rescheduling, postponement or other delay thereof; and (y) to provide any additional information that the corporation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update and supplement or additional information (including, if requested pursuant to Article II, Section 11(b)(iii)(P)) must be received by the Secretary at the principal executive offices of the corporation (A) in the case of a request for additional information, promptly following a request therefor, which response must be received by the Secretary not later than such reasonable time as is specified in any such request from the corporation; or (B) in the case of any other update or supplement of any information, not later than five (5) business days after the record date(s) for the annual meeting (in the case of any update and supplement required to be made as of the record date(s)), and not later than eight (8) business days prior to the date for the annual meeting or any adjournment, rescheduling, postponement or other delay thereof (in the case of any update or supplement required to be made as of ten (10) business days prior to the annual meeting or any adjournment, rescheduling, postponement or other delay thereof). No later than five (5) business days prior to the annual meeting or any adjournment, rescheduling, postponement, or other delay thereof, a stockholder nominating individuals for election as a director will provide the corporation with reasonable evidence that such stockholder has met the requirements of Rule 14a-19. The failure to timely provide such update, supplement, evidence, or additional information shall result in the nomination or proposal no longer being eligible for consideration at the annual meeting. If the stockholder fails to comply with the requirements of Rule 14a-19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 For the avoidance of doubt, the obligation to update and supplement, or provide additional information or evidence, as set forth in these Bylaws shall not limit the corporation’s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 bank, trust company, or other nominee who is the stockholder submitting a notice pursuant to this Article II, Section 11 solely because such broker, dealer, commercial bank, trust company, or other nominee has been directed to prepare and submit the notice required by these Bylaws on behalf of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Proxy Access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Inclusion of Proxy Access Nominees in Proxy Materials</w:t>
      </w:r>
      <w:r>
        <w:rPr>
          <w:rFonts w:ascii="Times New Roman;Times;Serif" w:hAnsi="Times New Roman;Times;Serif"/>
          <w:b w:val="false"/>
          <w:i w:val="false"/>
          <w:caps w:val="false"/>
          <w:smallCaps w:val="false"/>
          <w:sz w:val="20"/>
        </w:rPr>
        <w:t>. Subject to the requirements of Article II, Section 11, the corporation shall include in its proxy statement and on its proxy card for any annual meeting of stockholders, the name of any director nominee, together with the Required Information (defined below),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Delivery of Proxy Access Nomination Notice</w:t>
      </w:r>
      <w:r>
        <w:rPr>
          <w:rFonts w:ascii="Times New Roman;Times;Serif" w:hAnsi="Times New Roman;Times;Serif"/>
          <w:b w:val="false"/>
          <w:i w:val="false"/>
          <w:caps w:val="false"/>
          <w:smallCaps w:val="false"/>
          <w:sz w:val="20"/>
        </w:rPr>
        <w:t xml:space="preserve">. To be timely, the Proxy Access Nomination Notice must be received by the Secretary at the principal executive office of the corporation no later than 5:00 p.m., Mountain time, on the 120th calendar day and no earlier than 8:00 a.m., Mountain time, on the 150th calendar day prior to the first anniversary of the date on which the corporation first mailed its proxy materials or a notice of availability of proxy materials (whichever is earlier) to stockholders in connection with the previous year’s annual meeting of stockholders;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event that no annual meeting was held in the previous year or the date of the annual meeting for the current year has been changed by more than thirty (30) days from the one-year anniversary of the previous year’s annual meeting, notice by the stockholder to be timely it must be so received no earlier than 8:00 a.m., Mountain time, on the 150th calendar day prior to the date of such annual meeting and no later than 5:00 p.m., Mountain time, on the later of: (A) the 120th calendar day prior to the date of such annual meeting or (B) the 10th calendar day following the day on which the public announcement of the date of such annual meeting is first made by the corporation. In no event shall the public announcement of an adjournment, rescheduling, postponement, or other delay of an annual meeting of stockholders commence a new time period (or extend any time period) for the submission of such Proxy Access 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Required information</w:t>
      </w:r>
      <w:r>
        <w:rPr>
          <w:rFonts w:ascii="Times New Roman;Times;Serif" w:hAnsi="Times New Roman;Times;Serif"/>
          <w:b w:val="false"/>
          <w:i w:val="false"/>
          <w:caps w:val="false"/>
          <w:smallCaps w:val="false"/>
          <w:sz w:val="20"/>
        </w:rPr>
        <w:t>. In addition to including the name of the Proxy Access Nominee in the corporation’s proxy statement for the annual meeting of stockholders, the corporation also shall include (A) the information concerning the Proxy Access Nominee and the Eligible Stockholder that is required to be disclosed in the corporation’s proxy statement pursuant to the proxy rules of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Maximum Number of Proxy Access Nominees</w:t>
      </w:r>
      <w:r>
        <w:rPr>
          <w:rFonts w:ascii="Times New Roman;Times;Serif" w:hAnsi="Times New Roman;Times;Serif"/>
          <w:b w:val="false"/>
          <w:i w:val="false"/>
          <w:caps w:val="false"/>
          <w:smallCaps w:val="false"/>
          <w:sz w:val="20"/>
        </w:rPr>
        <w:t>. The maximum number of Proxy Access Nominees nominated by all Eligible Stockholders that will be included in the corporation’s proxy materials with respect to an annual meeting of stockholders pursuant to this Article II, Section 11(c) shall not exceed the greater of (A) two (2) and (B) 20 % of the total number of directors in office (rounded down to the nearest whole number), as of the last day on which a Proxy Access Nomination Notice may be delivered pursuant to and in accordance with this Article II, Section 11(c) (the “Permitted Number”); provided, however, the Permitted Number shall be reduced (but not below one)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number of individuals serving as directors or nominees for director who, in either case, were elected or appointed to the Board of Directors or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Proxy Access Nominees. In the event that one or more vacancies or other unfilled seats in previously authorized directorships for any reason occurs on the Board of Directors after the deadline for delivery of Proxy Access Nomination Notice but before the date of the annual meeting and the Board of Directors resolves to reduce the size of the Board of Directors in connection therewith, the Permitted Number shall be calculated based on the number of directors in office as so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Eligible Stockholder submitting more than one Proxy Access Nominee for inclusion in the corporation’s proxy materials pursuant to this Article II, Section 11(c) shall rank such Proxy Access Nominees in its Proxy Access Nomination Notice based on the order that the Eligible Stockholder desires such Proxy Access Nominees to be selected for inclusion in the corporation’s proxy materials. In the event that the number of Proxy Access Nominees submitted by Eligible Stockholders pursuant to this Article II, Section 11(c) exceeds the Permitted Number, the highest ranking Proxy Access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Nomination Notice submitted to the Corporation. If the Permitted Number is not reached after the highest ranking Proxy Access Nominee who meets the requirements of this Article II, Section 11(c) from each Eligible Stockholder has been selected, this process will continue with the next highest ranked nominees as many times as necessary, following the same order each time, until the Permitted Number is 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Ownership Requirement</w:t>
      </w:r>
      <w:r>
        <w:rPr>
          <w:rFonts w:ascii="Times New Roman;Times;Serif" w:hAnsi="Times New Roman;Times;Serif"/>
          <w:b w:val="false"/>
          <w:i w:val="false"/>
          <w:caps w:val="false"/>
          <w:smallCaps w:val="false"/>
          <w:sz w:val="20"/>
        </w:rPr>
        <w:t>. An Eligible Stockholder must have owned (as defined below) continuously for at least three years (the “Holding Period”) a number of shares that represents three percent (3%) or more of the total voting power of the corporation’s outstanding shares entitled to vote in the election of directors (such required number of shares, the “Required Shares”). For purposes of determining whether the Eligible Stockholder owned the Required Shares for the Holding Period, the number of shares of capital stock will be determined by reference to the corporation’s periodic filings with the SEC during the Holding Period. The Requires Shares must be owned continuously as of (A) the date the Proxy Access Nomination Notice is received by the corporation in accordance with this Article II, Section 11(c), (B) the record date for determining stockholders entitled to vote at the annual meeting of stockholders and (C) the annual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(X) under common management and investment control, (Y) under common management and funded primarily by the same employer (or by a group of related employers that are under common control), or (Z)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II, Section 11(c), an Eligible Stockholder shall be deemed to “own” only those outstanding shares of the corporation as to which the Eligible Stockholder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Eligible Stockholder or any of its affiliates in any transaction that has not been settled or closed, including any short sale, (2) borrowed by such Eligible Stockholder or any of its affiliates for any purposes or purchased by such person or any of its affiliates pursuant to an agreement to resell, or (3) subject to any option, warrant, forward contract, swap, contract of sale, other Derivative Instrument or similar agreement entered into by such Eligible Stockholder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Eligible Stockholders’ or affiliates’ full right to vote or direct the voting of any such shares and/or hedging, offsetting or altering to any degree gain or loss arising from the full economic ownership of such shares by such Eligible Stockholder or affiliate. A person shall “own” shares held in the name of a nominee or other intermediary so long as the person retains the right to instruct how the shares are voted with respect to the election of directors and possesses the full economic interest in the shares. A person will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caps w:val="false"/>
          <w:smallCaps w:val="false"/>
          <w:sz w:val="20"/>
        </w:rPr>
        <w:t>Representations and Agreement of any Proxy Access Nominee</w:t>
      </w:r>
      <w:r>
        <w:rPr>
          <w:rFonts w:ascii="Times New Roman;Times;Serif" w:hAnsi="Times New Roman;Times;Serif"/>
          <w:b w:val="false"/>
          <w:i w:val="false"/>
          <w:caps w:val="false"/>
          <w:smallCaps w:val="false"/>
          <w:sz w:val="20"/>
        </w:rPr>
        <w:t>. Within the time period specified in Article II, Section 11(c)(ii) for the Proxy Access Nomination Notice, an Eligible Stockholder must provide in writing to the Secretary, with respect to the Proxy Access Nominee, in addition to the information and representations required to be provided in the stockholder’s notice pursuant to Article II, Section 11(b) and as required by Article II, Section 11(e), representations and 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(B) 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 (2)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caps w:val="false"/>
          <w:smallCaps w:val="false"/>
          <w:sz w:val="20"/>
        </w:rPr>
        <w:t>Information to be Provided by an Eligible Stockholder</w:t>
      </w:r>
      <w:r>
        <w:rPr>
          <w:rFonts w:ascii="Times New Roman;Times;Serif" w:hAnsi="Times New Roman;Times;Serif"/>
          <w:b w:val="false"/>
          <w:i w:val="false"/>
          <w:caps w:val="false"/>
          <w:smallCaps w:val="false"/>
          <w:sz w:val="20"/>
        </w:rPr>
        <w:t>. Within the time period specified in Article II, Section 11(c)(ii) for the Proxy Access Nomination Notice, an Eligible Stockholder (which for purposes of this Article II, Section 11(c)(vii), will be deemed to include any beneficial owner on whose behalf the nomination is made) making a nomination pursuant to this Article II, Section 11(c)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Holding Period) verifying that, as of a date within seven calendar days prior to the date the Proxy Access Nomination Notice is received by the Secretary of the corporation, the Eligible Stockholder owns, and has owned continuously for the Holding Period,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corporation (a) made a public announcement of such date or (b) delivered a written notice of the record date (including by electronic mail) to the Eligible Stockholder) or (y) the date on which the corporation delivered to the Eligible Stockholder written notice (including by electronic mail) of the record date (if such notice is provided after the record date); and (2) immediate notice if the Eligible Stockholder ceases to own any of the Required Shares prior to the date of the annual meeting of stockholders; (C) documentation satisfactory to the corporation demonstrating that a group of funds are entitled to be treated as one stockholder or person for purposes of this Article II, Section 11(c); (D) a representation that the Eligible Stockholder (including each member of any group of stockholders that together is an Eligible Stockholder hereunder): (1) acquired the Required Shares in the ordinary course of business and not with the intent to change or influence control of the corporation,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 (4) has not and will not distribute to any stockholder any form of proxy for the annual meeting of stockholders other than the form distributed by the corporation, (5) consents to the public disclosure of the information provided pursuant to this Article II, Section 11(c), and (6)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(E) a description of all agreements, arrangements or understandings between the Eligible Stockholder and each Proxy Access Nominee and any other person or persons, including the Proxy Access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Proxy Access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corporation, (2)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caps w:val="false"/>
          <w:smallCaps w:val="false"/>
          <w:sz w:val="20"/>
        </w:rPr>
        <w:t>Supporting Statement</w:t>
      </w:r>
      <w:r>
        <w:rPr>
          <w:rFonts w:ascii="Times New Roman;Times;Serif" w:hAnsi="Times New Roman;Times;Serif"/>
          <w:b w:val="false"/>
          <w:i w:val="false"/>
          <w:caps w:val="false"/>
          <w:smallCaps w:val="false"/>
          <w:sz w:val="20"/>
        </w:rPr>
        <w:t>. The Eligible Stockholder may with its Proxy Access Nomination Notice, provide to the Secretary, a written statement for inclusion in the corporation’s proxy statement for the annual meeting of stockholders, not to exceed 500 words per Proxy Access Nominee, in support of each Proxy Access Nominee it names in its Proxy Access Nomination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caps w:val="false"/>
          <w:smallCaps w:val="false"/>
          <w:sz w:val="20"/>
        </w:rPr>
        <w:t>True, Correct and Complete Information</w:t>
      </w:r>
      <w:r>
        <w:rPr>
          <w:rFonts w:ascii="Times New Roman;Times;Serif" w:hAnsi="Times New Roman;Times;Serif"/>
          <w:b w:val="false"/>
          <w:i w:val="false"/>
          <w:caps w:val="false"/>
          <w:smallCaps w:val="false"/>
          <w:sz w:val="20"/>
        </w:rPr>
        <w:t>. 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 and not misleading. In addition, any person or entity providing any information to the corporation pursuant to this Article II, Section 11(c) must further update and supplement such information, if necessary, so that all such information is true and correct as of the record date for the annual meeting and as of the date that is ten business days prior to the annual meeting or any adjournment, rescheduling, postponement or other delay thereof. Any update or supplement (or a written certification that no such updates or supplements are necessary and that the information previously provided remains true and correct as of the applicable date) pursuant to this Article II, Section 11(c) must be received by the Secretary of the corporation at the principal executive offices of the corporation no later than (i) five business days after the record date for the annual meeting (in the case of any update and supplement required to be made as of the record date); and (ii) seven business days prior to the date of the annual meeting or any adjournment, rescheduling, postponement or other thereof (in the case of any update and supplement required to be made as of ten business days prior to the annual meeting). No notification, update or supplement provided pursuant to this Article II, Section 11(c) or otherwise will be deemed to cure any defect in any previously provided information or communications or limit the remedies available to the corporation relating to any such defect (including the right to omit a Proxy Access Nominee from its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Disqualifications and Exclusions of Proxy Access Nominees</w:t>
      </w:r>
      <w:r>
        <w:rPr>
          <w:rFonts w:ascii="Times New Roman;Times;Serif" w:hAnsi="Times New Roman;Times;Serif"/>
          <w:b w:val="false"/>
          <w:i w:val="false"/>
          <w:caps w:val="false"/>
          <w:smallCaps w:val="false"/>
          <w:sz w:val="20"/>
        </w:rPr>
        <w:t>. The corporation shall not be required to include pursuant to this Article II, Section 11(c) any Proxy Access Nominee in its proxy materials (or, if the proxy materials have already been filed, to allow the nomination of a Proxy Access Nominee pursuant to this Article II, Section 11(c),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 of any individual as a director at the annual meeting of stockholders other than its Proxy Access 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Certificate of Incorporation, the Board Qualifications, the listing standards of the principal exchange upon which the corporation’s shares are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contemplated by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(I) such Proxy Access Nominee dies, becomes disabled or otherwise becomes ineligible for inclusion in the corporation’s proxy materials pursuant to this Article II, Section 11(c) or otherwise becomes unavailable for election at the annual meeting (including because such Proxy Access Nominee is no longer willing to serve on the Board of Directors), (J)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 or (K) the Eligible Stockholder who has nominated such Proxy Access Nominee ceases to be an Eligible Stockholder for any reason, including but not limited to not owning the Required Shares through the date of the applicable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caps w:val="false"/>
          <w:smallCaps w:val="false"/>
          <w:sz w:val="20"/>
        </w:rPr>
        <w:t>Process Following Disqualification or Exclusion</w:t>
      </w:r>
      <w:r>
        <w:rPr>
          <w:rFonts w:ascii="Times New Roman;Times;Serif" w:hAnsi="Times New Roman;Times;Serif"/>
          <w:b w:val="false"/>
          <w:i w:val="false"/>
          <w:caps w:val="false"/>
          <w:smallCaps w:val="false"/>
          <w:sz w:val="20"/>
        </w:rPr>
        <w:t>. Notwithstanding anything to the contrary set forth herein, if (A) the Proxy Access 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 Section 11(c), (i)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(ii) to the extent feasible, the corporation may remove the information concerning a Proxy Access Nominee and any related Statement (or portion thereof) from its proxy materials or otherwise communicate to its stockholders that such Proxy Access Nominee will not be eligible for election at the annual meeting, and (iii) the corporation shall not be required to include in its proxy statement any successor or replacement nominee proposed by the applicable Eligible Stockholder or any other Eligible Stockholder pursuant to this Article II, Section 11(c).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caps w:val="false"/>
          <w:smallCaps w:val="false"/>
          <w:sz w:val="20"/>
        </w:rPr>
        <w:t>Future Status of Withdrawn or Ineligible Proxy Access Nominees</w:t>
      </w:r>
      <w:r>
        <w:rPr>
          <w:rFonts w:ascii="Times New Roman;Times;Serif" w:hAnsi="Times New Roman;Times;Serif"/>
          <w:b w:val="false"/>
          <w:i w:val="false"/>
          <w:caps w:val="false"/>
          <w:smallCaps w:val="false"/>
          <w:sz w:val="20"/>
        </w:rPr>
        <w:t>. Any Proxy Access Nominee who is included in the corporation’s proxy materials for a particular annual meeting of stockholders as Proxy Access Nominee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Proxy Access Nominee has been nominated for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caps w:val="false"/>
          <w:smallCaps w:val="false"/>
          <w:sz w:val="20"/>
        </w:rPr>
        <w:t>Exclusive Method for Proxy Access</w:t>
      </w:r>
      <w:r>
        <w:rPr>
          <w:rFonts w:ascii="Times New Roman;Times;Serif" w:hAnsi="Times New Roman;Times;Serif"/>
          <w:b w:val="false"/>
          <w:i w:val="false"/>
          <w:caps w:val="false"/>
          <w:smallCaps w:val="false"/>
          <w:sz w:val="20"/>
        </w:rPr>
        <w:t>. Subject to Rule 14a-19 under the Exchange Act, this Article II, Section 11(c) provides the exclusive method for stockholders to include nominees for director in the corporation’s proxy materials with respect to an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Special Meetings of Stockholders</w:t>
      </w:r>
      <w:r>
        <w:rPr>
          <w:rFonts w:ascii="Times New Roman;Times;Serif" w:hAnsi="Times New Roman;Times;Serif"/>
          <w:b w:val="false"/>
          <w:i w:val="false"/>
          <w:caps w:val="false"/>
          <w:smallCaps w:val="false"/>
          <w:sz w:val="20"/>
        </w:rPr>
        <w:t>. Except to the extent required by the DGCL, and subject to Article II, Section 5 of these Bylaws, special meetings of stockholders may be called only in accordance with the Certificate of Incorporation and these Bylaws. Only such business shall be conducted at a special meeting of stockholders as shall have been brought before the special meeting pursuant to the corporation's notice of meeting. If the election of directors is included as business to be brought before a special meeting of stockholders pursuant to the corporation's notice of meeting, then nominations of persons for election to the Board of Directors at such special meeting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stockholder of the corporation who (i) is a stockholder of record at the time the notice provided for in this Article II, Section 11 is delivered to the Secretary,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Article II, Section 11 (with such procedures that the corporation deems to be applicable to such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special meeting of stockholders is called for the purpose of electing one or more directors to the Board of Directors, then for nominations or any proposed business to be properly brought by a stockholder before a special meeting pursuant to this Article II, Section 11(d), the stockholder's notice required by this Article II, Section 11 must be received by the Secretary at the principal executive offices of the corporation no earlier than 8:00 a.m., Mountain time, on the 120th calendar day prior to the day of the special meeting and no later than 5:00 p.m., Mountain time, on the 10th calendar day following the day on which public announcement of the date of the special meeting was first made. In no event shall any adjournment, rescheduling, postponement or other delay of a special meeting or any announcement thereof commence a new time period (or extend any time period) for the giving of a stockholder’s notice as described above. A stockholder’s notice to the Secretary must comply with the applicable notice requirements of Article II, Section 11(b), with references therein to “annual meeting” deemed to mean “special meeting” for the purposes of this final sentence of this Article II, Section 11(d).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Other Requirements and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be eligible to be a nominee of any stockholder for election as a director of the corporation, the proposed nominee must provide to the Secretary, in accordance with the applicable time periods prescribed for delivery of notice under Article II,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signed and completed written questionnaire (in the form provided by the Secretary at the written request of the proposing stockholder, which form will be provided by the Secretary within 10 days of receiving such request) containing information regarding such nominee’s background and qualifications and such other information as may reasonably be required by the corporation to determine the eligibility of such nominee to serve as a director of the corporation or to serve as an independent director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written representation and undertaking that, unless previously disclosed to the corporation, such nominee is not, and will not become, a party to any voting agreement, arrangement, commitment, assurance or understanding with any person or entity as to how such nominee, if elected as a director, will vote on any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written representation and undertaking that, unless previously disclosed to the corporation, such nominee is not, and will not become, a party to any Compensation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written representation and undertaking that, if elected as a director, such nominee would be in compliance, and will continue to comply, with the corporation’s corporate governance, conflict of interest, confidentiality, stock ownership and trading guidelines, and other policies and guidelines applicable to directors and in effect during such person’s term in office as a director, including, without limitation, the corporation’s Code of Business Conduct and Ethics and the corporation’s Corporate Governance Guidelines (and, if requested by any candidate for nomination, the Secretary will provide to such proposed nominee all such policies and guidelines then in effect within 5 business days of receiving such request),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written representation and undertaking as to whether such nominee, if elected, intends to serve a full term on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request of the Board of Directors, any person nominated by the Board of Directors for election as a director must furnish to the Secretary the information that is required to be set forth in a stockholder’s notice of nomination pertaining to such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person will be eligible to be nominated by a stockholder for election as a director of the corporation, or to be seated as a director of the corporation, unless nominated and elected in accordance with the procedures set forth in this Article II, Section 11. No business shall be conducted at any annual meeting or special meeting except in accordance with the procedures set forth in this Article II, Section 11,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anything to the contrary in this Article II, Section 11, 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in person at the meeting to present the proposed business or nominations, such business or nominations shall not be considered, notwithstanding that proxies in respect of such business or nominations may have been received by the corporation and counted for purposes of determining a quorum. For purposes of this Article II, Section 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Chair of the meeting shall, if the facts warrant, determine and declare at the meeting that any nomination or business, as the case may be, was not properly brought before the meeting and in accordance with the provisions of this Article II, Section 11, and, if the Chair should so determine, the Chair shall so declare at the meeting that any such nomination or business, as the case may be, not properly brought before the meeting shall be disregarded or not be transacted,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Without limiting this Article II, Section 11, a stockholder must also comply with all applicable requirements of the Exchange Act with respect to the matters set forth in this Article II, Section 11, it being understood that (1) any references in these Bylaws to the Exchange Act are not intended to, and will not, limit any requirements applicable to nominations or proposals as to any other business to be considered pursuant to this Article II, Section 11; and (2) compliance with clause (iii) of Article II, Section 11(a) and with Article II, Section 11(d) are the exclusive means for a stockholder to make nominations or submit other business (other than as provided in Article II, Section 11(e)(vii)).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Notwithstanding anything to the contrary in this Article II, Section 11, the notice requirements set forth in these Bylaws with respect to the proposal of any business pursuant to this Article II, Section 11 will be deemed to be satisfied by a stockholder if (1) such stockholder has submitted a proposal to the corporation in compliance with Rule 14a-8 under the Exchange Act; and (2) such stockholder’s proposal has been included in a proxy statement that has been prepared by the corporation to solicit proxies for the meeting of stockholders. Subject to Rule 14a-8 and other applicable rules and regulations under the Exchange Act, nothing in these Bylaws will be construed to permit any stockholder, or give any stockholder the right, to include or have disseminated or described in the corporation’s proxy statement any nomination of a director or any other business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Conduct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Meetings of stockholders shall be presided over by the Chair of the Board of Directors, if any, or in his or her absence, the Chief Executive Officer, if any, or in his or her absence by the President, if any, or in the absence of the foregoing persons by a Chair designated by the Board of Directors, or in the absence of such designation by any other executive officer of the corporation. The Secretary shall act as secretary of the meeting, but in his or her absence the Chair of the meeting may appoint any person to act as secretary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another place, if any, date or time,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 Inspector of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evidence of the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Number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This Article III, Section 1 may be amended only by a Bylaw duly adopted by the affirmative vote of a majority in voting power of the outstanding shares entitled to vote or by a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be elected at each annual meeting of stockholders, but if any such annual meeting is not held, or the directors are not elected thereat, the directors may be elected at any special meeting of the stockholders held for that purpose. Each director shall hold office until the expiration of the term for which elected and qualified and until such director’s successor is elected and qualified or until such director’s earlier death, resignation, or removal. A director need not be a stockholder unless so required by the Certificate of Incorporation or these Bylaws. The Certificate of Incorporation or these Bylaws may prescribe other qualifications for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Majority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Section 6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considered for purposes of establishing a quorum at the meeting but not counted as a vote cast either “for” or “against” that director’s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Resignation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resign effective upon giving notice in writing or by electronic transmission to the Chair of the Board, the Chief Executive Officer, the President, the Secretary or the Board of Directors, unless the notice specifies a later time for the effectiveness of such resignation or an effective time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time, a majority of the directors then in office, including those who have so resigned, shall have the power to fill such vacancy or vacancies, the vote thereon to take effect when such resignation or resignations shall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Vacancies and Newly Created Directorships.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Certificate of Incorporation or these Bylaws or permitted in the specific case by resolution of the Board of Directors, any newly created directorship resulting from any increase in the authorized number of directors elected by all the stockholders having the right to vote as a single class or any vacancy occurring in the Board of Directors for any reason shall be filled by a majority of the directors then in office, whether or not less than a quorum, or by a sole remaining director, and not by stockholders. Each director so elected shall hold office until the expiration of the term for which he or she was elected and qualified and until his or her successor is elected and qualified at an annual or a special meeting of the stockholders, or until his or her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qualified and until his or her successor is elected and qualified at an annual or a special meeting of the stockholders, or until his or her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Place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corporation may hold meetings, both regular and special, either within or without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Regular Meetings;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meetings of the Board of Directors may be held without notice at such time and at such place as shall from time to time 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Special Meetings;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Special meetings of the Board of Directors for any purpose or purposes may be called at any time by the Chair of the Board of Directors or the Chief Executive Officer; special meetings shall be called by the Chief Executive Officer or Secretary in like manner and on like notice on the request of the Chair of the Board of Directors or two (2) directors;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person(s) authorized to call a special meeting of the Board of Directors may authorize another person or persons to send notice of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the time and place of special meetings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delivered personally by hand, by courier or by telephone;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sent by United States first-class mail, postage prepaid;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sent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sent by electronic mail;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otherwise given by electronic transmission (as defined in Section 232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to each director at that director’s address, telephone number, facsimile number, electronic mail address or other contact for notice by electronic transmission, as the case may be, as shown on the corporation’s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is (i) delivered personally by hand, by courier or by telephone, (ii) sent by facsimile, (iii) sent by electronic mail or (iv) otherwise given by electronic transmission, it shall be delivered, sent or otherwise directed to each director, as applicable, at least 24 hours and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corporation’s principal executive office) nor the purpose of the meeting, unless required by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meetings of the Board of Directors a majority of the Whole Board shall constitute a quorum for the transaction of business and the affirmative vote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Article III, Section 12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the committee thereof, in the same paper or electronic form as the minutes are maintained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 Meeting by Remote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 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Executive Committee. </w:t>
      </w:r>
      <w:r>
        <w:rPr>
          <w:rFonts w:ascii="Times New Roman;Times;Serif" w:hAnsi="Times New Roman;Times;Serif"/>
          <w:b w:val="false"/>
          <w:i w:val="false"/>
          <w:caps w:val="false"/>
          <w:smallCaps w:val="false"/>
          <w:sz w:val="20"/>
        </w:rPr>
        <w:t>The Board of Directors may designate an executive committee consisting of one or more of the directors of the corporation. The Board of Directors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the executive committee shall not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Other Committees. </w:t>
      </w:r>
      <w:r>
        <w:rPr>
          <w:rFonts w:ascii="Times New Roman;Times;Serif" w:hAnsi="Times New Roman;Times;Serif"/>
          <w:b w:val="false"/>
          <w:i w:val="false"/>
          <w:caps w:val="false"/>
          <w:smallCaps w:val="false"/>
          <w:sz w:val="20"/>
        </w:rPr>
        <w:t>The Board of Directors may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law, the Certificate of Incorporation or by these Bylaws. The Board of Directors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or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Conduct of Committee Meetings. </w:t>
      </w:r>
      <w:r>
        <w:rPr>
          <w:rFonts w:ascii="Times New Roman;Times;Serif" w:hAnsi="Times New Roman;Times;Serif"/>
          <w:b w:val="false"/>
          <w:i w:val="false"/>
          <w:caps w:val="false"/>
          <w:smallCaps w:val="false"/>
          <w:sz w:val="20"/>
        </w:rPr>
        <w:t>Unless the Board of Directors otherwise provides, each committee and subcommittee may 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 with such changes in the context of the Bylaws as a necessary to substitute the committee or subcommittee and its members for the Board of Directors and its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Subcommittees.</w:t>
      </w:r>
      <w:r>
        <w:rPr>
          <w:rFonts w:ascii="Times New Roman;Times;Serif" w:hAnsi="Times New Roman;Times;Serif"/>
          <w:b w:val="false"/>
          <w:i w:val="false"/>
          <w:caps w:val="false"/>
          <w:smallCaps w:val="false"/>
          <w:sz w:val="20"/>
        </w:rPr>
        <w:t xml:space="preserve"> 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 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Notice of Stockholders’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meeting of stockholders shall be given in the manner set forth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Waiver of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notice is required to be given under any provision of the DGCL, the Certificate of Incorporation or these Bylaws, a waiver thereof in writing, signed by the person entitled to notice, or a waiver thereof by electronic transmission by the person entitled to such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corporation shall be a Chief Executive Officer and a Secretary. The corporation may also have, at the discretion of the Board of Directors, a Chair of the Board of Directors, a Vice Chair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Appointment of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appoint the officers of the corporation, except such officers as may be appointed in accordance with the provisions of Article V, Section 3 of these Bylaws, subject to the rights, if any, of an officer under any contract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Subordinate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appoint, or empower any officer to appoint, such other officers as the business of the corporation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Removal and Resignation of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Removal</w:t>
      </w:r>
      <w:r>
        <w:rPr>
          <w:rFonts w:ascii="Times New Roman;Times;Serif" w:hAnsi="Times New Roman;Times;Serif"/>
          <w:b w:val="false"/>
          <w:i w:val="false"/>
          <w:caps w:val="false"/>
          <w:smallCaps w:val="false"/>
          <w:sz w:val="20"/>
        </w:rPr>
        <w:t>. Subject to the rights, if any, of an officer under any contract of employment, any officer may be removed, either with or without cause, by the Board of Directors or, for the avoidance of doubt, any duly authorized committee or subcommittee thereof or by any officer upon whom such power of removal has be conferred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Resignation. </w:t>
      </w:r>
      <w:r>
        <w:rPr>
          <w:rFonts w:ascii="Times New Roman;Times;Serif" w:hAnsi="Times New Roman;Times;Serif"/>
          <w:b w:val="false"/>
          <w:i w:val="false"/>
          <w:caps w:val="false"/>
          <w:smallCaps w:val="false"/>
          <w:sz w:val="20"/>
        </w:rPr>
        <w:t>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Vacancies in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occurring in any office of the corporation shall be filled by the Board of Directors or as provided in Article V,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Representation of Securities of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Board of Directors, the Chief Executive Officer, the President, any Vice President, the Treasurer, the Secretary or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or other securities of, or interests in, or issued by, any other entity or entities, and all rights incident to any management authority conferred on the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Authority and Duties of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officers of the corporation shall respectively have such authority and perform such duties in the management of the business of the corporation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offices, subject to the control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CERTIFICATES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certifying the number of shares owned by such holder in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however,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Article VI, Section 1 or Sections 151, 156, 202(a), 218(a) or 364 of the DGCL or with respect to this Article VI, Section 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Signatures on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Lost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this Article VI, Section 3, no new certificates for shares shall be issued to replace a previously issued certificate unless the latter is surrendered to the corporation and cancelled at the same time. The corporation may issue a new certificate or certificates of stock or uncertificated shares in place of any certificate or certificates theretofore issued by the corporation, alleged to have been lost, stolen, or destroyed, upon the making of an affidavit to that fact by the person claiming the certificate of stock to be lost, stolen, or destroyed. When issuing a new certificate or certificates of stock or uncertificated shares, the corporation may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 or the issuance of such new certificates of stock or uncertificated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Transfer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record of shares of stock of the corporation shall be made only on the transfer books of the corporation upon authorization by the registered holder thereof, in person or by such holder’s attorney duly authorized, and, subject to Article VI, Section 3, if such shares are represented by a certificate, upon surrender of the certificate or certificates for such shares, properly endorsed or accompanied by proper evidence of succession, assignation or authority to transfer and payment of applicable taxes, if any; provided however, that the corporation shall be entitled to recognize any lawful restriction on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with the provisions of Section 213 of the DGCL and this Article VI, Section 5 at the reconvened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and which record date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Registered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be entitled to recognize the exclusive right of a person registered on its books as the owner of shares to receive dividends and notices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Stock Transfer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power to enter into and perform any agreement with any number of stockholders of the corporation to restrict the transfer of shares of stock of the corporation owned by such stockholders in any manner not prohibited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FORUM FOR DISPUTES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Forum for Disputes.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the corporation consents in writing to the selection of an alternative forum, the Court of Chancery of the State of Delaware (or, if the Court of Chancery of the State of Delaware does not have jurisdiction, another State court in Delaware or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stockholder, officer or other employee of the corporation to the corporation or the corporation’s stockholders, (iii) any action arising pursuant to any provision of the DGCL or the Certificate of Incorporation or these Bylaws (as either may be amended from time to time) or (iv) any action asserting a claim governed by the internal affairs doctrine, except for, as to each of (i) through (iv) above, any complaint as to which such court determines that there is an indispensable party not subject to the jurisdiction of such court (and the indispensable party does not consent to the personal jurisdiction of such court within 10 days following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person or entity purchasing, holding, or otherwise acquiring any interest in security of the corporation shall be deemed to have notice of and consented to the provisions of this Article VII Section 1. This provision shall be enforceable by any party to a complaint covered by the provisions of this Article VII,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Declaration of Dividends</w:t>
      </w:r>
      <w:r>
        <w:rPr>
          <w:rFonts w:ascii="Times New Roman;Times;Serif" w:hAnsi="Times New Roman;Times;Serif"/>
          <w:b w:val="false"/>
          <w:i w:val="false"/>
          <w:caps w:val="false"/>
          <w:smallCaps w:val="false"/>
          <w:sz w:val="20"/>
        </w:rPr>
        <w:t>.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Payment of Dividends. </w:t>
      </w:r>
      <w:r>
        <w:rPr>
          <w:rFonts w:ascii="Times New Roman;Times;Serif" w:hAnsi="Times New Roman;Times;Serif"/>
          <w:b w:val="false"/>
          <w:i w:val="false"/>
          <w:caps w:val="false"/>
          <w:smallCaps w:val="false"/>
          <w:sz w:val="20"/>
        </w:rPr>
        <w:t>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modify or abolish any such reserve in the manner in which it was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Checks.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checks or demands for money and notes of the corporation shall be signed by such officer or officers or such other person or persons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of the corporation shall be fixed by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adopt a corporate seal. The corporate seal shall have inscribed thereon the name of the corporation, the year of its organization and the words "Corporate Seal, Delaware." The seal may be used by causing it or a facsimile thereof to be impressed or affixed or reproduced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indemnify its officers, directors, employees and agents to the extent set forth in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Advancement of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to the fullest extent not prohibited by applicable law, pay the expenses (including attorneys’ fees) actually and reasonably incurred by a director or officer in defending any action, suit or proceeding, whether civil, criminal, administrative or investigative (a “proceeding”) in advance of its final disposition upon receipt of a written request therefor (together with documentation reasonably evidencing such expenses),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 or the DGCL. Such expenses (including attorneys’ fees) actually and reasonably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 Certificate of Incorporation or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Execution of Corporate Contracts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corporation; such authority may be general or confined to specific instances. Unless so authorized or ratified by the Board of Directors or within the agency power of an officer, agent or employee, no officer, agent, or employee shall have any power or authority to bind the corporation by any contract or engagement or to pledge its credit or to render it liable for any purpose or for any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Construction;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these Bylaws becomes or is declared on any ground by a court of competent jurisdiction to be illegal, unenforceable or void, portions of such provision, or such provision in its entirety, to the extent necessary, shall be severed from these Bylaws, and the court will replace such illegal, void or unenforceable provision of these Bylaws with a valid and enforceable provision that most accurately reflects the corporation’s intent, in order to achieve, to the maximum extent possible, the same economic, business and other purposes of the illegal, void or unenforceable provision. In the event the court declines to replace such illegal, void, or unenforceable provision of these Bylaws, these Bylaws should be construed to give effect to all remaining terms. The balance of these Bylaws shall be enforceable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Bylaws may be adopted, amended, or repealed by the stockholders entitled to vote. The Board of Directors shall also have the power to adopt, amend or repeal these Bylaws; provided, however, that a bylaw amendment adopted by stockholders which specifies the votes that shall be necessary for the election of directors shall not be further amended or repealed by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20367</Words>
  <Characters>104051</Characters>
  <CharactersWithSpaces>124523</CharactersWithSpaces>
  <Paragraphs>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