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740" w:right="2739" w:hanging="732"/>
        <w:spacing w:after="0" w:line="235" w:lineRule="auto"/>
        <w:tabs>
          <w:tab w:leader="none" w:pos="5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fiscal year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1, 1994</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ectPr>
          <w:pgSz w:w="11900" w:h="16838" w:orient="portrait"/>
          <w:cols w:equalWidth="0" w:num="2">
            <w:col w:w="2640" w:space="0"/>
            <w:col w:w="7579"/>
          </w:cols>
          <w:pgMar w:left="240" w:top="244" w:right="1440" w:bottom="0" w:gutter="0" w:footer="0" w:header="0"/>
          <w:type w:val="continuous"/>
        </w:sectPr>
      </w:pPr>
    </w:p>
    <w:p>
      <w:pPr>
        <w:spacing w:after="0" w:line="7" w:lineRule="exact"/>
        <w:rPr>
          <w:sz w:val="24"/>
          <w:szCs w:val="24"/>
          <w:color w:val="auto"/>
        </w:rPr>
      </w:pPr>
    </w:p>
    <w:p>
      <w:pPr>
        <w:ind w:left="740" w:right="26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1943</w:t>
      </w:r>
    </w:p>
    <w:p>
      <w:pPr>
        <w:sectPr>
          <w:pgSz w:w="11900" w:h="16838"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220"/>
            <w:col w:w="46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1" w:lineRule="exact"/>
        <w:rPr>
          <w:sz w:val="24"/>
          <w:szCs w:val="24"/>
          <w:color w:val="auto"/>
        </w:rPr>
      </w:pPr>
    </w:p>
    <w:p>
      <w:pPr>
        <w:sectPr>
          <w:pgSz w:w="11900" w:h="16838" w:orient="portrait"/>
          <w:cols w:equalWidth="0" w:num="2">
            <w:col w:w="4020" w:space="720"/>
            <w:col w:w="5479"/>
          </w:cols>
          <w:pgMar w:left="240" w:top="244" w:right="1440" w:bottom="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(Exact name as specified in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(I.R.S. Employer</w:t>
      </w:r>
    </w:p>
    <w:p>
      <w:pPr>
        <w:ind w:left="74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3800" w:space="420"/>
            <w:col w:w="5999"/>
          </w:cols>
          <w:pgMar w:left="240" w:top="244" w:right="1440" w:bottom="0" w:gutter="0" w:footer="0" w:header="0"/>
          <w:type w:val="continuous"/>
        </w:sectPr>
      </w:pPr>
    </w:p>
    <w:p>
      <w:pPr>
        <w:spacing w:after="0" w:line="204" w:lineRule="exact"/>
        <w:rPr>
          <w:sz w:val="24"/>
          <w:szCs w:val="24"/>
          <w:color w:val="auto"/>
        </w:rPr>
      </w:pP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2805 East Columbia Road,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(208)368-4000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00" w:space="0"/>
            <w:col w:w="4419"/>
          </w:cols>
          <w:pgMar w:left="240" w:top="244" w:right="1440" w:bottom="0" w:gutter="0" w:footer="0" w:header="0"/>
          <w:type w:val="continuous"/>
        </w:sectPr>
      </w:pPr>
    </w:p>
    <w:p>
      <w:pPr>
        <w:spacing w:after="0" w:line="24"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the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0" w:gutter="0" w:footer="0" w:header="0"/>
          <w:type w:val="continuous"/>
        </w:sectPr>
      </w:pPr>
    </w:p>
    <w:p>
      <w:pPr>
        <w:spacing w:after="0"/>
        <w:tabs>
          <w:tab w:leader="none" w:pos="520" w:val="left"/>
          <w:tab w:leader="none" w:pos="126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1480" w:space="0"/>
            <w:col w:w="8739"/>
          </w:cols>
          <w:pgMar w:left="240" w:top="244" w:right="1440" w:bottom="0" w:gutter="0" w:footer="0" w:header="0"/>
          <w:type w:val="continuous"/>
        </w:sectPr>
      </w:pPr>
    </w:p>
    <w:p>
      <w:pPr>
        <w:spacing w:after="0" w:line="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December 15, 1994 was 102,148,061.</w:t>
      </w:r>
    </w:p>
    <w:p>
      <w:pPr>
        <w:spacing w:after="0" w:line="200" w:lineRule="exact"/>
        <w:rPr>
          <w:sz w:val="24"/>
          <w:szCs w:val="24"/>
          <w:color w:val="auto"/>
        </w:rPr>
      </w:pPr>
    </w:p>
    <w:p>
      <w:pPr>
        <w:spacing w:after="0" w:line="381" w:lineRule="exact"/>
        <w:rPr>
          <w:sz w:val="24"/>
          <w:szCs w:val="24"/>
          <w:color w:val="auto"/>
        </w:rPr>
      </w:pPr>
    </w:p>
    <w:p>
      <w:pPr>
        <w:ind w:left="2320"/>
        <w:spacing w:after="0"/>
        <w:tabs>
          <w:tab w:leader="none" w:pos="32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Consolidated Balance Sheets</w:t>
      </w:r>
    </w:p>
    <w:p>
      <w:pPr>
        <w:ind w:left="2740"/>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line="200" w:lineRule="exact"/>
        <w:rPr>
          <w:sz w:val="24"/>
          <w:szCs w:val="24"/>
          <w:color w:val="auto"/>
        </w:rPr>
      </w:pPr>
    </w:p>
    <w:p>
      <w:pPr>
        <w:spacing w:after="0" w:line="204" w:lineRule="exact"/>
        <w:rPr>
          <w:sz w:val="24"/>
          <w:szCs w:val="24"/>
          <w:color w:val="auto"/>
        </w:rPr>
      </w:pPr>
    </w:p>
    <w:p>
      <w:pPr>
        <w:ind w:left="4960"/>
        <w:spacing w:after="0"/>
        <w:tabs>
          <w:tab w:leader="none" w:pos="6420" w:val="left"/>
        </w:tabs>
        <w:rPr>
          <w:sz w:val="20"/>
          <w:szCs w:val="20"/>
          <w:color w:val="auto"/>
        </w:rPr>
      </w:pP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September 1,</w:t>
      </w:r>
    </w:p>
    <w:p>
      <w:pPr>
        <w:spacing w:after="0"/>
        <w:tabs>
          <w:tab w:leader="none" w:pos="5260" w:val="left"/>
          <w:tab w:leader="none" w:pos="684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1994</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138.5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78.4</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284.0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122.7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989.4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793.2</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46.0</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742.3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$1,806.6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7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303.3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200.2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274.2</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152.8</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124.7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597.9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480.4</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$.10 par value, authorized</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150.0 million shares, issued and</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102.1 million and 100.7</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million shares, respectively</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376.8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369.7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825.0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stock compensation</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1,208.7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1,049.3</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shareholders' equity $1,806.6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47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2399"/>
        <w:spacing w:after="0" w:line="238" w:lineRule="auto"/>
        <w:rPr>
          <w:sz w:val="20"/>
          <w:szCs w:val="20"/>
          <w:color w:val="auto"/>
        </w:rPr>
      </w:pPr>
      <w:r>
        <w:rPr>
          <w:rFonts w:ascii="Courier New" w:cs="Courier New" w:eastAsia="Courier New" w:hAnsi="Courier New"/>
          <w:sz w:val="18"/>
          <w:szCs w:val="18"/>
          <w:color w:val="auto"/>
        </w:rPr>
        <w:t>(Dollars in millions, except for per share data)</w:t>
      </w:r>
    </w:p>
    <w:p>
      <w:pPr>
        <w:jc w:val="center"/>
        <w:ind w:right="251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tabs>
          <w:tab w:leader="none" w:pos="6520" w:val="left"/>
        </w:tabs>
        <w:rPr>
          <w:sz w:val="20"/>
          <w:szCs w:val="20"/>
          <w:color w:val="auto"/>
        </w:rPr>
      </w:pP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December 2,</w:t>
      </w:r>
    </w:p>
    <w:p>
      <w:pPr>
        <w:spacing w:after="0"/>
        <w:tabs>
          <w:tab w:leader="none" w:pos="5260" w:val="left"/>
          <w:tab w:leader="none" w:pos="684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  535.0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320.1</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289.7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245.3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105.1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248.9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38.0</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$159.3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Number of shares used in per share calculations: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$0.05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Statements of Cash Flows</w:t>
      </w:r>
    </w:p>
    <w:p>
      <w:pPr>
        <w:ind w:left="2960"/>
        <w:spacing w:after="0" w:line="238" w:lineRule="auto"/>
        <w:rPr>
          <w:sz w:val="20"/>
          <w:szCs w:val="20"/>
          <w:color w:val="auto"/>
        </w:rPr>
      </w:pPr>
      <w:r>
        <w:rPr>
          <w:rFonts w:ascii="Courier New" w:cs="Courier New" w:eastAsia="Courier New" w:hAnsi="Courier New"/>
          <w:sz w:val="18"/>
          <w:szCs w:val="18"/>
          <w:color w:val="auto"/>
        </w:rPr>
        <w:t>(Dollars in millions)</w:t>
      </w:r>
    </w:p>
    <w:p>
      <w:pPr>
        <w:ind w:left="34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tabs>
          <w:tab w:leader="none" w:pos="6520" w:val="left"/>
        </w:tabs>
        <w:rPr>
          <w:sz w:val="20"/>
          <w:szCs w:val="20"/>
          <w:color w:val="auto"/>
        </w:rPr>
      </w:pP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December 2,</w:t>
      </w:r>
    </w:p>
    <w:p>
      <w:pPr>
        <w:spacing w:after="0"/>
        <w:tabs>
          <w:tab w:leader="none" w:pos="5260" w:val="left"/>
          <w:tab w:leader="none" w:pos="6840" w:val="left"/>
        </w:tabs>
        <w:rPr>
          <w:sz w:val="20"/>
          <w:szCs w:val="20"/>
          <w:color w:val="auto"/>
        </w:rPr>
      </w:pPr>
      <w:r>
        <w:rPr>
          <w:rFonts w:ascii="Courier New" w:cs="Courier New" w:eastAsia="Courier New" w:hAnsi="Courier New"/>
          <w:sz w:val="18"/>
          <w:szCs w:val="18"/>
          <w:color w:val="auto"/>
        </w:rPr>
        <w:t>For the three months ended</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flows of operating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41.7</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receivables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(48.3)</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(21.6)</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accounts payable and accrued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236.0</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136.9</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flows of investing activities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investments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(143.6)</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 sale and maturity of investments</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77.5</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expenditures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(90.8)</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(152.8)</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flows of financing activities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(42.4)</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(14.7)</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38.0</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increase in cash and equivalents</w:t>
            </w:r>
          </w:p>
        </w:tc>
        <w:tc>
          <w:tcPr>
            <w:tcW w:w="2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60.1</w:t>
            </w:r>
          </w:p>
        </w:tc>
        <w:tc>
          <w:tcPr>
            <w:tcW w:w="5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 period</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78.4</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138.5</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w:t>
            </w:r>
          </w:p>
        </w:tc>
      </w:tr>
      <w:tr>
        <w:trPr>
          <w:trHeight w:val="203"/>
        </w:trPr>
        <w:tc>
          <w:tcPr>
            <w:tcW w:w="496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acquisitions on contracts payable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capital leases</w:t>
            </w:r>
          </w:p>
        </w:tc>
        <w:tc>
          <w:tcPr>
            <w:tcW w:w="2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ind w:left="1380" w:right="3479" w:firstLine="527"/>
        <w:spacing w:after="0" w:line="290" w:lineRule="auto"/>
        <w:rPr>
          <w:sz w:val="20"/>
          <w:szCs w:val="20"/>
          <w:color w:val="auto"/>
        </w:rPr>
      </w:pPr>
      <w:r>
        <w:rPr>
          <w:rFonts w:ascii="Courier New" w:cs="Courier New" w:eastAsia="Courier New" w:hAnsi="Courier New"/>
          <w:sz w:val="16"/>
          <w:szCs w:val="16"/>
          <w:color w:val="auto"/>
        </w:rPr>
        <w:t>Notes to Consolidated Financial Statements (All tabular dollar amounts are stated in millions)</w:t>
      </w:r>
    </w:p>
    <w:p>
      <w:pPr>
        <w:spacing w:after="0" w:line="367"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This report on Form 10-Q for the first quarter ended December 1, 1994, should be read in conjunction with the Company's Annual Report to Shareholders and/or Form 10-K for the year ended September 1, 1994.</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September 1,</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1994</w:t>
      </w:r>
    </w:p>
    <w:p>
      <w:pPr>
        <w:spacing w:after="0" w:line="5"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420"/>
              <w:spacing w:after="0"/>
              <w:rPr>
                <w:sz w:val="20"/>
                <w:szCs w:val="20"/>
                <w:color w:val="auto"/>
              </w:rPr>
            </w:pPr>
            <w:r>
              <w:rPr>
                <w:rFonts w:ascii="Courier New" w:cs="Courier New" w:eastAsia="Courier New" w:hAnsi="Courier New"/>
                <w:sz w:val="18"/>
                <w:szCs w:val="18"/>
                <w:color w:val="auto"/>
              </w:rPr>
              <w:t>Trade receivables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285.7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227.6</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68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68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284.0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3.  Inventories</w:t>
            </w: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420"/>
              <w:spacing w:after="0"/>
              <w:rPr>
                <w:sz w:val="20"/>
                <w:szCs w:val="20"/>
                <w:color w:val="auto"/>
              </w:rPr>
            </w:pPr>
            <w:r>
              <w:rPr>
                <w:rFonts w:ascii="Courier New" w:cs="Courier New" w:eastAsia="Courier New" w:hAnsi="Courier New"/>
                <w:sz w:val="18"/>
                <w:szCs w:val="18"/>
                <w:color w:val="auto"/>
              </w:rPr>
              <w:t>Finished goods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Work in progress</w:t>
            </w:r>
          </w:p>
        </w:tc>
        <w:tc>
          <w:tcPr>
            <w:tcW w:w="6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68.7</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6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46.9</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122.7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101.1</w:t>
            </w:r>
          </w:p>
        </w:tc>
      </w:tr>
      <w:tr>
        <w:trPr>
          <w:trHeight w:val="203"/>
        </w:trPr>
        <w:tc>
          <w:tcPr>
            <w:tcW w:w="454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4.  Product and process technology, net</w:t>
            </w: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Product and process technology, at cost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149.1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148.6</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48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(103.1)</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w:t>
            </w:r>
          </w:p>
        </w:tc>
      </w:tr>
      <w:tr>
        <w:trPr>
          <w:trHeight w:val="203"/>
        </w:trPr>
        <w:tc>
          <w:tcPr>
            <w:tcW w:w="474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48.2</w:t>
            </w:r>
          </w:p>
        </w:tc>
      </w:tr>
      <w:tr>
        <w:trPr>
          <w:trHeight w:val="203"/>
        </w:trPr>
        <w:tc>
          <w:tcPr>
            <w:tcW w:w="474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5.  Property, plant, and equipment, net</w:t>
            </w: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304.7</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911.6</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825.5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52.3</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3480" w:type="dxa"/>
            <w:vAlign w:val="bottom"/>
          </w:tcPr>
          <w:p>
            <w:pPr>
              <w:spacing w:after="0"/>
              <w:rPr>
                <w:sz w:val="17"/>
                <w:szCs w:val="17"/>
                <w:color w:val="auto"/>
              </w:rPr>
            </w:pPr>
          </w:p>
        </w:tc>
        <w:tc>
          <w:tcPr>
            <w:tcW w:w="2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1,276.6</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1,162.1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Less accumulated depreciation and</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1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(534.3)</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(498.6)</w:t>
            </w:r>
          </w:p>
        </w:tc>
      </w:tr>
      <w:tr>
        <w:trPr>
          <w:trHeight w:val="203"/>
        </w:trPr>
        <w:tc>
          <w:tcPr>
            <w:tcW w:w="3480" w:type="dxa"/>
            <w:vAlign w:val="bottom"/>
          </w:tcPr>
          <w:p>
            <w:pPr>
              <w:spacing w:after="0"/>
              <w:rPr>
                <w:sz w:val="17"/>
                <w:szCs w:val="17"/>
                <w:color w:val="auto"/>
              </w:rPr>
            </w:pPr>
          </w:p>
        </w:tc>
        <w:tc>
          <w:tcPr>
            <w:tcW w:w="2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742.3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3480" w:type="dxa"/>
            <w:vAlign w:val="bottom"/>
          </w:tcPr>
          <w:p>
            <w:pPr>
              <w:spacing w:after="0"/>
              <w:rPr>
                <w:sz w:val="17"/>
                <w:szCs w:val="17"/>
                <w:color w:val="auto"/>
              </w:rPr>
            </w:pPr>
          </w:p>
        </w:tc>
        <w:tc>
          <w:tcPr>
            <w:tcW w:w="2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26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w w:val="92"/>
              </w:rPr>
              <w:t>4</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ectPr>
          <w:pgSz w:w="11900" w:h="16838" w:orient="portrait"/>
          <w:cols w:equalWidth="0" w:num="1">
            <w:col w:w="10219"/>
          </w:cols>
          <w:pgMar w:left="240" w:top="723" w:right="1440" w:bottom="1440" w:gutter="0" w:footer="0" w:header="0"/>
          <w:type w:val="continuous"/>
        </w:sectPr>
      </w:pPr>
    </w:p>
    <w:bookmarkStart w:id="5" w:name="page6"/>
    <w:bookmarkEnd w:id="5"/>
    <w:p>
      <w:pPr>
        <w:ind w:left="22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 w:leader="none" w:pos="4940" w:val="left"/>
          <w:tab w:leader="none" w:pos="6420" w:val="left"/>
        </w:tabs>
        <w:rPr>
          <w:sz w:val="20"/>
          <w:szCs w:val="20"/>
          <w:color w:val="auto"/>
        </w:rPr>
      </w:pPr>
      <w:r>
        <w:rPr>
          <w:rFonts w:ascii="Courier New" w:cs="Courier New" w:eastAsia="Courier New" w:hAnsi="Courier New"/>
          <w:sz w:val="18"/>
          <w:szCs w:val="18"/>
          <w:color w:val="auto"/>
        </w:rPr>
        <w:t>6.</w:t>
        <w:tab/>
        <w:t>Accounts payable and accrued expenses</w:t>
      </w:r>
      <w:r>
        <w:rPr>
          <w:sz w:val="20"/>
          <w:szCs w:val="20"/>
          <w:color w:val="auto"/>
        </w:rPr>
        <w:tab/>
      </w: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September 1,</w:t>
      </w:r>
    </w:p>
    <w:p>
      <w:pPr>
        <w:ind w:left="5280"/>
        <w:spacing w:after="0" w:line="238" w:lineRule="auto"/>
        <w:tabs>
          <w:tab w:leader="none" w:pos="68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1994</w:t>
      </w: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2"/>
        </w:trPr>
        <w:tc>
          <w:tcPr>
            <w:tcW w:w="428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2" w:lineRule="exact"/>
              <w:rPr>
                <w:sz w:val="20"/>
                <w:szCs w:val="20"/>
                <w:color w:val="auto"/>
              </w:rPr>
            </w:pPr>
            <w:r>
              <w:rPr>
                <w:rFonts w:ascii="Courier New" w:cs="Courier New" w:eastAsia="Courier New" w:hAnsi="Courier New"/>
                <w:sz w:val="18"/>
                <w:szCs w:val="18"/>
                <w:color w:val="auto"/>
              </w:rPr>
              <w:t>61.2</w:t>
            </w: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55.3</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9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68.5</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9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105.7</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Commissions</w:t>
            </w:r>
          </w:p>
        </w:tc>
        <w:tc>
          <w:tcPr>
            <w:tcW w:w="9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23.0</w:t>
            </w:r>
          </w:p>
        </w:tc>
        <w:tc>
          <w:tcPr>
            <w:tcW w:w="5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303.3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28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2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1,</w:t>
            </w:r>
          </w:p>
        </w:tc>
      </w:tr>
      <w:tr>
        <w:trPr>
          <w:trHeight w:val="203"/>
        </w:trPr>
        <w:tc>
          <w:tcPr>
            <w:tcW w:w="4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payable in monthly installments</w:t>
      </w:r>
    </w:p>
    <w:tbl>
      <w:tblPr>
        <w:tblLayout w:type="fixed"/>
        <w:tblInd w:w="420" w:type="dxa"/>
        <w:tblCellMar>
          <w:top w:w="0" w:type="dxa"/>
          <w:left w:w="0" w:type="dxa"/>
          <w:bottom w:w="0" w:type="dxa"/>
          <w:right w:w="0" w:type="dxa"/>
        </w:tblCellMar>
      </w:tblPr>
      <w:tr>
        <w:trPr>
          <w:trHeight w:val="203"/>
        </w:trPr>
        <w:tc>
          <w:tcPr>
            <w:tcW w:w="4440" w:type="dxa"/>
            <w:vAlign w:val="bottom"/>
          </w:tcPr>
          <w:p>
            <w:pPr>
              <w:ind w:left="440"/>
              <w:spacing w:after="0"/>
              <w:rPr>
                <w:sz w:val="20"/>
                <w:szCs w:val="20"/>
                <w:color w:val="auto"/>
              </w:rPr>
            </w:pPr>
            <w:r>
              <w:rPr>
                <w:rFonts w:ascii="Courier New" w:cs="Courier New" w:eastAsia="Courier New" w:hAnsi="Courier New"/>
                <w:sz w:val="18"/>
                <w:szCs w:val="18"/>
                <w:color w:val="auto"/>
              </w:rPr>
              <w:t>through May 1999, weighted average</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interest rate of 6.34% and 6.62 %,</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respectively</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149.8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monthly installments through April</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1998, weighted average interest rate</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of 7.92% and 7.93%, respectively</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due June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1997, original face amount $19.8</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million (net of discount based on</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imputed interest rate of 6.50%)</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paid in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November 1994, original face amount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of $50.0 million (net of discount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based on imputed interest rate of</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10.25%)</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178.2</w:t>
            </w:r>
          </w:p>
        </w:tc>
        <w:tc>
          <w:tcPr>
            <w:tcW w:w="5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(25.4)</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444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 Historical share and per share amounts have been restated to reflect a 5 for 2 stock split effected in the form of a stock dividend in fiscal 1994.</w:t>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effective income tax rate for the first fiscal quarters of 1995 and 1994 was 36% which primarily reflects the statutory corporate income tax rate and the net effect of state taxation.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Commitments</w:t>
      </w:r>
    </w:p>
    <w:p>
      <w:pPr>
        <w:spacing w:after="0" w:line="207"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As of December 1, 1994, the Company had commitments which extend through approximately the next year and-a-half, of approximately $302.9 million for equipment purchases and $70.8 million for the construction of buildings.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Contingencies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fiscal 1995. The Company is not able to predict whether these license agreements can be renewed on terms acceptable to the Company.</w:t>
      </w:r>
    </w:p>
    <w:p>
      <w:pPr>
        <w:spacing w:after="0" w:line="20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 w:name="page8"/>
    <w:bookmarkEnd w:id="7"/>
    <w:p>
      <w:pPr>
        <w:ind w:left="960" w:right="2619" w:hanging="1263"/>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0" w:lineRule="exact"/>
        <w:rPr>
          <w:sz w:val="20"/>
          <w:szCs w:val="20"/>
          <w:color w:val="auto"/>
        </w:rPr>
      </w:pPr>
    </w:p>
    <w:p>
      <w:pPr>
        <w:spacing w:after="0" w:line="211"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All period references are to the Company's fiscal periods ended December 1, 1994, and December 2, 1993, unless otherwise indicated. Historical share and per share amounts have been restated to reflect a 5 for 2 stock split effected in the form of a stock dividend during fiscal 1994. All tabular dollar amounts are stated in millions.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Net sales for the Company's first quarter ended December 1, 1994, were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$535.0 million, compared to net sales of $320.1 million for the same quarter a year ago. Net income for the first quarter was $159.3 million, or $1.51 per fully diluted share, compared to net income of $67.5 million, or $0.65 per fully diluted share, a year ago.</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Increased net sales and profits primarily reflect improved productivity, increased fab capacity, and favorable market conditions. The improved productivity in the first quarter of 1995 was principally due to conversions to further shrinks of the Company's primary memory products. The Company benefited from strong market conditions for the 4 Meg DRAM, the product responsible for a substantial portion of the Company's net sales and net income.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19, 1994, the Company declared a $0.05 per share cash dividend to shareholders of record as of January 5, 1995, for payment on February 3, 1995. Future dividends, if any, will vary depending on the Company's profitability and anticipated capital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9"/>
              </w:rPr>
              <w:t>First Quarter</w:t>
            </w:r>
          </w:p>
        </w:tc>
      </w:tr>
      <w:tr>
        <w:trPr>
          <w:trHeight w:val="203"/>
        </w:trPr>
        <w:tc>
          <w:tcPr>
            <w:tcW w:w="3020" w:type="dxa"/>
            <w:vAlign w:val="bottom"/>
          </w:tcPr>
          <w:p>
            <w:pPr>
              <w:spacing w:after="0"/>
              <w:rPr>
                <w:sz w:val="17"/>
                <w:szCs w:val="17"/>
                <w:color w:val="auto"/>
              </w:rPr>
            </w:pPr>
          </w:p>
        </w:tc>
        <w:tc>
          <w:tcPr>
            <w:tcW w:w="4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020" w:type="dxa"/>
            <w:vAlign w:val="bottom"/>
          </w:tcPr>
          <w:p>
            <w:pPr>
              <w:spacing w:after="0"/>
              <w:rPr>
                <w:sz w:val="17"/>
                <w:szCs w:val="17"/>
                <w:color w:val="auto"/>
              </w:rPr>
            </w:pPr>
          </w:p>
        </w:tc>
        <w:tc>
          <w:tcPr>
            <w:tcW w:w="4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$ 535.0</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67.2%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$ 320.1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9"/>
              </w:rPr>
              <w:t>First Quarter</w:t>
            </w:r>
          </w:p>
        </w:tc>
      </w:tr>
      <w:tr>
        <w:trPr>
          <w:trHeight w:val="203"/>
        </w:trPr>
        <w:tc>
          <w:tcPr>
            <w:tcW w:w="3480" w:type="dxa"/>
            <w:vAlign w:val="bottom"/>
          </w:tcPr>
          <w:p>
            <w:pPr>
              <w:spacing w:after="0"/>
              <w:rPr>
                <w:sz w:val="17"/>
                <w:szCs w:val="17"/>
                <w:color w:val="auto"/>
              </w:rPr>
            </w:pPr>
          </w:p>
        </w:tc>
        <w:tc>
          <w:tcPr>
            <w:tcW w:w="4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480" w:type="dxa"/>
            <w:vAlign w:val="bottom"/>
          </w:tcPr>
          <w:p>
            <w:pPr>
              <w:spacing w:after="0"/>
              <w:rPr>
                <w:sz w:val="17"/>
                <w:szCs w:val="17"/>
                <w:color w:val="auto"/>
              </w:rPr>
            </w:pPr>
          </w:p>
        </w:tc>
        <w:tc>
          <w:tcPr>
            <w:tcW w:w="4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$ 224.5</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34.8%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$ 166.6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w:t>
            </w:r>
          </w:p>
        </w:tc>
        <w:tc>
          <w:tcPr>
            <w:tcW w:w="1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w:t>
            </w:r>
          </w:p>
        </w:tc>
      </w:tr>
    </w:tbl>
    <w:p>
      <w:pPr>
        <w:spacing w:after="0" w:line="200" w:lineRule="exact"/>
        <w:rPr>
          <w:sz w:val="20"/>
          <w:szCs w:val="20"/>
          <w:color w:val="auto"/>
        </w:rPr>
      </w:pP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Company's overall gross margin percentage improved for the first quarter of 1995 compared to the corresponding period of 1994 principally due to reductions in cost per unit of memory sold for DRAM products and relatively stable average selling prices. Reductions in cost per unit sold were realized primarily from a combination of transitions to further shrinks of existing products, increased wafer output, and yield improvements. Market conditions of relatively stable semiconductor memory pricing for the past ten quarters represent a significant deviation above the historical long-term trend line of declining per megabit pricing. The Company is unable to predict when or how quickly average selling prices per megabit may return to the historical long-term trend line.</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Company's gross margin percentage has been negatively impacted as sales of personal computer systems increased as a percentage of the Company's total net sales. Upon completion of the merger of MCMS, MCI, and ZEOS, it is anticipated that sales of personal computer systems will continue to increase as a percentage of the Company's total net sales.</w:t>
      </w:r>
    </w:p>
    <w:p>
      <w:pPr>
        <w:spacing w:after="0" w:line="209"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The Company believes the market transition to the 16 Meg DRAM as its primary DRAM product will be largely driven by an increase in the</w:t>
      </w:r>
    </w:p>
    <w:p>
      <w:pPr>
        <w:spacing w:after="0"/>
        <w:rPr>
          <w:sz w:val="20"/>
          <w:szCs w:val="20"/>
          <w:color w:val="auto"/>
        </w:rPr>
      </w:pPr>
      <w:r>
        <w:rPr>
          <w:rFonts w:ascii="Courier New" w:cs="Courier New" w:eastAsia="Courier New" w:hAnsi="Courier New"/>
          <w:sz w:val="18"/>
          <w:szCs w:val="18"/>
          <w:color w:val="auto"/>
        </w:rPr>
        <w:t>memory requirements of personal computer systems or by the availability of</w:t>
      </w:r>
    </w:p>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1 Meg x 16 configuration part. The 1 Meg x 16 configuration of the 16 Meg DRAM allows personal computer manufacturers to increase memory densities in smaller increments, thereby offering more cost effective memory solutions for present software requirements. The 1 Meg x 16 configuration is more complex, is presently more costly to produce than the 4 Meg x 4 configuration and is</w:t>
      </w:r>
    </w:p>
    <w:p>
      <w:pPr>
        <w:sectPr>
          <w:pgSz w:w="11900" w:h="16838" w:orient="portrait"/>
          <w:cols w:equalWidth="0" w:num="1">
            <w:col w:w="10219"/>
          </w:cols>
          <w:pgMar w:left="240" w:top="723"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not widely available in the industry. When the 1 Meg x 16 configuration part becomes readily available, or when memory requirements for PC systems significantly increase, there may be an erosion in demand for 4 Meg devices with declining average selling prices of 4 Meg DRAM products. The Company continues to limit its production of 16 Meg DRAMs in order to maximize 4 Meg DRAM production consistent with existing customer preferences. The transition from the 4 Meg DRAM to the 16 Meg DRAM may cause an erosion in the Company's gross margin percentage as production capacity is shifted from a relatively mature device to a next generation device.</w:t>
      </w:r>
    </w:p>
    <w:p>
      <w:pPr>
        <w:spacing w:after="0" w:line="214"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Cost of goods sold includes estimated costs of settlement or adjudication of asserted and unasserted claims for patent infringement prior to the balance sheet date, and costs of product and process technology licensing arrangements. The charges for product and process technology have decreased as a percentage of net sales in the first quarter of 1995 compared to the first quarter of</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1994 primarily as a paid-up license agreement became fully amortized late in fiscal 1994. Future product and process technology charges may increase as a result of claims asserted or licenses acquired in the future. See "Certain Factors".</w:t>
      </w: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First Quarter</w:t>
            </w: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32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4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020" w:type="dxa"/>
            <w:vAlign w:val="bottom"/>
          </w:tcPr>
          <w:p>
            <w:pPr>
              <w:spacing w:after="0"/>
              <w:rPr>
                <w:sz w:val="17"/>
                <w:szCs w:val="17"/>
                <w:color w:val="auto"/>
              </w:rPr>
            </w:pPr>
          </w:p>
        </w:tc>
        <w:tc>
          <w:tcPr>
            <w:tcW w:w="32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38.2</w:t>
            </w:r>
          </w:p>
        </w:tc>
        <w:tc>
          <w:tcPr>
            <w:tcW w:w="1460" w:type="dxa"/>
            <w:vAlign w:val="bottom"/>
          </w:tcPr>
          <w:p>
            <w:pPr>
              <w:ind w:left="460"/>
              <w:spacing w:after="0"/>
              <w:rPr>
                <w:sz w:val="20"/>
                <w:szCs w:val="20"/>
                <w:color w:val="auto"/>
              </w:rPr>
            </w:pPr>
            <w:r>
              <w:rPr>
                <w:rFonts w:ascii="Courier New" w:cs="Courier New" w:eastAsia="Courier New" w:hAnsi="Courier New"/>
                <w:sz w:val="18"/>
                <w:szCs w:val="18"/>
                <w:color w:val="auto"/>
              </w:rPr>
              <w:t>12.0%   $</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30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w:t>
            </w:r>
          </w:p>
        </w:tc>
        <w:tc>
          <w:tcPr>
            <w:tcW w:w="14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w:t>
            </w:r>
          </w:p>
        </w:tc>
      </w:tr>
      <w:tr>
        <w:trPr>
          <w:trHeight w:val="608"/>
        </w:trPr>
        <w:tc>
          <w:tcPr>
            <w:tcW w:w="822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Selling, general, and administrative expenses increased slightly during</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first quarter of 1995 compared to the first</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quarter</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of 1994, but decreased</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a percentage of net sales.  The higher level</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selling, general, and</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administrative expense during the first quarter</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 compared to 1994</w:t>
            </w:r>
          </w:p>
        </w:tc>
      </w:tr>
    </w:tbl>
    <w:p>
      <w:pPr>
        <w:spacing w:after="0" w:line="238" w:lineRule="auto"/>
        <w:rPr>
          <w:sz w:val="20"/>
          <w:szCs w:val="20"/>
          <w:color w:val="auto"/>
        </w:rPr>
      </w:pPr>
      <w:r>
        <w:rPr>
          <w:rFonts w:ascii="Courier New" w:cs="Courier New" w:eastAsia="Courier New" w:hAnsi="Courier New"/>
          <w:sz w:val="18"/>
          <w:szCs w:val="18"/>
          <w:color w:val="auto"/>
        </w:rPr>
        <w:t>reflects a higher level of personnel costs principally due to the Company's</w:t>
      </w:r>
    </w:p>
    <w:tbl>
      <w:tblPr>
        <w:tblLayout w:type="fixed"/>
        <w:tblInd w:w="0" w:type="dxa"/>
        <w:tblCellMar>
          <w:top w:w="0" w:type="dxa"/>
          <w:left w:w="0" w:type="dxa"/>
          <w:bottom w:w="0" w:type="dxa"/>
          <w:right w:w="0" w:type="dxa"/>
        </w:tblCellMar>
      </w:tblPr>
      <w:tr>
        <w:trPr>
          <w:trHeight w:val="203"/>
        </w:trPr>
        <w:tc>
          <w:tcPr>
            <w:tcW w:w="7380" w:type="dxa"/>
            <w:vAlign w:val="bottom"/>
            <w:gridSpan w:val="4"/>
          </w:tcPr>
          <w:p>
            <w:pPr>
              <w:spacing w:after="0"/>
              <w:rPr>
                <w:sz w:val="20"/>
                <w:szCs w:val="20"/>
                <w:color w:val="auto"/>
              </w:rPr>
            </w:pPr>
            <w:r>
              <w:rPr>
                <w:rFonts w:ascii="Courier New" w:cs="Courier New" w:eastAsia="Courier New" w:hAnsi="Courier New"/>
                <w:sz w:val="18"/>
                <w:szCs w:val="18"/>
                <w:color w:val="auto"/>
              </w:rPr>
              <w:t>profit sharing programs and a reduction of legal fees resulting from</w:t>
            </w:r>
          </w:p>
        </w:tc>
        <w:tc>
          <w:tcPr>
            <w:tcW w:w="5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settlement of the Company's shareholders' suit and</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patent litigation.</w:t>
            </w:r>
          </w:p>
        </w:tc>
        <w:tc>
          <w:tcPr>
            <w:tcW w:w="520" w:type="dxa"/>
            <w:vAlign w:val="bottom"/>
          </w:tcPr>
          <w:p>
            <w:pPr>
              <w:spacing w:after="0"/>
              <w:rPr>
                <w:sz w:val="17"/>
                <w:szCs w:val="17"/>
                <w:color w:val="auto"/>
              </w:rPr>
            </w:pPr>
          </w:p>
        </w:tc>
      </w:tr>
      <w:tr>
        <w:trPr>
          <w:trHeight w:val="810"/>
        </w:trPr>
        <w:tc>
          <w:tcPr>
            <w:tcW w:w="3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First Quarter</w:t>
            </w:r>
          </w:p>
        </w:tc>
        <w:tc>
          <w:tcPr>
            <w:tcW w:w="520" w:type="dxa"/>
            <w:vAlign w:val="bottom"/>
          </w:tcPr>
          <w:p>
            <w:pPr>
              <w:spacing w:after="0"/>
              <w:rPr>
                <w:sz w:val="24"/>
                <w:szCs w:val="24"/>
                <w:color w:val="auto"/>
              </w:rPr>
            </w:pPr>
          </w:p>
        </w:tc>
      </w:tr>
      <w:tr>
        <w:trPr>
          <w:trHeight w:val="203"/>
        </w:trPr>
        <w:tc>
          <w:tcPr>
            <w:tcW w:w="3800" w:type="dxa"/>
            <w:vAlign w:val="bottom"/>
          </w:tcPr>
          <w:p>
            <w:pPr>
              <w:spacing w:after="0"/>
              <w:rPr>
                <w:sz w:val="17"/>
                <w:szCs w:val="17"/>
                <w:color w:val="auto"/>
              </w:rPr>
            </w:pPr>
          </w:p>
        </w:tc>
        <w:tc>
          <w:tcPr>
            <w:tcW w:w="4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800" w:type="dxa"/>
            <w:vAlign w:val="bottom"/>
          </w:tcPr>
          <w:p>
            <w:pPr>
              <w:spacing w:after="0"/>
              <w:rPr>
                <w:sz w:val="17"/>
                <w:szCs w:val="17"/>
                <w:color w:val="auto"/>
              </w:rPr>
            </w:pPr>
          </w:p>
        </w:tc>
        <w:tc>
          <w:tcPr>
            <w:tcW w:w="4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Research and development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27.0</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88.8%   $</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52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w:t>
            </w:r>
          </w:p>
        </w:tc>
        <w:tc>
          <w:tcPr>
            <w:tcW w:w="15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Research and development expenses, which vary primarily with the number of wafers and personnel dedicated to new product and process development, were higher, both in absolute dollars and as a percentage of net sales, for the first quarter of 1995 compared to the first quarter of 1994. Efforts in the current quarter were focused primarily on design and development of the 64 Meg DRAM, further development of the 16 Meg DRAM, and design and development of the 4 Meg and 16 Meg SRAMs. The Company expects research and development expense for fiscal 1995 to be significantly higher than fiscal 1994 as additional resources are dedicated to development of the 64 Meg DRAM, design and development of the 256 Meg DRAM, as well as design and development of new technologies including radio frequency identification products, nonvolatile semiconductor memory devices, and field emission flat panel displays.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The Company had cash and liquid investments of $559 million as of December 1, 1994, representing an increase of $127 million during the first quarter of 1995. The Company's principal sources of liquidity during the first quarter of 1995 were cash flows from operations of $236 million, issuance of long-term debt of $38 million, and equipment financing of $36 million. The principal uses of funds in the first quarter of 1995 were $91 million for property, plant, and equipment, $42 million for payments on equipment contracts, $15 million for payments on long-term debt. The Company expects a significant reduction in cash and liquid investment through the remainder of the fiscal year as capital expenditures exceed cash flows from operations.</w:t>
      </w:r>
    </w:p>
    <w:p>
      <w:pPr>
        <w:spacing w:after="0" w:line="3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As of December 1, 1995, the Company had commitments which extend through approximately the next year and-a-half, of approximately $303 million for equipment purchases and approximately $71 million for the construction of buildings. Anticipated capital expenditures include upgrading manufacturing equipment to 8-inch wafer processing capability, completion of an additional assembly and test facility, and remodels and upgrades of existing fabrication facilities. The Company also began the site selection process for a proposed semiconductor memory manufacturing complex. Capital expenditures associated with construction and equipment for of this complex are expected to exceed $1 billion. Completion of this long-term expansion project could take as long as three to four years. Recognizing the significant historical volatility of the semiconductor industry, the Company proceeds with capital improvement projects in defined stages. Initiation of each stage will depend on market conditions and cash and liquidity resources at the time.</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Company's bank credit agreement provides for borrowings of up to $120 million under a revolving loan expiring January 1997. Substantially all of the tangible assets of the Company's semiconductor memory operations not otherwise pledged as collateral for other notes payable and capital leases are pledged as collateral under the agreement. The agreement contains certain financial covenants. As of December 1, 1994, the Company had no borrowings outstanding under the agreement.</w:t>
      </w:r>
    </w:p>
    <w:p>
      <w:pPr>
        <w:sectPr>
          <w:pgSz w:w="11900" w:h="16838" w:orient="portrait"/>
          <w:cols w:equalWidth="0" w:num="1">
            <w:col w:w="10219"/>
          </w:cols>
          <w:pgMar w:left="240" w:top="919" w:right="1440" w:bottom="0" w:gutter="0" w:footer="0" w:header="0"/>
        </w:sectPr>
      </w:pPr>
    </w:p>
    <w:bookmarkStart w:id="10" w:name="page11"/>
    <w:bookmarkEnd w:id="10"/>
    <w:p>
      <w:pPr>
        <w:ind w:left="27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339" w:right="1440" w:bottom="1440" w:gutter="0" w:footer="0" w:header="0"/>
        </w:sectPr>
      </w:pPr>
    </w:p>
    <w:bookmarkStart w:id="11" w:name="page12"/>
    <w:bookmarkEnd w:id="11"/>
    <w:p>
      <w:pPr>
        <w:ind w:right="1779" w:firstLine="421"/>
        <w:spacing w:after="0" w:line="268" w:lineRule="auto"/>
        <w:rPr>
          <w:sz w:val="20"/>
          <w:szCs w:val="20"/>
          <w:color w:val="auto"/>
        </w:rPr>
      </w:pPr>
      <w:r>
        <w:rPr>
          <w:rFonts w:ascii="Courier New" w:cs="Courier New" w:eastAsia="Courier New" w:hAnsi="Courier New"/>
          <w:sz w:val="16"/>
          <w:szCs w:val="16"/>
          <w:color w:val="auto"/>
        </w:rPr>
        <w:t>The Company believes continuing investments in manufacturing technology, facilities and capital equipment, research and development, and product and process technology are necessary to support future growth, achieve operating efficiencies, and maintain product quality. Although the Company has recently been able to fund its liquidity needs through cash flows from operations and equipment financings, external sources of cash have been required historically to supplement the Company's cash flows from operations to fund these ongoing investments. In order to fund the Company's current capital development program as scheduled, the Company will likely be required to pursue external sources</w:t>
      </w:r>
    </w:p>
    <w:p>
      <w:pPr>
        <w:spacing w:after="0" w:line="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of liquidity. There can be no assurance that external funds will be available to fund the Company's ongoing operations or capital development on terms acceptable to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Demand for semiconductor memory products has grown, fueled primarily by growth in the personal computer industry. Many of the Company's competitors are adding new facilities designed to process 8-inch wafers, which have approximately 84% greater usable surface area than the 6-inch wafer currently used by the Company. In addition, many competitors are currently believed to be running their 16 Meg DRAM manufacturing operations at significantly lower yields than could be expected when such products mature. Yield improvements by these competitors would dramatically increase worldwide semiconductor memory capacity. Excess supply as a result of increased semiconductor manufacturing capacity, adverse market conditions, or currency fluctuation resulting in a strengthening dollar against the yen, could result in downward pricing pressure. A decline in the current favorable product pricing would have a material adverse effect on the Company's results of operations.</w:t>
      </w:r>
    </w:p>
    <w:p>
      <w:pPr>
        <w:spacing w:after="0" w:line="210" w:lineRule="exact"/>
        <w:rPr>
          <w:sz w:val="20"/>
          <w:szCs w:val="20"/>
          <w:color w:val="auto"/>
        </w:rPr>
      </w:pPr>
    </w:p>
    <w:p>
      <w:pPr>
        <w:ind w:right="2619" w:firstLine="421"/>
        <w:spacing w:after="0" w:line="268"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pacing w:after="0" w:line="214"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remainder of fiscal 1995. The Company is not able to predict whether these license agreements can be renewed on terms acceptable to the Company.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left="2540"/>
        <w:spacing w:after="0"/>
        <w:rPr>
          <w:sz w:val="20"/>
          <w:szCs w:val="20"/>
          <w:color w:val="auto"/>
        </w:rPr>
      </w:pPr>
      <w:r>
        <w:rPr>
          <w:rFonts w:ascii="Courier New" w:cs="Courier New" w:eastAsia="Courier New" w:hAnsi="Courier New"/>
          <w:sz w:val="16"/>
          <w:szCs w:val="16"/>
          <w:color w:val="auto"/>
        </w:rPr>
        <w:t>Part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ectPr>
          <w:pgSz w:w="11900" w:h="16838" w:orient="portrait"/>
          <w:cols w:equalWidth="0" w:num="2">
            <w:col w:w="3380" w:space="200"/>
            <w:col w:w="663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The following are filed as a part of this report:</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60" w:space="320"/>
            <w:col w:w="5260" w:space="440"/>
            <w:col w:w="3039"/>
          </w:cols>
          <w:pgMar w:left="240" w:top="1128" w:right="1440" w:bottom="1440" w:gutter="0" w:footer="0" w:header="0"/>
          <w:type w:val="continuous"/>
        </w:sectPr>
      </w:pPr>
    </w:p>
    <w:p>
      <w:pPr>
        <w:spacing w:after="0" w:line="24" w:lineRule="exact"/>
        <w:rPr>
          <w:sz w:val="20"/>
          <w:szCs w:val="20"/>
          <w:color w:val="auto"/>
        </w:rPr>
      </w:pPr>
    </w:p>
    <w:p>
      <w:pPr>
        <w:ind w:left="1480" w:hanging="839"/>
        <w:spacing w:after="0" w:line="290" w:lineRule="auto"/>
        <w:tabs>
          <w:tab w:leader="none" w:pos="14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Computation of per share earnings for the quarters ended December 1, 1994 and December 2, 1993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pacing w:after="0" w:line="237" w:lineRule="exact"/>
        <w:rPr>
          <w:sz w:val="20"/>
          <w:szCs w:val="20"/>
          <w:color w:val="auto"/>
        </w:rPr>
      </w:pPr>
    </w:p>
    <w:p>
      <w:pPr>
        <w:sectPr>
          <w:pgSz w:w="11900" w:h="16838" w:orient="portrait"/>
          <w:cols w:equalWidth="0" w:num="2">
            <w:col w:w="6740" w:space="640"/>
            <w:col w:w="2839"/>
          </w:cols>
          <w:pgMar w:left="240" w:top="1128" w:right="1440" w:bottom="1440" w:gutter="0" w:footer="0" w:header="0"/>
          <w:type w:val="continuous"/>
        </w:sectPr>
      </w:pPr>
    </w:p>
    <w:p>
      <w:pPr>
        <w:spacing w:after="0" w:line="375" w:lineRule="exact"/>
        <w:rPr>
          <w:sz w:val="20"/>
          <w:szCs w:val="20"/>
          <w:color w:val="auto"/>
        </w:rPr>
      </w:pPr>
    </w:p>
    <w:p>
      <w:pPr>
        <w:ind w:right="2619" w:firstLine="8"/>
        <w:spacing w:after="0" w:line="290"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a Report on Form 8-K dated September 19, 1994, announcing certain changes in the directors and officers of the company.</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type w:val="continuous"/>
        </w:sectPr>
      </w:pPr>
    </w:p>
    <w:bookmarkStart w:id="13" w:name="page14"/>
    <w:bookmarkEnd w:id="13"/>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Micron Technology, Inc.</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and Chief 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640" w:space="220"/>
            <w:col w:w="2320" w:space="720"/>
            <w:col w:w="6319"/>
          </w:cols>
          <w:pgMar w:left="240" w:top="514"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type w:val="continuous"/>
        </w:sectPr>
      </w:pPr>
    </w:p>
    <w:bookmarkStart w:id="14" w:name="page15"/>
    <w:bookmarkEnd w:id="14"/>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Computation of Per Share Amounts</w:t>
      </w:r>
    </w:p>
    <w:p>
      <w:pPr>
        <w:jc w:val="center"/>
        <w:ind w:right="1579"/>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tabs>
          <w:tab w:leader="none" w:pos="6520" w:val="left"/>
        </w:tabs>
        <w:rPr>
          <w:sz w:val="20"/>
          <w:szCs w:val="20"/>
          <w:color w:val="auto"/>
        </w:rPr>
      </w:pPr>
      <w:r>
        <w:rPr>
          <w:rFonts w:ascii="Courier New" w:cs="Courier New" w:eastAsia="Courier New" w:hAnsi="Courier New"/>
          <w:sz w:val="18"/>
          <w:szCs w:val="18"/>
          <w:color w:val="auto"/>
        </w:rPr>
        <w:t>December 1,</w:t>
      </w:r>
      <w:r>
        <w:rPr>
          <w:sz w:val="20"/>
          <w:szCs w:val="20"/>
          <w:color w:val="auto"/>
        </w:rPr>
        <w:tab/>
      </w:r>
      <w:r>
        <w:rPr>
          <w:rFonts w:ascii="Courier New" w:cs="Courier New" w:eastAsia="Courier New" w:hAnsi="Courier New"/>
          <w:sz w:val="16"/>
          <w:szCs w:val="16"/>
          <w:color w:val="auto"/>
        </w:rPr>
        <w:t>December 2,</w:t>
      </w:r>
    </w:p>
    <w:p>
      <w:pPr>
        <w:spacing w:after="0"/>
        <w:tabs>
          <w:tab w:leader="none" w:pos="5260" w:val="left"/>
          <w:tab w:leader="none" w:pos="6840" w:val="left"/>
        </w:tabs>
        <w:rPr>
          <w:sz w:val="20"/>
          <w:szCs w:val="20"/>
          <w:color w:val="auto"/>
        </w:rPr>
      </w:pPr>
      <w:r>
        <w:rPr>
          <w:rFonts w:ascii="Courier New" w:cs="Courier New" w:eastAsia="Courier New" w:hAnsi="Courier New"/>
          <w:sz w:val="18"/>
          <w:szCs w:val="18"/>
          <w:color w:val="auto"/>
        </w:rPr>
        <w:t>Quarter Ended</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102.0</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average market price</w:t>
            </w:r>
          </w:p>
        </w:tc>
        <w:tc>
          <w:tcPr>
            <w:tcW w:w="4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3.4</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105.4</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159.3</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67.5</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4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$1.51</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$0.65</w:t>
            </w:r>
          </w:p>
        </w:tc>
      </w:tr>
      <w:tr>
        <w:trPr>
          <w:trHeight w:val="203"/>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4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102.0</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100.5</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greater of average or</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ending market price</w:t>
            </w: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105.6</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159.3</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67.5</w:t>
            </w:r>
          </w:p>
        </w:tc>
      </w:tr>
      <w:tr>
        <w:trPr>
          <w:trHeight w:val="203"/>
        </w:trPr>
        <w:tc>
          <w:tcPr>
            <w:tcW w:w="480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4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$1.51</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$0.65</w:t>
            </w:r>
          </w:p>
        </w:tc>
      </w:tr>
      <w:tr>
        <w:trPr>
          <w:trHeight w:val="203"/>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00" w:type="dxa"/>
            <w:vAlign w:val="bottom"/>
          </w:tcPr>
          <w:p>
            <w:pPr>
              <w:ind w:left="3900"/>
              <w:spacing w:after="0"/>
              <w:rPr>
                <w:sz w:val="20"/>
                <w:szCs w:val="20"/>
                <w:color w:val="auto"/>
              </w:rPr>
            </w:pPr>
            <w:r>
              <w:rPr>
                <w:rFonts w:ascii="Courier New" w:cs="Courier New" w:eastAsia="Courier New" w:hAnsi="Courier New"/>
                <w:sz w:val="18"/>
                <w:szCs w:val="18"/>
                <w:color w:val="auto"/>
              </w:rPr>
              <w:t>13</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2019-12-13T13:09:58Z</dcterms:created>
  <dcterms:modified xsi:type="dcterms:W3CDTF">2019-12-13T13:09:58Z</dcterms:modified>
</cp:coreProperties>
</file>