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323215</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20320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A. Zinsner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549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w:t>
      </w:r>
    </w:p>
    <w:p>
      <w:pPr>
        <w:jc w:val="center"/>
        <w:spacing w:after="0"/>
        <w:rPr>
          <w:sz w:val="20"/>
          <w:szCs w:val="20"/>
          <w:color w:val="auto"/>
        </w:rPr>
      </w:pPr>
      <w:r>
        <w:rPr>
          <w:rFonts w:ascii="Arial" w:cs="Arial" w:eastAsia="Arial" w:hAnsi="Arial"/>
          <w:sz w:val="18"/>
          <w:szCs w:val="18"/>
          <w:color w:val="auto"/>
        </w:rPr>
        <w:t>contact in connection with this report.)</w:t>
      </w:r>
    </w:p>
    <w:p>
      <w:pPr>
        <w:spacing w:after="0" w:line="374" w:lineRule="exact"/>
        <w:rPr>
          <w:sz w:val="24"/>
          <w:szCs w:val="24"/>
          <w:color w:val="auto"/>
        </w:rPr>
      </w:pPr>
    </w:p>
    <w:p>
      <w:pPr>
        <w:ind w:right="320"/>
        <w:spacing w:after="0" w:line="26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and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9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Conflict Minerals Disclosure and Report.</w:t>
      </w:r>
    </w:p>
    <w:p>
      <w:pPr>
        <w:spacing w:after="0" w:line="2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2019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2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2019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74" w:lineRule="exact"/>
        <w:rPr>
          <w:sz w:val="20"/>
          <w:szCs w:val="20"/>
          <w:color w:val="auto"/>
        </w:rPr>
      </w:pPr>
    </w:p>
    <w:p>
      <w:pPr>
        <w:ind w:right="1820"/>
        <w:spacing w:after="0" w:line="261" w:lineRule="auto"/>
        <w:rPr>
          <w:sz w:val="20"/>
          <w:szCs w:val="20"/>
          <w:color w:val="auto"/>
        </w:rPr>
      </w:pPr>
      <w:r>
        <w:rPr>
          <w:rFonts w:ascii="Arial" w:cs="Arial" w:eastAsia="Arial" w:hAnsi="Arial"/>
          <w:sz w:val="18"/>
          <w:szCs w:val="18"/>
          <w:color w:val="auto"/>
        </w:rPr>
        <w:t>A copy of the Conflict Minerals Report for the calendar year ended December 31, 2019 is available on our website at http://www.micron.com/about/our-commitment/sourcing-responsibly/responsible-minerals-policy.</w:t>
      </w:r>
    </w:p>
    <w:p>
      <w:pPr>
        <w:spacing w:after="0" w:line="25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2019 is filed as Exhibit 1.01 hereto.</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Section 2 - Exhibits</w:t>
      </w:r>
    </w:p>
    <w:p>
      <w:pPr>
        <w:spacing w:after="0" w:line="29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7"/>
          <w:szCs w:val="17"/>
          <w:b w:val="1"/>
          <w:bCs w:val="1"/>
          <w:color w:val="auto"/>
        </w:rPr>
        <w:t>Exhibits.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080"/>
          </w:cols>
          <w:pgMar w:left="320" w:top="141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36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r>
      <w:tr>
        <w:trPr>
          <w:trHeight w:val="777"/>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200"/>
              <w:spacing w:after="0"/>
              <w:rPr>
                <w:sz w:val="20"/>
                <w:szCs w:val="20"/>
                <w:color w:val="auto"/>
              </w:rPr>
            </w:pPr>
            <w:r>
              <w:rPr>
                <w:rFonts w:ascii="Arial" w:cs="Arial" w:eastAsia="Arial" w:hAnsi="Arial"/>
                <w:sz w:val="18"/>
                <w:szCs w:val="18"/>
                <w:color w:val="auto"/>
              </w:rPr>
              <w:t>May 28, 2020</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6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6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0090DA"/>
        </w:rPr>
        <w:t>Exhibit 1.01</w:t>
      </w: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auto"/>
        </w:rPr>
        <w:t>Conflict Minerals Report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Calendar Year 2019</w:t>
      </w:r>
    </w:p>
    <w:p>
      <w:pPr>
        <w:spacing w:after="0" w:line="22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prepared this Conflict Minerals Report (</w:t>
      </w:r>
      <w:r>
        <w:rPr>
          <w:rFonts w:ascii="Arial" w:cs="Arial" w:eastAsia="Arial" w:hAnsi="Arial"/>
          <w:sz w:val="18"/>
          <w:szCs w:val="18"/>
          <w:b w:val="1"/>
          <w:bCs w:val="1"/>
          <w:color w:val="auto"/>
        </w:rPr>
        <w:t>“CMR”</w:t>
      </w:r>
      <w:r>
        <w:rPr>
          <w:rFonts w:ascii="Arial" w:cs="Arial" w:eastAsia="Arial" w:hAnsi="Arial"/>
          <w:sz w:val="18"/>
          <w:szCs w:val="18"/>
          <w:color w:val="auto"/>
        </w:rPr>
        <w:t xml:space="preserve">) pursuant to Rule 13p-1 under the Securities Exchange Act of 1934, as amended (the </w:t>
      </w:r>
      <w:r>
        <w:rPr>
          <w:rFonts w:ascii="Arial" w:cs="Arial" w:eastAsia="Arial" w:hAnsi="Arial"/>
          <w:sz w:val="18"/>
          <w:szCs w:val="18"/>
          <w:b w:val="1"/>
          <w:bCs w:val="1"/>
          <w:color w:val="auto"/>
        </w:rPr>
        <w:t>“Rule”</w:t>
      </w:r>
      <w:r>
        <w:rPr>
          <w:rFonts w:ascii="Arial" w:cs="Arial" w:eastAsia="Arial" w:hAnsi="Arial"/>
          <w:sz w:val="18"/>
          <w:szCs w:val="18"/>
          <w:color w:val="auto"/>
        </w:rPr>
        <w:t>). This CMR covers the calendar year reporting period ended December 31, 2019</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filed as an exhibit to our Form SD. This</w:t>
      </w:r>
      <w:r>
        <w:rPr>
          <w:rFonts w:ascii="Arial" w:cs="Arial" w:eastAsia="Arial" w:hAnsi="Arial"/>
          <w:sz w:val="18"/>
          <w:szCs w:val="18"/>
          <w:b w:val="1"/>
          <w:bCs w:val="1"/>
          <w:color w:val="auto"/>
        </w:rPr>
        <w:t xml:space="preserve"> </w:t>
      </w:r>
      <w:r>
        <w:rPr>
          <w:rFonts w:ascii="Arial" w:cs="Arial" w:eastAsia="Arial" w:hAnsi="Arial"/>
          <w:sz w:val="18"/>
          <w:szCs w:val="18"/>
          <w:color w:val="auto"/>
        </w:rPr>
        <w:t>CMR includes a description of the measures we have taken to exercise due diligence on the source and chain of custody of conflict minerals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(specifically gold, and the derivatives tin, tantalum, and tungsten (collectively </w:t>
      </w:r>
      <w:r>
        <w:rPr>
          <w:rFonts w:ascii="Arial" w:cs="Arial" w:eastAsia="Arial" w:hAnsi="Arial"/>
          <w:sz w:val="18"/>
          <w:szCs w:val="18"/>
          <w:b w:val="1"/>
          <w:bCs w:val="1"/>
          <w:color w:val="auto"/>
        </w:rPr>
        <w:t>“3TG”</w:t>
      </w:r>
      <w:r>
        <w:rPr>
          <w:rFonts w:ascii="Arial" w:cs="Arial" w:eastAsia="Arial" w:hAnsi="Arial"/>
          <w:sz w:val="18"/>
          <w:szCs w:val="18"/>
          <w:color w:val="auto"/>
        </w:rPr>
        <w:t>)) necessary to the functionality or production of our memory and storage products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manufactured during the year ended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Our Commitment to Responsible Sourcing:</w:t>
      </w:r>
    </w:p>
    <w:p>
      <w:pPr>
        <w:spacing w:after="0" w:line="2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w:t>
      </w:r>
      <w:r>
        <w:rPr>
          <w:rFonts w:ascii="Arial" w:cs="Arial" w:eastAsia="Arial" w:hAnsi="Arial"/>
          <w:sz w:val="18"/>
          <w:szCs w:val="18"/>
          <w:b w:val="1"/>
          <w:bCs w:val="1"/>
          <w:color w:val="auto"/>
        </w:rPr>
        <w:t>“OECD”</w:t>
      </w:r>
      <w:r>
        <w:rPr>
          <w:rFonts w:ascii="Arial" w:cs="Arial" w:eastAsia="Arial" w:hAnsi="Arial"/>
          <w:sz w:val="18"/>
          <w:szCs w:val="18"/>
          <w:color w:val="auto"/>
        </w:rPr>
        <w:t>) Due Diligence Guidance for Responsible Supply Chains of Minerals from Conflict-Affected and High-Risk Areas and integrates tools developed by the Responsible Minerals Initiative (</w:t>
      </w:r>
      <w:r>
        <w:rPr>
          <w:rFonts w:ascii="Arial" w:cs="Arial" w:eastAsia="Arial" w:hAnsi="Arial"/>
          <w:sz w:val="18"/>
          <w:szCs w:val="18"/>
          <w:b w:val="1"/>
          <w:bCs w:val="1"/>
          <w:color w:val="auto"/>
        </w:rPr>
        <w:t>“RMI”</w:t>
      </w:r>
      <w:r>
        <w:rPr>
          <w:rFonts w:ascii="Arial" w:cs="Arial" w:eastAsia="Arial" w:hAnsi="Arial"/>
          <w:sz w:val="18"/>
          <w:szCs w:val="18"/>
          <w:color w:val="auto"/>
        </w:rPr>
        <w:t>).</w:t>
      </w:r>
    </w:p>
    <w:p>
      <w:pPr>
        <w:spacing w:after="0" w:line="23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Micron is a founding member of the Responsible Minerals Initiative, RMI (member ID MICR). We continue to support the RMI and its Responsible Minerals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third-party auditing program,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 as part of our commitment to drive ethical sourcing of 3TG metals throughout our supply chain. In 2019, we continued working with RMI and provided leadership through multiple RMI leadership working groups, including the Smelter Engagement, Multi-Stakeholder, Gold, Due Diligence Practices, Minerals Reporting Template and Plenary Working Groups. The Plenary Working Group is tasked with defining future directions, protocol, procedures, issue resolutions, recognition of other reporting organizations, training, oversight, and smelter and refiner engagements. To learn more about RMI’s initiatives to help companies achieve a responsible minerals supply chain and the Responsible Minerals Assurance Process visit: http://www.responsiblemineralsinitiative.org/.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00" w:hanging="92"/>
        <w:spacing w:after="0" w:line="199" w:lineRule="auto"/>
        <w:tabs>
          <w:tab w:leader="none" w:pos="10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its subsidiaries.</w:t>
      </w:r>
    </w:p>
    <w:p>
      <w:pPr>
        <w:ind w:left="100" w:hanging="92"/>
        <w:spacing w:after="0" w:line="190" w:lineRule="auto"/>
        <w:tabs>
          <w:tab w:leader="none" w:pos="10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Unless otherwise noted, any designation of years refers to calendar years.</w:t>
      </w:r>
    </w:p>
    <w:p>
      <w:pPr>
        <w:ind w:left="100" w:hanging="92"/>
        <w:spacing w:after="0" w:line="190" w:lineRule="auto"/>
        <w:tabs>
          <w:tab w:leader="none" w:pos="10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 They include</w:t>
      </w:r>
    </w:p>
    <w:p>
      <w:pPr>
        <w:spacing w:after="0" w:line="1" w:lineRule="exact"/>
        <w:rPr>
          <w:sz w:val="20"/>
          <w:szCs w:val="20"/>
          <w:color w:val="auto"/>
        </w:rPr>
      </w:pPr>
    </w:p>
    <w:p>
      <w:pPr>
        <w:ind w:left="660" w:right="20"/>
        <w:spacing w:after="0" w:line="244" w:lineRule="auto"/>
        <w:rPr>
          <w:sz w:val="20"/>
          <w:szCs w:val="20"/>
          <w:color w:val="auto"/>
        </w:rPr>
      </w:pPr>
      <w:r>
        <w:rPr>
          <w:rFonts w:ascii="Arial" w:cs="Arial" w:eastAsia="Arial" w:hAnsi="Arial"/>
          <w:sz w:val="16"/>
          <w:szCs w:val="16"/>
          <w:color w:val="auto"/>
        </w:rPr>
        <w:t>columbite-tantalite, also known as coltan (and its derivative tantalum); cassiterite (and its derivative tin); wolframite (and its derivative tungsten); and gold.</w:t>
      </w:r>
    </w:p>
    <w:p>
      <w:pPr>
        <w:spacing w:after="0" w:line="4" w:lineRule="exact"/>
        <w:rPr>
          <w:sz w:val="20"/>
          <w:szCs w:val="20"/>
          <w:color w:val="auto"/>
        </w:rPr>
      </w:pPr>
    </w:p>
    <w:p>
      <w:pPr>
        <w:jc w:val="right"/>
        <w:ind w:left="660" w:right="380" w:hanging="652"/>
        <w:spacing w:after="0" w:line="213" w:lineRule="auto"/>
        <w:tabs>
          <w:tab w:leader="none" w:pos="1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Memory and storage products include NAND, DRAM, NOR and 3D XPoint components, and products we sell that contain such components. The term “memory and storage products” does not include custom tools we make for our own use or sell to our former joint venture partner. Memory and</w:t>
      </w:r>
    </w:p>
    <w:p>
      <w:pPr>
        <w:ind w:left="660"/>
        <w:spacing w:after="0"/>
        <w:rPr>
          <w:sz w:val="20"/>
          <w:szCs w:val="20"/>
          <w:color w:val="auto"/>
        </w:rPr>
      </w:pPr>
      <w:r>
        <w:rPr>
          <w:rFonts w:ascii="Arial" w:cs="Arial" w:eastAsia="Arial" w:hAnsi="Arial"/>
          <w:sz w:val="16"/>
          <w:szCs w:val="16"/>
          <w:color w:val="auto"/>
        </w:rPr>
        <w:t>storage products accounted for more than 99% of our revenue during 2019.</w:t>
      </w:r>
    </w:p>
    <w:p>
      <w:pPr>
        <w:spacing w:after="0" w:line="5" w:lineRule="exact"/>
        <w:rPr>
          <w:sz w:val="20"/>
          <w:szCs w:val="20"/>
          <w:color w:val="auto"/>
        </w:rPr>
      </w:pPr>
    </w:p>
    <w:p>
      <w:pPr>
        <w:ind w:left="660" w:right="300" w:hanging="652"/>
        <w:spacing w:after="0" w:line="216" w:lineRule="auto"/>
        <w:tabs>
          <w:tab w:leader="none" w:pos="1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term “Responsible Minerals” herein means the relevant smelters or refiners are verified as Conformant with the RMI’s RMAP or an equivalent third-party auditing program.</w:t>
      </w:r>
    </w:p>
    <w:p>
      <w:pPr>
        <w:sectPr>
          <w:pgSz w:w="11900" w:h="16838" w:orient="portrait"/>
          <w:cols w:equalWidth="0" w:num="1">
            <w:col w:w="11240"/>
          </w:cols>
          <w:pgMar w:left="320" w:top="1089" w:right="339" w:bottom="1440" w:gutter="0" w:footer="0" w:header="0"/>
        </w:sectPr>
      </w:pPr>
    </w:p>
    <w:bookmarkStart w:id="4" w:name="page5"/>
    <w:bookmarkEnd w:id="4"/>
    <w:p>
      <w:pPr>
        <w:ind w:right="20"/>
        <w:spacing w:after="0" w:line="254" w:lineRule="auto"/>
        <w:rPr>
          <w:sz w:val="20"/>
          <w:szCs w:val="20"/>
          <w:color w:val="auto"/>
        </w:rPr>
      </w:pPr>
      <w:r>
        <w:rPr>
          <w:rFonts w:ascii="Arial" w:cs="Arial" w:eastAsia="Arial" w:hAnsi="Arial"/>
          <w:sz w:val="18"/>
          <w:szCs w:val="18"/>
          <w:color w:val="auto"/>
        </w:rPr>
        <w:t>Micron’s Responsible Minerals Policy is published at https://www.micron.com/about/our-commitment/sourcing-responsibly/responsible-minerals-policy. To learn more about our conflict minerals supplier requirements, see our Micron Supplier Requirements Standard (</w:t>
      </w:r>
      <w:r>
        <w:rPr>
          <w:rFonts w:ascii="Arial" w:cs="Arial" w:eastAsia="Arial" w:hAnsi="Arial"/>
          <w:sz w:val="18"/>
          <w:szCs w:val="18"/>
          <w:b w:val="1"/>
          <w:bCs w:val="1"/>
          <w:color w:val="auto"/>
        </w:rPr>
        <w:t>“SRS”</w:t>
      </w:r>
      <w:r>
        <w:rPr>
          <w:rFonts w:ascii="Arial" w:cs="Arial" w:eastAsia="Arial" w:hAnsi="Arial"/>
          <w:sz w:val="18"/>
          <w:szCs w:val="18"/>
          <w:color w:val="auto"/>
        </w:rPr>
        <w:t>) at https://www.micron.com/about/our-commitment/sourcing-responsibly/suppliers. The content of any website referred to in this Report is included for general information only and is not incorporated by reference in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Micron’s Conflict Minerals Program:</w:t>
      </w:r>
    </w:p>
    <w:p>
      <w:pPr>
        <w:spacing w:after="0" w:line="28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to source conflict minerals from smelters and refiners validated as Conformant</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with responsible minerals 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Jewellery Council (</w:t>
      </w:r>
      <w:r>
        <w:rPr>
          <w:rFonts w:ascii="Arial" w:cs="Arial" w:eastAsia="Arial" w:hAnsi="Arial"/>
          <w:sz w:val="18"/>
          <w:szCs w:val="18"/>
          <w:b w:val="1"/>
          <w:bCs w:val="1"/>
          <w:color w:val="auto"/>
        </w:rPr>
        <w:t>“RJC”</w:t>
      </w:r>
      <w:r>
        <w:rPr>
          <w:rFonts w:ascii="Arial" w:cs="Arial" w:eastAsia="Arial" w:hAnsi="Arial"/>
          <w:sz w:val="18"/>
          <w:szCs w:val="18"/>
          <w:color w:val="auto"/>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in conformance with the OECD’s Due Diligence Guidance for Responsible Supply Chains of Minerals from Conflict-Affected and High-Risk Areas;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spacing w:after="0" w:line="2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2019, we required all new suppliers to take a Supplier Compliance Training, which helped increase awareness of and focus on our requirement that Micron suppliers may only use Conformant smelters and refiners. As a result, during 2019 and for the third consecutive year, no supplier within our memory and storage products supply chain proposed adding any non-Conformant smelters or refiners. We also maintained our resolution process to quickly identify and remove smelters and refiners from our supply chain when they drop out of the RMI, LBMA or RJC programs and thus become non-Conformant.</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Based on the information provided by our suppliers and our due diligence efforts through December 31, 2019, we identified a total of 240 smelters and refiners we believe were in our memory and storage products supply chain at any point during the year ended December 31, 2019, all of which were validated as Conformant at the time they entered our supply chain. 37 smelters and refiners that were reported to be in our memory and storage products supply chain during 2019 were subsequently determined to be inoperative or removed on or prior to December 31, 2019. Accordingly, we determined that 203 smelters and refiners were in our memory and storage products supply chain as of December 31, 2019, all of which were validated as Conformant.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1. Our Outreach to Suppliers and Reasonable Country of Origin Inquiry</w:t>
      </w:r>
    </w:p>
    <w:p>
      <w:pPr>
        <w:spacing w:after="0" w:line="26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require that each supplier in our memory and storage products supply chain must participate in our Supplier Management Performance process. This process begins with our annual submission of an inquiry letter to our suppliers (including a link to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Through the CMRT we request information from suppliers regarding their 3TG supply chains, including the names and locations of smelters and refiners of 3TG as well as the country of origin of 3TG processed by such smelters and refiners. We then ask that suppliers review and acknowledge our Responsible Minerals Policy and our SRS, which sets out our expectations that all smelters and refiners in our supply chain are, and remain, validated as Conformant.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 w:lineRule="exact"/>
        <w:rPr>
          <w:sz w:val="20"/>
          <w:szCs w:val="20"/>
          <w:color w:val="auto"/>
        </w:rPr>
      </w:pPr>
    </w:p>
    <w:p>
      <w:pPr>
        <w:ind w:left="660" w:right="80" w:hanging="652"/>
        <w:spacing w:after="0" w:line="211" w:lineRule="auto"/>
        <w:tabs>
          <w:tab w:leader="none" w:pos="1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 are necessary to the function or manufacture of our memory and storage products.</w:t>
      </w:r>
    </w:p>
    <w:p>
      <w:pPr>
        <w:ind w:left="100" w:hanging="92"/>
        <w:spacing w:after="0" w:line="197" w:lineRule="auto"/>
        <w:tabs>
          <w:tab w:leader="none" w:pos="1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 term “Conformant” means that smelters or refiners are verified as Conformant with the RMI’s RMAP or an equivalent third-party auditing program.</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90"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Arial" w:cs="Arial" w:eastAsia="Arial" w:hAnsi="Arial"/>
          <w:sz w:val="18"/>
          <w:szCs w:val="18"/>
          <w:color w:val="auto"/>
        </w:rPr>
        <w:t>2</w:t>
      </w:r>
    </w:p>
    <w:p>
      <w:pPr>
        <w:sectPr>
          <w:pgSz w:w="11900" w:h="16838" w:orient="portrait"/>
          <w:cols w:equalWidth="0" w:num="1">
            <w:col w:w="11220"/>
          </w:cols>
          <w:pgMar w:left="320" w:top="1111" w:right="359" w:bottom="1440" w:gutter="0" w:footer="0" w:header="0"/>
        </w:sectPr>
      </w:pPr>
    </w:p>
    <w:bookmarkStart w:id="5" w:name="page6"/>
    <w:bookmarkEnd w:id="5"/>
    <w:p>
      <w:pPr>
        <w:ind w:right="140"/>
        <w:spacing w:after="0" w:line="261" w:lineRule="auto"/>
        <w:rPr>
          <w:sz w:val="20"/>
          <w:szCs w:val="20"/>
          <w:color w:val="auto"/>
        </w:rPr>
      </w:pPr>
      <w:r>
        <w:rPr>
          <w:rFonts w:ascii="Arial" w:cs="Arial" w:eastAsia="Arial" w:hAnsi="Arial"/>
          <w:sz w:val="18"/>
          <w:szCs w:val="18"/>
          <w:color w:val="auto"/>
        </w:rPr>
        <w:t>We applied our Supplier Management Performance process to each new supplier as they were added to our memory and storage products supply chain throughout the year and required all new suppliers to complete our formal Supplier Compliance Training program.</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 Throughout 2019, we worked with our suppliers to help raise awareness of our expectations, provide ongoing education concerning our requirements, and provide training through our risk mitigation and escalation process.</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outreach to suppliers, which included our reasonable country of origin inquiry, did not provide us with complete information on the origin of 3TG from smelters and refiners reported to be in our memory and storage products supply chain in 2019. We had reason to believe, however, that at least some sourcing was from the DRC and adjoining countries. Accordingly, we conducted due diligence on the chain and custody of 3TG and prepared this Conflict Minerals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 Our Conflict Minerals Due Diligence Program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Our Conflict Minerals Due Diligence Program Design</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designed our conflict minerals due diligence program in conformance with the principles of the OECD Due Diligence Guidance for Responsible Supply Chains of Minerals from Conflict-Affected and High-Risk Areas (Third Edition) and the supplements thereto as applied to downstream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Our Conflict Minerals Due Diligence for 2019 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2.2.1 Our Management System</w:t>
      </w:r>
    </w:p>
    <w:p>
      <w:pPr>
        <w:spacing w:after="0" w:line="27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the year ended December 31, 2019, management of our conflict minerals program was provided by a cross-functional Conflict Minerals Steering Team, with representatives from Micron’s Procurement, Supply Chain, Quality, Finance, Sales, Sustainability and Legal departments, headed by a Senior Procurement Compliance Manager. The Steering Team met at least monthly during the year ended December 31, 2019 to review progress towards maintaining our goal of a responsibly-sourced supply chain. Oversight of the Conflict Minerals Steering Team was provided by a cross-functional Conflict Minerals Executive Team comprised of Vice President-level executives, which is charged with sponsoring and reviewing our conflict minerals program. The Steering Team reported to the Executive Team on a monthly basis during the year ended December 31, 2019. In addition, our Global Supply Chain Compliance Council, which includes a subset of our Conflict Minerals Executive Team, is charged with direct oversight of our responsible sourcing program. During the year ended December 31, 2019, the Steering Team reported to the Global Supply Chain Compliance Council quarterly to review our progress towards our goal of achieving a responsibly-sourced supply chain.</w:t>
      </w:r>
    </w:p>
    <w:p>
      <w:pPr>
        <w:spacing w:after="0" w:line="2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continued to incorporate our conflict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hotline, which can be used to report issues relating to conflict minerals. Our program included a ten-year record retention policy for our conflict minerals documents.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2.2.2 Our Risk Assessment</w:t>
      </w:r>
    </w:p>
    <w:p>
      <w:pPr>
        <w:spacing w:after="0" w:line="2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collected, screened and analyzed CMRTs from all 3TG-exposed suppliers for the year ended December 31, 2019. We provided our suppliers with formal notification of Micron’s requirements to convey our expectations that they report to us, within fourteen days of any such occurrence, any changes to their supply chains that would affect their CMRT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1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auto"/>
        </w:rPr>
        <w:t>2.2.3 Our Risk Management</w:t>
      </w:r>
    </w:p>
    <w:p>
      <w:pPr>
        <w:spacing w:after="0" w:line="2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reviewed all CMRT responses and updates received for the year ended December 31, 2019 and determined whether the disclosed smelters or refiners were recognized by RMI or equivalents as processors of 3TG metals, and if so, whether they had been validated as Conformant with these organizations. We reviewed supplier CMRTs for accuracy and overall adherence to our conflict minerals requirements, as delivered through our inquiry letter to suppliers, and we began our risk mitigation (and escalation processes, if necessary) set out in our conflict minerals procedures with suppliers having disclosed any smelters or refiners that were not Conformant. If a supplier reports a CMRT that includes smelters or refiners not yet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During the year ended December 31, 2019, zero suppliers in our memory and storage products supply chain reported smelters or refiners not yet validated as Conformant in a responsible minerals auditing program. 37 smelters and refiners that were reported to be in our memory and storage products supply chain during 2019 were subsequently determined to be inoperative or removed on or prior to December 31, 2019.</w:t>
      </w:r>
    </w:p>
    <w:p>
      <w:pPr>
        <w:spacing w:after="0" w:line="23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members of multiple RMI working groups, including the RMI Smelter Engagement Working Group, which was tasked with identifying and influencing smelters in the supply chains of RMI members to join the RMAP and become validated as responsibly sourced. Micron also has additional RMI formal representation and leadership positions on multiple RMI working groups, including the Multi-Stakeholder, Due Diligence Practices, Minerals Reporting Template, Gold and Plenary Working Groups. Through our membership dues, we provide funding to DRC in-region agencies.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2.2.4 Smelter and Refiner Auditing</w:t>
      </w: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we do not source 3TG metals directly from smelters or refiners, we rely on independent third-party auditing programs, such as the RMAP, LBMA, and RJC to coordinate audits of smelters and refiners in our memory and storage products supply chain.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2.2.5 Reporting</w:t>
      </w:r>
    </w:p>
    <w:p>
      <w:pPr>
        <w:spacing w:after="0" w:line="27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report our annual due diligence results in our conflict minerals program to the U.S. Securities and Exchange Commission through the Form SD and the CMR. We make the CMR available on our company website.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3. Our Product Descriptions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offer a broad portfolio of semiconductor memory and storage products. 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3TG metals contained in memory and storage products we manufactured and sold during the year ended December 31, 2019 and/or whether some of the memory and storage products we manufactured and sold during the year ended December 31, 2019 contain 3TG metals that may have directly or indirectly financed or benefited armed groups in the DRC or an adjoining country.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Memory and Storage Products</w:t>
      </w:r>
    </w:p>
    <w:p>
      <w:pPr>
        <w:spacing w:after="0" w:line="27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During the year ended December 31, 2019, we manufactured or contracted to manufacture the following memory and storage products containing 3TG metals.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Dynamic Random Access Memory (“</w:t>
      </w:r>
      <w:r>
        <w:rPr>
          <w:rFonts w:ascii="Arial" w:cs="Arial" w:eastAsia="Arial" w:hAnsi="Arial"/>
          <w:sz w:val="18"/>
          <w:szCs w:val="18"/>
          <w:b w:val="1"/>
          <w:bCs w:val="1"/>
          <w:i w:val="1"/>
          <w:iCs w:val="1"/>
          <w:u w:val="single" w:color="auto"/>
          <w:color w:val="auto"/>
        </w:rPr>
        <w:t>DRAM</w:t>
      </w:r>
      <w:r>
        <w:rPr>
          <w:rFonts w:ascii="Arial" w:cs="Arial" w:eastAsia="Arial" w:hAnsi="Arial"/>
          <w:sz w:val="18"/>
          <w:szCs w:val="18"/>
          <w:i w:val="1"/>
          <w:iCs w:val="1"/>
          <w:u w:val="single" w:color="auto"/>
          <w:color w:val="auto"/>
        </w:rPr>
        <w:t>”)</w:t>
      </w:r>
    </w:p>
    <w:p>
      <w:pPr>
        <w:spacing w:after="0" w:line="27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DRAM products are high-density, random access memory devices that provide high-speed data storage and retrieval with a variety of performance, pricing, and other characteristics.</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Wafer, Component, and Module DRAM: </w:t>
      </w:r>
      <w:r>
        <w:rPr>
          <w:rFonts w:ascii="Arial" w:cs="Arial" w:eastAsia="Arial" w:hAnsi="Arial"/>
          <w:sz w:val="18"/>
          <w:szCs w:val="18"/>
          <w:color w:val="auto"/>
        </w:rPr>
        <w:t>Wafer, component, and module DRAM products offer high speed and bandwidth, primarily for use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servers, networking devices, communications equipment, consumer electronics, automotive, and industrial applications.</w:t>
      </w:r>
    </w:p>
    <w:p>
      <w:pPr>
        <w:spacing w:after="0" w:line="1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Graphics DRAM</w:t>
      </w:r>
      <w:r>
        <w:rPr>
          <w:rFonts w:ascii="Arial" w:cs="Arial" w:eastAsia="Arial" w:hAnsi="Arial"/>
          <w:sz w:val="18"/>
          <w:szCs w:val="18"/>
          <w:color w:val="auto"/>
        </w:rPr>
        <w:t>: DRAM graphics products are high-performance, high-bandwidth, cost-effective memory products for use in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game consoles, PC graphics cards and graphics processing unit-based data center solutions.</w:t>
      </w:r>
    </w:p>
    <w:p>
      <w:pPr>
        <w:spacing w:after="0" w:line="18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i w:val="1"/>
          <w:iCs w:val="1"/>
          <w:color w:val="auto"/>
        </w:rPr>
        <w:t xml:space="preserve">LPDRAM: </w:t>
      </w:r>
      <w:r>
        <w:rPr>
          <w:rFonts w:ascii="Arial" w:cs="Arial" w:eastAsia="Arial" w:hAnsi="Arial"/>
          <w:sz w:val="18"/>
          <w:szCs w:val="18"/>
          <w:color w:val="auto"/>
        </w:rPr>
        <w:t>LPDRAM products offer lower power consumption relative to other DRAM products and are used primarily in smartphones,</w:t>
      </w:r>
      <w:r>
        <w:rPr>
          <w:rFonts w:ascii="Arial" w:cs="Arial" w:eastAsia="Arial" w:hAnsi="Arial"/>
          <w:sz w:val="18"/>
          <w:szCs w:val="18"/>
          <w:i w:val="1"/>
          <w:iCs w:val="1"/>
          <w:color w:val="auto"/>
        </w:rPr>
        <w:t xml:space="preserve"> </w:t>
      </w:r>
      <w:r>
        <w:rPr>
          <w:rFonts w:ascii="Arial" w:cs="Arial" w:eastAsia="Arial" w:hAnsi="Arial"/>
          <w:sz w:val="18"/>
          <w:szCs w:val="18"/>
          <w:color w:val="auto"/>
        </w:rPr>
        <w:t>tablets, automotive applications, laptop computers, and other mobile consumer devices that require low power consumption.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NAND</w:t>
      </w:r>
    </w:p>
    <w:p>
      <w:pPr>
        <w:spacing w:after="0" w:line="27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NAND products are electrically re-writeable, non-volatile semiconductor memory and storage devices that retain content when power is turned off. NAND is ideal for mass-storage devices due to its fast erase and write times, high density, and low cost per bit relative to other solid-state memory technologies. NAND-based storage devices are utilized in smartphones, SSDs, tablets, computers, automotive and industrial applications, networking, and other consumer applications. Removable storage devices, such as USB and Flash memory cards, are used with applications such as PCs, digital still cameras, and smartphones.</w:t>
      </w:r>
    </w:p>
    <w:p>
      <w:pPr>
        <w:spacing w:after="0" w:line="214"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i w:val="1"/>
          <w:iCs w:val="1"/>
          <w:color w:val="auto"/>
        </w:rPr>
        <w:t xml:space="preserve">Wafer and Component NAND: </w:t>
      </w:r>
      <w:r>
        <w:rPr>
          <w:rFonts w:ascii="Arial" w:cs="Arial" w:eastAsia="Arial" w:hAnsi="Arial"/>
          <w:sz w:val="18"/>
          <w:szCs w:val="18"/>
          <w:color w:val="auto"/>
        </w:rPr>
        <w:t>Wafer and component NAND products are sold in component and wafer forms to various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that then incorporate these products into their end products.</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Solid State Drives (“</w:t>
      </w:r>
      <w:r>
        <w:rPr>
          <w:rFonts w:ascii="Arial" w:cs="Arial" w:eastAsia="Arial" w:hAnsi="Arial"/>
          <w:sz w:val="18"/>
          <w:szCs w:val="18"/>
          <w:b w:val="1"/>
          <w:bCs w:val="1"/>
          <w:i w:val="1"/>
          <w:iCs w:val="1"/>
          <w:color w:val="auto"/>
        </w:rPr>
        <w:t>SSDs</w:t>
      </w:r>
      <w:r>
        <w:rPr>
          <w:rFonts w:ascii="Arial" w:cs="Arial" w:eastAsia="Arial" w:hAnsi="Arial"/>
          <w:sz w:val="18"/>
          <w:szCs w:val="18"/>
          <w:i w:val="1"/>
          <w:iCs w:val="1"/>
          <w:color w:val="auto"/>
        </w:rPr>
        <w:t xml:space="preserve">”): </w:t>
      </w:r>
      <w:r>
        <w:rPr>
          <w:rFonts w:ascii="Arial" w:cs="Arial" w:eastAsia="Arial" w:hAnsi="Arial"/>
          <w:sz w:val="18"/>
          <w:szCs w:val="18"/>
          <w:color w:val="auto"/>
        </w:rPr>
        <w:t>SSDs incorporate NAND, a controller, and firmware and are a significant portion of our net sales. We offer client,</w:t>
      </w:r>
      <w:r>
        <w:rPr>
          <w:rFonts w:ascii="Arial" w:cs="Arial" w:eastAsia="Arial" w:hAnsi="Arial"/>
          <w:sz w:val="18"/>
          <w:szCs w:val="18"/>
          <w:i w:val="1"/>
          <w:iCs w:val="1"/>
          <w:color w:val="auto"/>
        </w:rPr>
        <w:t xml:space="preserve"> </w:t>
      </w:r>
      <w:r>
        <w:rPr>
          <w:rFonts w:ascii="Arial" w:cs="Arial" w:eastAsia="Arial" w:hAnsi="Arial"/>
          <w:sz w:val="18"/>
          <w:szCs w:val="18"/>
          <w:color w:val="auto"/>
        </w:rPr>
        <w:t>cloud, enterprise, and automotive SSDs which feature higher performance, reduced-power consumption, and enhanced reliability as compared to typical hard disk drives.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Multi-Chip Packages (“</w:t>
      </w:r>
      <w:r>
        <w:rPr>
          <w:rFonts w:ascii="Arial" w:cs="Arial" w:eastAsia="Arial" w:hAnsi="Arial"/>
          <w:sz w:val="18"/>
          <w:szCs w:val="18"/>
          <w:b w:val="1"/>
          <w:bCs w:val="1"/>
          <w:i w:val="1"/>
          <w:iCs w:val="1"/>
          <w:color w:val="auto"/>
        </w:rPr>
        <w:t>MCPs</w:t>
      </w:r>
      <w:r>
        <w:rPr>
          <w:rFonts w:ascii="Arial" w:cs="Arial" w:eastAsia="Arial" w:hAnsi="Arial"/>
          <w:sz w:val="18"/>
          <w:szCs w:val="18"/>
          <w:i w:val="1"/>
          <w:iCs w:val="1"/>
          <w:color w:val="auto"/>
        </w:rPr>
        <w:t xml:space="preserve">”) and Managed NAND: </w:t>
      </w:r>
      <w:r>
        <w:rPr>
          <w:rFonts w:ascii="Arial" w:cs="Arial" w:eastAsia="Arial" w:hAnsi="Arial"/>
          <w:sz w:val="18"/>
          <w:szCs w:val="18"/>
          <w:color w:val="auto"/>
        </w:rPr>
        <w:t>MCP products combine DRAM, NAND, and/or NOR and in some cases also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and firmware. Our managed NAND includes e.MMC and universal flash storage (“</w:t>
      </w:r>
      <w:r>
        <w:rPr>
          <w:rFonts w:ascii="Arial" w:cs="Arial" w:eastAsia="Arial" w:hAnsi="Arial"/>
          <w:sz w:val="18"/>
          <w:szCs w:val="18"/>
          <w:b w:val="1"/>
          <w:bCs w:val="1"/>
          <w:color w:val="auto"/>
        </w:rPr>
        <w:t>UFS</w:t>
      </w:r>
      <w:r>
        <w:rPr>
          <w:rFonts w:ascii="Arial" w:cs="Arial" w:eastAsia="Arial" w:hAnsi="Arial"/>
          <w:sz w:val="18"/>
          <w:szCs w:val="18"/>
          <w:color w:val="auto"/>
        </w:rPr>
        <w:t>”) solutions, each of which combine high-capacity NAND with a high-speed controller and firmware in a small ball-grid array, and eMCP products, which combine an e.MMC/UFS solution with LPDRAM.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 Flash</w:t>
      </w:r>
    </w:p>
    <w:p>
      <w:pPr>
        <w:spacing w:after="0" w:line="27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NOR Flash products are electrically re-writeable semiconductor memory devices that offer fast read times and are used in automotive, industrial, connected home, and consumer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3D XPoint Memory</w:t>
      </w:r>
    </w:p>
    <w:p>
      <w:pPr>
        <w:spacing w:after="0" w:line="27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3D XPoint is a category of non-volatile memory, which uses an innovative, transistor-less, cross point architecture to create a three-dimensional checkerboard where memory cells sit at the intersection of word lines and bit lines, allowing the cells to be addressed individually. As a result, data can be written and read in small sizes, leading to fast and efficient read/write processes. 3D XPoint technology has higher chip density than DRAM, and compared to NAND, has up to 1,000 times lower latency and exponentially greater endurance.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8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Reported Smelters and Refiners Used to Process 3TG Metals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identified 240 smelters and refiners that are recognized by RMI, LBMA or RJC to be processors of 3TG metals and that we believe were potentially in our memory and storage products supply chain for the year ended December 31, 2019. All of these smelters and refiners were validated as Conformant with a responsibly-sourced auditing program, though 37 smelters and refiners that were reported to be in our memory and storage products supply chain during 2019 were subsequently determined to be inoperative or removed on or prior to December 31, 2019. 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locations, and status of all of the smelters and refiners in our memory and storage products supply chain as reported by our suppliers for the year ended December 31, 2019.</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Throughout 2019, we worked with our suppliers in an effort to source only from smelters and refiners that were validated as Conformant with a responsibly-sourced auditing program. As of December 31, 2019, our memory and storage products supply chain included 203 smelters and refiners, all of which were validated as Conformant.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Aggregated Countries of Origin of 3TG Metals</w:t>
      </w:r>
    </w:p>
    <w:p>
      <w:pPr>
        <w:spacing w:after="0" w:line="2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due diligence efforts did not result in sufficient information to conclusively determine the countries of origin of all 3TG metals in our products due to the fact that the RJC does not report country of origin information for smelters and refiners that participate in its programs. Appendix B sets forth a list of countries of origin of 3TG metals that may be in our products based on information provided to us by our suppliers and RMI, which is available to us (and is therefore being disclosed) on an aggregated basis only for RMAP Conformant smelters.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Efforts to Determine the Mine or Location of Origin</w:t>
      </w:r>
    </w:p>
    <w:p>
      <w:pPr>
        <w:spacing w:after="0" w:line="2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22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required the suppliers in our memory and storage products supply chain to complete the RMI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RMI on the mine or location of origin of 3TG metals processed by these smelters and refiners collectively. Because we were unable to confirm the supplier data, our list of the countries of origin in Appendix B reflects the aggregated list of countries provided by RMI for RMAP responsibly-sourced smelters and refiners.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4. 2020 Due Diligence Improvement Measures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During the 2020 reporting year, Micron intends to:</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engage with and provide active participation and leadership in the various RMI working groups;</w:t>
      </w:r>
    </w:p>
    <w:p>
      <w:pPr>
        <w:spacing w:after="0" w:line="252"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proactively work with all suppliers in an effort to accomplish our goal that all smelters and refiners in our supply chain are Conformant;</w:t>
      </w:r>
    </w:p>
    <w:p>
      <w:pPr>
        <w:spacing w:after="0" w:line="224"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refine and improve our escalation processes to ensure quick remediation, including removal, of any smelter or refiner that loses Conformant status;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89" w:right="339" w:bottom="1440" w:gutter="0" w:footer="0" w:header="0"/>
        </w:sectPr>
      </w:pPr>
    </w:p>
    <w:bookmarkStart w:id="9" w:name="page10"/>
    <w:bookmarkEnd w:id="9"/>
    <w:p>
      <w:pPr>
        <w:ind w:left="660" w:right="3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conflict minerals program to a broader Responsible Sourcing program designed to ensure responsible sourcing of additional minerals and include more geographies as solutions are deployed and implemented through RMI.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45" w:lineRule="exact"/>
        <w:rPr>
          <w:sz w:val="20"/>
          <w:szCs w:val="20"/>
          <w:color w:val="auto"/>
        </w:rPr>
      </w:pPr>
    </w:p>
    <w:p>
      <w:pPr>
        <w:spacing w:after="0" w:line="368" w:lineRule="auto"/>
        <w:rPr>
          <w:sz w:val="20"/>
          <w:szCs w:val="20"/>
          <w:color w:val="auto"/>
        </w:rPr>
      </w:pPr>
      <w:r>
        <w:rPr>
          <w:rFonts w:ascii="Arial" w:cs="Arial" w:eastAsia="Arial" w:hAnsi="Arial"/>
          <w:sz w:val="18"/>
          <w:szCs w:val="18"/>
          <w:i w:val="1"/>
          <w:iCs w:val="1"/>
          <w:color w:val="auto"/>
        </w:rPr>
        <w:t>This Conflict Minerals Report contains forward looking statements related to our conflict minerals diligence programs for 2020.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1111" w:right="539" w:bottom="1440" w:gutter="0" w:footer="0" w:header="0"/>
        </w:sectPr>
      </w:pPr>
    </w:p>
    <w:bookmarkStart w:id="10" w:name="page11"/>
    <w:bookmarkEnd w:id="10"/>
    <w:p>
      <w:pPr>
        <w:spacing w:after="0"/>
        <w:rPr>
          <w:sz w:val="20"/>
          <w:szCs w:val="20"/>
          <w:color w:val="auto"/>
        </w:rPr>
      </w:pPr>
      <w:r>
        <w:rPr>
          <w:rFonts w:ascii="Arial" w:cs="Arial" w:eastAsia="Arial" w:hAnsi="Arial"/>
          <w:sz w:val="40"/>
          <w:szCs w:val="40"/>
          <w:b w:val="1"/>
          <w:bCs w:val="1"/>
          <w:color w:val="auto"/>
        </w:rPr>
        <w:t>Appendix A</w:t>
      </w:r>
    </w:p>
    <w:p>
      <w:pPr>
        <w:spacing w:after="0" w:line="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Reported 3TG Smelters and Refiners List</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table provides the names, locations, and status of all of the smelters and refiners in our memory and storage products supply chain as reported by our suppliers for the year ended December 31, 2019. The smelter and refiner names, locations, and status appear as they are listed in the RMI Smelter Database as of January 17, 2020. We cannot confirm that any or all smelters and refiners in this table processed the necessary 3TG metals contained in our products, as many of our in scope suppliers identified all smelters and refiners in their total supply chain rather than just those smelters and refiners associated with products sold to us.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Smelters and refiners noted with an asterisk (*) in this table represent the 37 smelters and refiners that were reported to be in our memory and storage products supply chain during 2019 and were subsequently determined to be inoperative or removed on or prior to December 31, 2019. Up-to-date information on the validation status of smelters and refiners participating in the RMAP is available at http://www.responsiblemineralsinitiative.org/smelters-refiners-lists.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840" w:type="dxa"/>
            <w:vAlign w:val="bottom"/>
            <w:tcBorders>
              <w:bottom w:val="single" w:sz="8" w:color="0090DA"/>
            </w:tcBorders>
          </w:tcPr>
          <w:p>
            <w:pPr>
              <w:ind w:left="360"/>
              <w:spacing w:after="0"/>
              <w:rPr>
                <w:sz w:val="20"/>
                <w:szCs w:val="20"/>
                <w:color w:val="auto"/>
              </w:rPr>
            </w:pPr>
            <w:r>
              <w:rPr>
                <w:rFonts w:ascii="Arial" w:cs="Arial" w:eastAsia="Arial" w:hAnsi="Arial"/>
                <w:sz w:val="18"/>
                <w:szCs w:val="18"/>
                <w:b w:val="1"/>
                <w:bCs w:val="1"/>
                <w:color w:val="auto"/>
              </w:rPr>
              <w:t>Smelter or Refinery Name</w:t>
            </w:r>
          </w:p>
        </w:tc>
        <w:tc>
          <w:tcPr>
            <w:tcW w:w="2660" w:type="dxa"/>
            <w:vAlign w:val="bottom"/>
            <w:tcBorders>
              <w:bottom w:val="single" w:sz="8" w:color="0090DA"/>
            </w:tcBorders>
          </w:tcPr>
          <w:p>
            <w:pPr>
              <w:ind w:left="660"/>
              <w:spacing w:after="0"/>
              <w:rPr>
                <w:sz w:val="20"/>
                <w:szCs w:val="20"/>
                <w:color w:val="auto"/>
              </w:rPr>
            </w:pPr>
            <w:r>
              <w:rPr>
                <w:rFonts w:ascii="Arial" w:cs="Arial" w:eastAsia="Arial" w:hAnsi="Arial"/>
                <w:sz w:val="18"/>
                <w:szCs w:val="18"/>
                <w:b w:val="1"/>
                <w:bCs w:val="1"/>
                <w:color w:val="auto"/>
              </w:rPr>
              <w:t>Location</w:t>
            </w:r>
          </w:p>
        </w:tc>
        <w:tc>
          <w:tcPr>
            <w:tcW w:w="1900" w:type="dxa"/>
            <w:vAlign w:val="bottom"/>
            <w:tcBorders>
              <w:bottom w:val="single" w:sz="8" w:color="0090DA"/>
            </w:tcBorders>
          </w:tcPr>
          <w:p>
            <w:pPr>
              <w:ind w:left="280"/>
              <w:spacing w:after="0"/>
              <w:rPr>
                <w:sz w:val="20"/>
                <w:szCs w:val="20"/>
                <w:color w:val="auto"/>
              </w:rPr>
            </w:pPr>
            <w:r>
              <w:rPr>
                <w:rFonts w:ascii="Arial" w:cs="Arial" w:eastAsia="Arial" w:hAnsi="Arial"/>
                <w:sz w:val="18"/>
                <w:szCs w:val="18"/>
                <w:b w:val="1"/>
                <w:bCs w:val="1"/>
                <w:color w:val="auto"/>
              </w:rPr>
              <w:t>Status</w:t>
            </w:r>
          </w:p>
        </w:tc>
      </w:tr>
      <w:tr>
        <w:trPr>
          <w:trHeight w:val="41"/>
        </w:trPr>
        <w:tc>
          <w:tcPr>
            <w:tcW w:w="84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56"/>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8853 S.p.A.</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Italy</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Advanced Chemical Company</w:t>
            </w:r>
          </w:p>
        </w:tc>
        <w:tc>
          <w:tcPr>
            <w:tcW w:w="266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Al Etihad Gold Refinery DMCC*</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United Arab Emirates</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Non 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Allgemeine Gold-und Silberscheideanstalt A.G.</w:t>
            </w:r>
          </w:p>
        </w:tc>
        <w:tc>
          <w:tcPr>
            <w:tcW w:w="266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Almalyk Mining and Metallurgical Complex (AMMC)</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Uzbekistan</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AngloGold Ashanti Corrego do Sitio Mineracao</w:t>
            </w:r>
          </w:p>
        </w:tc>
        <w:tc>
          <w:tcPr>
            <w:tcW w:w="2660" w:type="dxa"/>
            <w:vAlign w:val="bottom"/>
          </w:tcPr>
          <w:p>
            <w:pPr>
              <w:ind w:left="660"/>
              <w:spacing w:after="0"/>
              <w:rPr>
                <w:sz w:val="20"/>
                <w:szCs w:val="20"/>
                <w:color w:val="auto"/>
              </w:rPr>
            </w:pPr>
            <w:r>
              <w:rPr>
                <w:rFonts w:ascii="Arial" w:cs="Arial" w:eastAsia="Arial" w:hAnsi="Arial"/>
                <w:sz w:val="18"/>
                <w:szCs w:val="18"/>
                <w:color w:val="auto"/>
              </w:rPr>
              <w:t>Brazil</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Argor-Heraeus S.A.</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Switzerland</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Asahi Pretec Corp.</w:t>
            </w:r>
          </w:p>
        </w:tc>
        <w:tc>
          <w:tcPr>
            <w:tcW w:w="266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Asahi Refining Canada Ltd.</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Canada</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Asahi Refining USA Inc.</w:t>
            </w:r>
          </w:p>
        </w:tc>
        <w:tc>
          <w:tcPr>
            <w:tcW w:w="266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AU Traders and Refiners</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South Africa</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Aurubis AG</w:t>
            </w:r>
          </w:p>
        </w:tc>
        <w:tc>
          <w:tcPr>
            <w:tcW w:w="266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Bangalore Refinery</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India</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Bangko Sentral ng Pilipinas (Central Bank of the Philippines)</w:t>
            </w:r>
          </w:p>
        </w:tc>
        <w:tc>
          <w:tcPr>
            <w:tcW w:w="2660" w:type="dxa"/>
            <w:vAlign w:val="bottom"/>
          </w:tcPr>
          <w:p>
            <w:pPr>
              <w:ind w:left="660"/>
              <w:spacing w:after="0"/>
              <w:rPr>
                <w:sz w:val="20"/>
                <w:szCs w:val="20"/>
                <w:color w:val="auto"/>
              </w:rPr>
            </w:pPr>
            <w:r>
              <w:rPr>
                <w:rFonts w:ascii="Arial" w:cs="Arial" w:eastAsia="Arial" w:hAnsi="Arial"/>
                <w:sz w:val="18"/>
                <w:szCs w:val="18"/>
                <w:color w:val="auto"/>
              </w:rPr>
              <w:t>Philippines</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Boliden AB</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Sweden</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C. Hafner GmbH + Co. KG</w:t>
            </w:r>
          </w:p>
        </w:tc>
        <w:tc>
          <w:tcPr>
            <w:tcW w:w="266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CCR Refinery - Glencore Canada Corporation</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Canada</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Cendres + Metaux S.A.</w:t>
            </w:r>
          </w:p>
        </w:tc>
        <w:tc>
          <w:tcPr>
            <w:tcW w:w="2660" w:type="dxa"/>
            <w:vAlign w:val="bottom"/>
          </w:tcPr>
          <w:p>
            <w:pPr>
              <w:ind w:left="660"/>
              <w:spacing w:after="0"/>
              <w:rPr>
                <w:sz w:val="20"/>
                <w:szCs w:val="20"/>
                <w:color w:val="auto"/>
              </w:rPr>
            </w:pPr>
            <w:r>
              <w:rPr>
                <w:rFonts w:ascii="Arial" w:cs="Arial" w:eastAsia="Arial" w:hAnsi="Arial"/>
                <w:sz w:val="18"/>
                <w:szCs w:val="18"/>
                <w:color w:val="auto"/>
              </w:rPr>
              <w:t>Switzerland</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Chimet S.p.A.</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Italy</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Dowa</w:t>
            </w:r>
          </w:p>
        </w:tc>
        <w:tc>
          <w:tcPr>
            <w:tcW w:w="266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Eco-System Recycling Co., Ltd. East Plant</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Emirates Gold DMCC</w:t>
            </w:r>
          </w:p>
        </w:tc>
        <w:tc>
          <w:tcPr>
            <w:tcW w:w="2660" w:type="dxa"/>
            <w:vAlign w:val="bottom"/>
          </w:tcPr>
          <w:p>
            <w:pPr>
              <w:ind w:left="660"/>
              <w:spacing w:after="0"/>
              <w:rPr>
                <w:sz w:val="20"/>
                <w:szCs w:val="20"/>
                <w:color w:val="auto"/>
              </w:rPr>
            </w:pPr>
            <w:r>
              <w:rPr>
                <w:rFonts w:ascii="Arial" w:cs="Arial" w:eastAsia="Arial" w:hAnsi="Arial"/>
                <w:sz w:val="18"/>
                <w:szCs w:val="18"/>
                <w:color w:val="auto"/>
              </w:rPr>
              <w:t>United Arab Emirates</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Gold Refinery of Zijin Mining Group Co., Ltd.</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China</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Heimerle + Meule GmbH</w:t>
            </w:r>
          </w:p>
        </w:tc>
        <w:tc>
          <w:tcPr>
            <w:tcW w:w="266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8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Heraeus Metals Hong Kong Ltd.</w:t>
            </w:r>
          </w:p>
        </w:tc>
        <w:tc>
          <w:tcPr>
            <w:tcW w:w="2660" w:type="dxa"/>
            <w:vAlign w:val="bottom"/>
            <w:shd w:val="clear" w:color="auto" w:fill="CBCBCB"/>
          </w:tcPr>
          <w:p>
            <w:pPr>
              <w:ind w:left="660"/>
              <w:spacing w:after="0"/>
              <w:rPr>
                <w:sz w:val="20"/>
                <w:szCs w:val="20"/>
                <w:color w:val="auto"/>
              </w:rPr>
            </w:pPr>
            <w:r>
              <w:rPr>
                <w:rFonts w:ascii="Arial" w:cs="Arial" w:eastAsia="Arial" w:hAnsi="Arial"/>
                <w:sz w:val="18"/>
                <w:szCs w:val="18"/>
                <w:color w:val="auto"/>
              </w:rPr>
              <w:t>China</w:t>
            </w:r>
          </w:p>
        </w:tc>
        <w:tc>
          <w:tcPr>
            <w:tcW w:w="1900" w:type="dxa"/>
            <w:vAlign w:val="bottom"/>
            <w:shd w:val="clear" w:color="auto" w:fill="CBCBCB"/>
          </w:tcPr>
          <w:p>
            <w:pPr>
              <w:ind w:left="280"/>
              <w:spacing w:after="0"/>
              <w:rPr>
                <w:sz w:val="20"/>
                <w:szCs w:val="20"/>
                <w:color w:val="auto"/>
              </w:rPr>
            </w:pPr>
            <w:r>
              <w:rPr>
                <w:rFonts w:ascii="Arial" w:cs="Arial" w:eastAsia="Arial" w:hAnsi="Arial"/>
                <w:sz w:val="18"/>
                <w:szCs w:val="18"/>
                <w:color w:val="auto"/>
              </w:rPr>
              <w:t>Conformant</w:t>
            </w: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5840" w:type="dxa"/>
            <w:vAlign w:val="bottom"/>
          </w:tcPr>
          <w:p>
            <w:pPr>
              <w:ind w:left="360"/>
              <w:spacing w:after="0"/>
              <w:rPr>
                <w:sz w:val="20"/>
                <w:szCs w:val="20"/>
                <w:color w:val="auto"/>
              </w:rPr>
            </w:pPr>
            <w:r>
              <w:rPr>
                <w:rFonts w:ascii="Arial" w:cs="Arial" w:eastAsia="Arial" w:hAnsi="Arial"/>
                <w:sz w:val="18"/>
                <w:szCs w:val="18"/>
                <w:color w:val="auto"/>
              </w:rPr>
              <w:t>Heraeus Precious Metals GmbH &amp; Co. KG</w:t>
            </w:r>
          </w:p>
        </w:tc>
        <w:tc>
          <w:tcPr>
            <w:tcW w:w="266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28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05" w:right="339" w:bottom="1440" w:gutter="0" w:footer="0" w:header="0"/>
        </w:sectPr>
      </w:pPr>
    </w:p>
    <w:bookmarkStart w:id="11" w:name="page12"/>
    <w:bookmarkEnd w:id="11"/>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6120" w:type="dxa"/>
            <w:vAlign w:val="bottom"/>
            <w:tcBorders>
              <w:bottom w:val="single" w:sz="8" w:color="0090DA"/>
            </w:tcBorders>
          </w:tcPr>
          <w:p>
            <w:pPr>
              <w:ind w:left="360"/>
              <w:spacing w:after="0"/>
              <w:rPr>
                <w:sz w:val="20"/>
                <w:szCs w:val="20"/>
                <w:color w:val="auto"/>
              </w:rPr>
            </w:pPr>
            <w:r>
              <w:rPr>
                <w:rFonts w:ascii="Arial" w:cs="Arial" w:eastAsia="Arial" w:hAnsi="Arial"/>
                <w:sz w:val="18"/>
                <w:szCs w:val="18"/>
                <w:b w:val="1"/>
                <w:bCs w:val="1"/>
                <w:color w:val="auto"/>
              </w:rPr>
              <w:t>Smelter or Refinery Name</w:t>
            </w:r>
          </w:p>
        </w:tc>
        <w:tc>
          <w:tcPr>
            <w:tcW w:w="2060" w:type="dxa"/>
            <w:vAlign w:val="bottom"/>
            <w:tcBorders>
              <w:bottom w:val="single" w:sz="8" w:color="0090DA"/>
            </w:tcBorders>
          </w:tcPr>
          <w:p>
            <w:pPr>
              <w:ind w:left="380"/>
              <w:spacing w:after="0"/>
              <w:rPr>
                <w:sz w:val="20"/>
                <w:szCs w:val="20"/>
                <w:color w:val="auto"/>
              </w:rPr>
            </w:pPr>
            <w:r>
              <w:rPr>
                <w:rFonts w:ascii="Arial" w:cs="Arial" w:eastAsia="Arial" w:hAnsi="Arial"/>
                <w:sz w:val="18"/>
                <w:szCs w:val="18"/>
                <w:b w:val="1"/>
                <w:bCs w:val="1"/>
                <w:color w:val="auto"/>
              </w:rPr>
              <w:t>Location</w:t>
            </w:r>
          </w:p>
        </w:tc>
        <w:tc>
          <w:tcPr>
            <w:tcW w:w="222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40"/>
        </w:trPr>
        <w:tc>
          <w:tcPr>
            <w:tcW w:w="8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57"/>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Inner Mongolia Qiankun Gold and Silver Refinery Share Co.,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Ishifuku Metal Industry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Istanbul Gold Refinery</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Turkey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Italpreziosi</w:t>
            </w:r>
          </w:p>
        </w:tc>
        <w:tc>
          <w:tcPr>
            <w:tcW w:w="2060" w:type="dxa"/>
            <w:vAlign w:val="bottom"/>
          </w:tcPr>
          <w:p>
            <w:pPr>
              <w:ind w:left="380"/>
              <w:spacing w:after="0"/>
              <w:rPr>
                <w:sz w:val="20"/>
                <w:szCs w:val="20"/>
                <w:color w:val="auto"/>
              </w:rPr>
            </w:pPr>
            <w:r>
              <w:rPr>
                <w:rFonts w:ascii="Arial" w:cs="Arial" w:eastAsia="Arial" w:hAnsi="Arial"/>
                <w:sz w:val="18"/>
                <w:szCs w:val="18"/>
                <w:color w:val="auto"/>
              </w:rPr>
              <w:t>Italy</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Japan Mint</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Jiangxi Copper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JSC Uralelectromed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Russia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JX Nippon Mining &amp; Metals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Kazzinc</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Kazakhstan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Kennecott Utah Copper LLC</w:t>
            </w:r>
          </w:p>
        </w:tc>
        <w:tc>
          <w:tcPr>
            <w:tcW w:w="20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KGHM Polska Miedz Spolka Akcyjna</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Poland</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Kojima Chemicals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Korea Zinc Co.,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South Korea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Kyrgyzaltyn JSC</w:t>
            </w:r>
          </w:p>
        </w:tc>
        <w:tc>
          <w:tcPr>
            <w:tcW w:w="2060" w:type="dxa"/>
            <w:vAlign w:val="bottom"/>
          </w:tcPr>
          <w:p>
            <w:pPr>
              <w:ind w:left="380"/>
              <w:spacing w:after="0"/>
              <w:rPr>
                <w:sz w:val="20"/>
                <w:szCs w:val="20"/>
                <w:color w:val="auto"/>
              </w:rPr>
            </w:pPr>
            <w:r>
              <w:rPr>
                <w:rFonts w:ascii="Arial" w:cs="Arial" w:eastAsia="Arial" w:hAnsi="Arial"/>
                <w:sz w:val="18"/>
                <w:szCs w:val="18"/>
                <w:color w:val="auto"/>
              </w:rPr>
              <w:t>Kyrgyzstan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L'Orfebre S.A.</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Andorra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LS-NIKKO Copper Inc.</w:t>
            </w:r>
          </w:p>
        </w:tc>
        <w:tc>
          <w:tcPr>
            <w:tcW w:w="2060" w:type="dxa"/>
            <w:vAlign w:val="bottom"/>
          </w:tcPr>
          <w:p>
            <w:pPr>
              <w:ind w:left="380"/>
              <w:spacing w:after="0"/>
              <w:rPr>
                <w:sz w:val="20"/>
                <w:szCs w:val="20"/>
                <w:color w:val="auto"/>
              </w:rPr>
            </w:pPr>
            <w:r>
              <w:rPr>
                <w:rFonts w:ascii="Arial" w:cs="Arial" w:eastAsia="Arial" w:hAnsi="Arial"/>
                <w:sz w:val="18"/>
                <w:szCs w:val="18"/>
                <w:color w:val="auto"/>
              </w:rPr>
              <w:t>South Korea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LT Metal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South Korea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Marsam Metals</w:t>
            </w:r>
          </w:p>
        </w:tc>
        <w:tc>
          <w:tcPr>
            <w:tcW w:w="2060" w:type="dxa"/>
            <w:vAlign w:val="bottom"/>
          </w:tcPr>
          <w:p>
            <w:pPr>
              <w:ind w:left="380"/>
              <w:spacing w:after="0"/>
              <w:rPr>
                <w:sz w:val="20"/>
                <w:szCs w:val="20"/>
                <w:color w:val="auto"/>
              </w:rPr>
            </w:pPr>
            <w:r>
              <w:rPr>
                <w:rFonts w:ascii="Arial" w:cs="Arial" w:eastAsia="Arial" w:hAnsi="Arial"/>
                <w:sz w:val="18"/>
                <w:szCs w:val="18"/>
                <w:color w:val="auto"/>
              </w:rPr>
              <w:t>Brazil</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Materion</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Matsuda Sangyo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Metalor Technologies (Hong Kong)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Metalor Technologies (Singapore) Pte., Ltd.</w:t>
            </w:r>
          </w:p>
        </w:tc>
        <w:tc>
          <w:tcPr>
            <w:tcW w:w="2060" w:type="dxa"/>
            <w:vAlign w:val="bottom"/>
          </w:tcPr>
          <w:p>
            <w:pPr>
              <w:ind w:left="380"/>
              <w:spacing w:after="0"/>
              <w:rPr>
                <w:sz w:val="20"/>
                <w:szCs w:val="20"/>
                <w:color w:val="auto"/>
              </w:rPr>
            </w:pPr>
            <w:r>
              <w:rPr>
                <w:rFonts w:ascii="Arial" w:cs="Arial" w:eastAsia="Arial" w:hAnsi="Arial"/>
                <w:sz w:val="18"/>
                <w:szCs w:val="18"/>
                <w:color w:val="auto"/>
              </w:rPr>
              <w:t>Singapore</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Metalor Technologies (Suzhou)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Metalor Technologies S.A.</w:t>
            </w:r>
          </w:p>
        </w:tc>
        <w:tc>
          <w:tcPr>
            <w:tcW w:w="206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Metalor USA Refining Corporation</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Metalurgica Met-Mex Penoles S.A. De C.V.</w:t>
            </w:r>
          </w:p>
        </w:tc>
        <w:tc>
          <w:tcPr>
            <w:tcW w:w="2060" w:type="dxa"/>
            <w:vAlign w:val="bottom"/>
          </w:tcPr>
          <w:p>
            <w:pPr>
              <w:ind w:left="380"/>
              <w:spacing w:after="0"/>
              <w:rPr>
                <w:sz w:val="20"/>
                <w:szCs w:val="20"/>
                <w:color w:val="auto"/>
              </w:rPr>
            </w:pPr>
            <w:r>
              <w:rPr>
                <w:rFonts w:ascii="Arial" w:cs="Arial" w:eastAsia="Arial" w:hAnsi="Arial"/>
                <w:sz w:val="18"/>
                <w:szCs w:val="18"/>
                <w:color w:val="auto"/>
              </w:rPr>
              <w:t>Mexico</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Mitsubishi Materials Corporation</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Mitsui Mining and Smelting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MMTC-PAMP India Pvt.,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India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Moscow Special Alloys Processing Plant</w:t>
            </w:r>
          </w:p>
        </w:tc>
        <w:tc>
          <w:tcPr>
            <w:tcW w:w="2060" w:type="dxa"/>
            <w:vAlign w:val="bottom"/>
          </w:tcPr>
          <w:p>
            <w:pPr>
              <w:ind w:left="380"/>
              <w:spacing w:after="0"/>
              <w:rPr>
                <w:sz w:val="20"/>
                <w:szCs w:val="20"/>
                <w:color w:val="auto"/>
              </w:rPr>
            </w:pPr>
            <w:r>
              <w:rPr>
                <w:rFonts w:ascii="Arial" w:cs="Arial" w:eastAsia="Arial" w:hAnsi="Arial"/>
                <w:sz w:val="18"/>
                <w:szCs w:val="18"/>
                <w:color w:val="auto"/>
              </w:rPr>
              <w:t>Russia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Nadir Metal Rafineri San. Ve Tic. A.S.</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Turkey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Nihon Material Co., Ltd.</w:t>
            </w:r>
          </w:p>
        </w:tc>
        <w:tc>
          <w:tcPr>
            <w:tcW w:w="2060" w:type="dxa"/>
            <w:vAlign w:val="bottom"/>
          </w:tcPr>
          <w:p>
            <w:pPr>
              <w:ind w:left="3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Ogussa Osterreichische Gold- und Silber-Scheideanstalt GmbH</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Austria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29"/>
        </w:trPr>
        <w:tc>
          <w:tcPr>
            <w:tcW w:w="840" w:type="dxa"/>
            <w:vAlign w:val="bottom"/>
          </w:tcPr>
          <w:p>
            <w:pPr>
              <w:spacing w:after="0"/>
              <w:rPr>
                <w:sz w:val="19"/>
                <w:szCs w:val="19"/>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OJSC "The Gulidov Krasnoyarsk Non-Ferrous Metals Plant" (OJSC</w:t>
            </w:r>
          </w:p>
        </w:tc>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24"/>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Krastsvetmet)</w:t>
            </w:r>
          </w:p>
        </w:tc>
        <w:tc>
          <w:tcPr>
            <w:tcW w:w="2060" w:type="dxa"/>
            <w:vAlign w:val="bottom"/>
          </w:tcPr>
          <w:p>
            <w:pPr>
              <w:ind w:left="380"/>
              <w:spacing w:after="0"/>
              <w:rPr>
                <w:sz w:val="20"/>
                <w:szCs w:val="20"/>
                <w:color w:val="auto"/>
              </w:rPr>
            </w:pPr>
            <w:r>
              <w:rPr>
                <w:rFonts w:ascii="Arial" w:cs="Arial" w:eastAsia="Arial" w:hAnsi="Arial"/>
                <w:sz w:val="18"/>
                <w:szCs w:val="18"/>
                <w:color w:val="auto"/>
              </w:rPr>
              <w:t>Russia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OJSC Novosibirsk Refinery</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Russia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PAMP S.A.</w:t>
            </w:r>
          </w:p>
        </w:tc>
        <w:tc>
          <w:tcPr>
            <w:tcW w:w="206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Planta Recuperadora de Metales SpA</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Chile</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Prioksky Plant of Non-Ferrous Metals</w:t>
            </w:r>
          </w:p>
        </w:tc>
        <w:tc>
          <w:tcPr>
            <w:tcW w:w="2060" w:type="dxa"/>
            <w:vAlign w:val="bottom"/>
          </w:tcPr>
          <w:p>
            <w:pPr>
              <w:ind w:left="380"/>
              <w:spacing w:after="0"/>
              <w:rPr>
                <w:sz w:val="20"/>
                <w:szCs w:val="20"/>
                <w:color w:val="auto"/>
              </w:rPr>
            </w:pPr>
            <w:r>
              <w:rPr>
                <w:rFonts w:ascii="Arial" w:cs="Arial" w:eastAsia="Arial" w:hAnsi="Arial"/>
                <w:sz w:val="18"/>
                <w:szCs w:val="18"/>
                <w:color w:val="auto"/>
              </w:rPr>
              <w:t>Russia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Aneka Tambang (Persero) Tbk</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Gold</w:t>
            </w:r>
          </w:p>
        </w:tc>
        <w:tc>
          <w:tcPr>
            <w:tcW w:w="6120" w:type="dxa"/>
            <w:vAlign w:val="bottom"/>
          </w:tcPr>
          <w:p>
            <w:pPr>
              <w:ind w:left="360"/>
              <w:spacing w:after="0"/>
              <w:rPr>
                <w:sz w:val="20"/>
                <w:szCs w:val="20"/>
                <w:color w:val="auto"/>
              </w:rPr>
            </w:pPr>
            <w:r>
              <w:rPr>
                <w:rFonts w:ascii="Arial" w:cs="Arial" w:eastAsia="Arial" w:hAnsi="Arial"/>
                <w:sz w:val="18"/>
                <w:szCs w:val="18"/>
                <w:color w:val="auto"/>
              </w:rPr>
              <w:t>PX Precinox S.A.</w:t>
            </w:r>
          </w:p>
        </w:tc>
        <w:tc>
          <w:tcPr>
            <w:tcW w:w="2060" w:type="dxa"/>
            <w:vAlign w:val="bottom"/>
          </w:tcPr>
          <w:p>
            <w:pPr>
              <w:ind w:left="380"/>
              <w:spacing w:after="0"/>
              <w:rPr>
                <w:sz w:val="20"/>
                <w:szCs w:val="20"/>
                <w:color w:val="auto"/>
              </w:rPr>
            </w:pPr>
            <w:r>
              <w:rPr>
                <w:rFonts w:ascii="Arial" w:cs="Arial" w:eastAsia="Arial" w:hAnsi="Arial"/>
                <w:sz w:val="18"/>
                <w:szCs w:val="18"/>
                <w:color w:val="auto"/>
              </w:rPr>
              <w:t>Switzerland</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6120" w:type="dxa"/>
            <w:vAlign w:val="bottom"/>
            <w:shd w:val="clear" w:color="auto" w:fill="CBCBCB"/>
          </w:tcPr>
          <w:p>
            <w:pPr>
              <w:ind w:left="360"/>
              <w:spacing w:after="0"/>
              <w:rPr>
                <w:sz w:val="20"/>
                <w:szCs w:val="20"/>
                <w:color w:val="auto"/>
              </w:rPr>
            </w:pPr>
            <w:r>
              <w:rPr>
                <w:rFonts w:ascii="Arial" w:cs="Arial" w:eastAsia="Arial" w:hAnsi="Arial"/>
                <w:sz w:val="18"/>
                <w:szCs w:val="18"/>
                <w:color w:val="auto"/>
              </w:rPr>
              <w:t>Rand Refinery (Pty) Ltd.</w:t>
            </w:r>
          </w:p>
        </w:tc>
        <w:tc>
          <w:tcPr>
            <w:tcW w:w="2060" w:type="dxa"/>
            <w:vAlign w:val="bottom"/>
            <w:shd w:val="clear" w:color="auto" w:fill="CBCBCB"/>
          </w:tcPr>
          <w:p>
            <w:pPr>
              <w:ind w:left="380"/>
              <w:spacing w:after="0"/>
              <w:rPr>
                <w:sz w:val="20"/>
                <w:szCs w:val="20"/>
                <w:color w:val="auto"/>
              </w:rPr>
            </w:pPr>
            <w:r>
              <w:rPr>
                <w:rFonts w:ascii="Arial" w:cs="Arial" w:eastAsia="Arial" w:hAnsi="Arial"/>
                <w:sz w:val="18"/>
                <w:szCs w:val="18"/>
                <w:color w:val="auto"/>
              </w:rPr>
              <w:t>South Africa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560" w:type="dxa"/>
            <w:vAlign w:val="bottom"/>
            <w:tcBorders>
              <w:bottom w:val="single" w:sz="8" w:color="0090DA"/>
            </w:tcBorders>
          </w:tcPr>
          <w:p>
            <w:pPr>
              <w:ind w:left="220"/>
              <w:spacing w:after="0"/>
              <w:rPr>
                <w:sz w:val="20"/>
                <w:szCs w:val="20"/>
                <w:color w:val="auto"/>
              </w:rPr>
            </w:pPr>
            <w:r>
              <w:rPr>
                <w:rFonts w:ascii="Arial" w:cs="Arial" w:eastAsia="Arial" w:hAnsi="Arial"/>
                <w:sz w:val="18"/>
                <w:szCs w:val="18"/>
                <w:b w:val="1"/>
                <w:bCs w:val="1"/>
                <w:color w:val="auto"/>
              </w:rPr>
              <w:t>Smelter or Refinery Name</w:t>
            </w:r>
          </w:p>
        </w:tc>
        <w:tc>
          <w:tcPr>
            <w:tcW w:w="2480" w:type="dxa"/>
            <w:vAlign w:val="bottom"/>
            <w:tcBorders>
              <w:bottom w:val="single" w:sz="8" w:color="0090DA"/>
            </w:tcBorders>
          </w:tcPr>
          <w:p>
            <w:pPr>
              <w:ind w:left="800"/>
              <w:spacing w:after="0"/>
              <w:rPr>
                <w:sz w:val="20"/>
                <w:szCs w:val="20"/>
                <w:color w:val="auto"/>
              </w:rPr>
            </w:pPr>
            <w:r>
              <w:rPr>
                <w:rFonts w:ascii="Arial" w:cs="Arial" w:eastAsia="Arial" w:hAnsi="Arial"/>
                <w:sz w:val="18"/>
                <w:szCs w:val="18"/>
                <w:b w:val="1"/>
                <w:bCs w:val="1"/>
                <w:color w:val="auto"/>
              </w:rPr>
              <w:t>Location</w:t>
            </w:r>
          </w:p>
        </w:tc>
        <w:tc>
          <w:tcPr>
            <w:tcW w:w="222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29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REMONDIS PMR B.V.</w:t>
            </w:r>
          </w:p>
        </w:tc>
        <w:tc>
          <w:tcPr>
            <w:tcW w:w="2480" w:type="dxa"/>
            <w:vAlign w:val="bottom"/>
          </w:tcPr>
          <w:p>
            <w:pPr>
              <w:ind w:left="800"/>
              <w:spacing w:after="0"/>
              <w:rPr>
                <w:sz w:val="20"/>
                <w:szCs w:val="20"/>
                <w:color w:val="auto"/>
              </w:rPr>
            </w:pPr>
            <w:r>
              <w:rPr>
                <w:rFonts w:ascii="Arial" w:cs="Arial" w:eastAsia="Arial" w:hAnsi="Arial"/>
                <w:sz w:val="18"/>
                <w:szCs w:val="18"/>
                <w:color w:val="auto"/>
              </w:rPr>
              <w:t>Netherlands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Royal Canadian Mint</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Canada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SAAMP</w:t>
            </w:r>
          </w:p>
        </w:tc>
        <w:tc>
          <w:tcPr>
            <w:tcW w:w="2480" w:type="dxa"/>
            <w:vAlign w:val="bottom"/>
          </w:tcPr>
          <w:p>
            <w:pPr>
              <w:ind w:left="800"/>
              <w:spacing w:after="0"/>
              <w:rPr>
                <w:sz w:val="20"/>
                <w:szCs w:val="20"/>
                <w:color w:val="auto"/>
              </w:rPr>
            </w:pPr>
            <w:r>
              <w:rPr>
                <w:rFonts w:ascii="Arial" w:cs="Arial" w:eastAsia="Arial" w:hAnsi="Arial"/>
                <w:sz w:val="18"/>
                <w:szCs w:val="18"/>
                <w:color w:val="auto"/>
              </w:rPr>
              <w:t>France</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Safimet S.p.A</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Italy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Samduck Precious Metals</w:t>
            </w:r>
          </w:p>
        </w:tc>
        <w:tc>
          <w:tcPr>
            <w:tcW w:w="2480" w:type="dxa"/>
            <w:vAlign w:val="bottom"/>
          </w:tcPr>
          <w:p>
            <w:pPr>
              <w:ind w:left="800"/>
              <w:spacing w:after="0"/>
              <w:rPr>
                <w:sz w:val="20"/>
                <w:szCs w:val="20"/>
                <w:color w:val="auto"/>
              </w:rPr>
            </w:pPr>
            <w:r>
              <w:rPr>
                <w:rFonts w:ascii="Arial" w:cs="Arial" w:eastAsia="Arial" w:hAnsi="Arial"/>
                <w:sz w:val="18"/>
                <w:szCs w:val="18"/>
                <w:color w:val="auto"/>
              </w:rPr>
              <w:t>South Korea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SAXONIA Edelmetalle GmbH</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Germany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SEMPSA Joyeria Plateria S.A.</w:t>
            </w:r>
          </w:p>
        </w:tc>
        <w:tc>
          <w:tcPr>
            <w:tcW w:w="2480" w:type="dxa"/>
            <w:vAlign w:val="bottom"/>
          </w:tcPr>
          <w:p>
            <w:pPr>
              <w:ind w:left="800"/>
              <w:spacing w:after="0"/>
              <w:rPr>
                <w:sz w:val="20"/>
                <w:szCs w:val="20"/>
                <w:color w:val="auto"/>
              </w:rPr>
            </w:pPr>
            <w:r>
              <w:rPr>
                <w:rFonts w:ascii="Arial" w:cs="Arial" w:eastAsia="Arial" w:hAnsi="Arial"/>
                <w:sz w:val="18"/>
                <w:szCs w:val="18"/>
                <w:color w:val="auto"/>
              </w:rPr>
              <w:t>Spain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Shandong Zhaojin Gold &amp; Silver Refinery Co., Ltd.</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Sichuan Tianze Precious Metals Co., Ltd.</w:t>
            </w:r>
          </w:p>
        </w:tc>
        <w:tc>
          <w:tcPr>
            <w:tcW w:w="2480" w:type="dxa"/>
            <w:vAlign w:val="bottom"/>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Singway Technology Co., Ltd.</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Taiwan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SOE Shyolkovsky Factory of Secondary Precious Metals</w:t>
            </w:r>
          </w:p>
        </w:tc>
        <w:tc>
          <w:tcPr>
            <w:tcW w:w="2480" w:type="dxa"/>
            <w:vAlign w:val="bottom"/>
          </w:tcPr>
          <w:p>
            <w:pPr>
              <w:ind w:left="800"/>
              <w:spacing w:after="0"/>
              <w:rPr>
                <w:sz w:val="20"/>
                <w:szCs w:val="20"/>
                <w:color w:val="auto"/>
              </w:rPr>
            </w:pPr>
            <w:r>
              <w:rPr>
                <w:rFonts w:ascii="Arial" w:cs="Arial" w:eastAsia="Arial" w:hAnsi="Arial"/>
                <w:sz w:val="18"/>
                <w:szCs w:val="18"/>
                <w:color w:val="auto"/>
              </w:rPr>
              <w:t>Russia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Solar Applied Materials Technology Corp.</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Taiwan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Sumitomo Metal Mining Co., Ltd.</w:t>
            </w:r>
          </w:p>
        </w:tc>
        <w:tc>
          <w:tcPr>
            <w:tcW w:w="2480" w:type="dxa"/>
            <w:vAlign w:val="bottom"/>
          </w:tcPr>
          <w:p>
            <w:pPr>
              <w:ind w:left="80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T.C.A S.p.A</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Italy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Tanaka Kikinzoku Kogyo K.K.</w:t>
            </w:r>
          </w:p>
        </w:tc>
        <w:tc>
          <w:tcPr>
            <w:tcW w:w="2480" w:type="dxa"/>
            <w:vAlign w:val="bottom"/>
          </w:tcPr>
          <w:p>
            <w:pPr>
              <w:ind w:left="80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The Refinery of Shandong Gold Mining Co., Ltd.</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Tokuriki Honten Co., Ltd.</w:t>
            </w:r>
          </w:p>
        </w:tc>
        <w:tc>
          <w:tcPr>
            <w:tcW w:w="2480" w:type="dxa"/>
            <w:vAlign w:val="bottom"/>
          </w:tcPr>
          <w:p>
            <w:pPr>
              <w:ind w:left="80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Umicore Brasil Ltda.</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Brazil</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Umicore Precious Metals Thailand</w:t>
            </w:r>
          </w:p>
        </w:tc>
        <w:tc>
          <w:tcPr>
            <w:tcW w:w="2480" w:type="dxa"/>
            <w:vAlign w:val="bottom"/>
          </w:tcPr>
          <w:p>
            <w:pPr>
              <w:ind w:left="800"/>
              <w:spacing w:after="0"/>
              <w:rPr>
                <w:sz w:val="20"/>
                <w:szCs w:val="20"/>
                <w:color w:val="auto"/>
              </w:rPr>
            </w:pPr>
            <w:r>
              <w:rPr>
                <w:rFonts w:ascii="Arial" w:cs="Arial" w:eastAsia="Arial" w:hAnsi="Arial"/>
                <w:sz w:val="18"/>
                <w:szCs w:val="18"/>
                <w:color w:val="auto"/>
              </w:rPr>
              <w:t>Thailand</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Umicore S.A. Business Unit Precious Metals Refining</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Belgium</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United Precious Metal Refining, Inc.</w:t>
            </w:r>
          </w:p>
        </w:tc>
        <w:tc>
          <w:tcPr>
            <w:tcW w:w="248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Valcambi S.A.</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Switzerland</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Western Australian Mint (T/a The Perth Mint)</w:t>
            </w:r>
          </w:p>
        </w:tc>
        <w:tc>
          <w:tcPr>
            <w:tcW w:w="2480" w:type="dxa"/>
            <w:vAlign w:val="bottom"/>
          </w:tcPr>
          <w:p>
            <w:pPr>
              <w:ind w:left="800"/>
              <w:spacing w:after="0"/>
              <w:rPr>
                <w:sz w:val="20"/>
                <w:szCs w:val="20"/>
                <w:color w:val="auto"/>
              </w:rPr>
            </w:pPr>
            <w:r>
              <w:rPr>
                <w:rFonts w:ascii="Arial" w:cs="Arial" w:eastAsia="Arial" w:hAnsi="Arial"/>
                <w:sz w:val="18"/>
                <w:szCs w:val="18"/>
                <w:color w:val="auto"/>
              </w:rPr>
              <w:t>Australia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WIELAND Edelmetalle GmbH</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Germany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Gold</w:t>
            </w:r>
          </w:p>
        </w:tc>
        <w:tc>
          <w:tcPr>
            <w:tcW w:w="5560" w:type="dxa"/>
            <w:vAlign w:val="bottom"/>
          </w:tcPr>
          <w:p>
            <w:pPr>
              <w:ind w:left="220"/>
              <w:spacing w:after="0"/>
              <w:rPr>
                <w:sz w:val="20"/>
                <w:szCs w:val="20"/>
                <w:color w:val="auto"/>
              </w:rPr>
            </w:pPr>
            <w:r>
              <w:rPr>
                <w:rFonts w:ascii="Arial" w:cs="Arial" w:eastAsia="Arial" w:hAnsi="Arial"/>
                <w:sz w:val="18"/>
                <w:szCs w:val="18"/>
                <w:color w:val="auto"/>
              </w:rPr>
              <w:t>Yamakin Co., Ltd.</w:t>
            </w:r>
          </w:p>
        </w:tc>
        <w:tc>
          <w:tcPr>
            <w:tcW w:w="2480" w:type="dxa"/>
            <w:vAlign w:val="bottom"/>
          </w:tcPr>
          <w:p>
            <w:pPr>
              <w:ind w:left="80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Zhongyuan Gold Smelter of Zhongjin Gold Corporation</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2480" w:type="dxa"/>
            <w:vAlign w:val="bottom"/>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D Block Metals, LLC</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Exotech Inc.</w:t>
            </w:r>
          </w:p>
        </w:tc>
        <w:tc>
          <w:tcPr>
            <w:tcW w:w="248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F&amp;X Electro-Materials Ltd.</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FIR Metals &amp; Resource Ltd.</w:t>
            </w:r>
          </w:p>
        </w:tc>
        <w:tc>
          <w:tcPr>
            <w:tcW w:w="2480" w:type="dxa"/>
            <w:vAlign w:val="bottom"/>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Global Advanced Metals Aizu</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Japan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Global Advanced Metals Boyertown</w:t>
            </w:r>
          </w:p>
        </w:tc>
        <w:tc>
          <w:tcPr>
            <w:tcW w:w="248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Guangdong Rising Rare Metals-EO Materials Ltd.*</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Guangdong Zhiyuan New Material Co., Ltd.</w:t>
            </w:r>
          </w:p>
        </w:tc>
        <w:tc>
          <w:tcPr>
            <w:tcW w:w="2480" w:type="dxa"/>
            <w:vAlign w:val="bottom"/>
          </w:tcPr>
          <w:p>
            <w:pPr>
              <w:ind w:left="80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H.C. Starck Co., Ltd.</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Thailand</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H.C. Starck Hermsdorf GmbH</w:t>
            </w:r>
          </w:p>
        </w:tc>
        <w:tc>
          <w:tcPr>
            <w:tcW w:w="2480" w:type="dxa"/>
            <w:vAlign w:val="bottom"/>
          </w:tcPr>
          <w:p>
            <w:pPr>
              <w:ind w:left="800"/>
              <w:spacing w:after="0"/>
              <w:rPr>
                <w:sz w:val="20"/>
                <w:szCs w:val="20"/>
                <w:color w:val="auto"/>
              </w:rPr>
            </w:pPr>
            <w:r>
              <w:rPr>
                <w:rFonts w:ascii="Arial" w:cs="Arial" w:eastAsia="Arial" w:hAnsi="Arial"/>
                <w:sz w:val="18"/>
                <w:szCs w:val="18"/>
                <w:color w:val="auto"/>
              </w:rPr>
              <w:t>Germany</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H.C. Starck Inc.</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H.C. Starck Ltd.</w:t>
            </w:r>
          </w:p>
        </w:tc>
        <w:tc>
          <w:tcPr>
            <w:tcW w:w="2480" w:type="dxa"/>
            <w:vAlign w:val="bottom"/>
          </w:tcPr>
          <w:p>
            <w:pPr>
              <w:ind w:left="80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H.C. Starck Smelting GmbH &amp; Co. KG</w:t>
            </w:r>
          </w:p>
        </w:tc>
        <w:tc>
          <w:tcPr>
            <w:tcW w:w="2480" w:type="dxa"/>
            <w:vAlign w:val="bottom"/>
            <w:shd w:val="clear" w:color="auto" w:fill="CBCBCB"/>
          </w:tcPr>
          <w:p>
            <w:pPr>
              <w:ind w:left="800"/>
              <w:spacing w:after="0"/>
              <w:rPr>
                <w:sz w:val="20"/>
                <w:szCs w:val="20"/>
                <w:color w:val="auto"/>
              </w:rPr>
            </w:pPr>
            <w:r>
              <w:rPr>
                <w:rFonts w:ascii="Arial" w:cs="Arial" w:eastAsia="Arial" w:hAnsi="Arial"/>
                <w:sz w:val="18"/>
                <w:szCs w:val="18"/>
                <w:color w:val="auto"/>
              </w:rPr>
              <w:t>Germany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560" w:type="dxa"/>
            <w:vAlign w:val="bottom"/>
          </w:tcPr>
          <w:p>
            <w:pPr>
              <w:ind w:left="220"/>
              <w:spacing w:after="0"/>
              <w:rPr>
                <w:sz w:val="20"/>
                <w:szCs w:val="20"/>
                <w:color w:val="auto"/>
              </w:rPr>
            </w:pPr>
            <w:r>
              <w:rPr>
                <w:rFonts w:ascii="Arial" w:cs="Arial" w:eastAsia="Arial" w:hAnsi="Arial"/>
                <w:sz w:val="18"/>
                <w:szCs w:val="18"/>
                <w:color w:val="auto"/>
              </w:rPr>
              <w:t>H.C. Starck Tantalum and Niobium GmbH</w:t>
            </w:r>
          </w:p>
        </w:tc>
        <w:tc>
          <w:tcPr>
            <w:tcW w:w="2480" w:type="dxa"/>
            <w:vAlign w:val="bottom"/>
          </w:tcPr>
          <w:p>
            <w:pPr>
              <w:ind w:left="800"/>
              <w:spacing w:after="0"/>
              <w:rPr>
                <w:sz w:val="20"/>
                <w:szCs w:val="20"/>
                <w:color w:val="auto"/>
              </w:rPr>
            </w:pPr>
            <w:r>
              <w:rPr>
                <w:rFonts w:ascii="Arial" w:cs="Arial" w:eastAsia="Arial" w:hAnsi="Arial"/>
                <w:sz w:val="18"/>
                <w:szCs w:val="18"/>
                <w:color w:val="auto"/>
              </w:rPr>
              <w:t>Germany</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360" w:type="dxa"/>
            <w:vAlign w:val="bottom"/>
            <w:tcBorders>
              <w:bottom w:val="single" w:sz="8" w:color="0090DA"/>
            </w:tcBorders>
          </w:tcPr>
          <w:p>
            <w:pPr>
              <w:ind w:left="220"/>
              <w:spacing w:after="0"/>
              <w:rPr>
                <w:sz w:val="20"/>
                <w:szCs w:val="20"/>
                <w:color w:val="auto"/>
              </w:rPr>
            </w:pPr>
            <w:r>
              <w:rPr>
                <w:rFonts w:ascii="Arial" w:cs="Arial" w:eastAsia="Arial" w:hAnsi="Arial"/>
                <w:sz w:val="18"/>
                <w:szCs w:val="18"/>
                <w:b w:val="1"/>
                <w:bCs w:val="1"/>
                <w:color w:val="auto"/>
              </w:rPr>
              <w:t>Smelter or Refinery Name</w:t>
            </w:r>
          </w:p>
        </w:tc>
        <w:tc>
          <w:tcPr>
            <w:tcW w:w="2820" w:type="dxa"/>
            <w:vAlign w:val="bottom"/>
            <w:tcBorders>
              <w:bottom w:val="single" w:sz="8" w:color="0090DA"/>
            </w:tcBorders>
          </w:tcPr>
          <w:p>
            <w:pPr>
              <w:ind w:left="1000"/>
              <w:spacing w:after="0"/>
              <w:rPr>
                <w:sz w:val="20"/>
                <w:szCs w:val="20"/>
                <w:color w:val="auto"/>
              </w:rPr>
            </w:pPr>
            <w:r>
              <w:rPr>
                <w:rFonts w:ascii="Arial" w:cs="Arial" w:eastAsia="Arial" w:hAnsi="Arial"/>
                <w:sz w:val="18"/>
                <w:szCs w:val="18"/>
                <w:b w:val="1"/>
                <w:bCs w:val="1"/>
                <w:color w:val="auto"/>
              </w:rPr>
              <w:t>Location</w:t>
            </w:r>
          </w:p>
        </w:tc>
        <w:tc>
          <w:tcPr>
            <w:tcW w:w="2080" w:type="dxa"/>
            <w:vAlign w:val="bottom"/>
            <w:tcBorders>
              <w:bottom w:val="single" w:sz="8" w:color="0090DA"/>
            </w:tcBorders>
          </w:tcPr>
          <w:p>
            <w:pPr>
              <w:ind w:left="460"/>
              <w:spacing w:after="0"/>
              <w:rPr>
                <w:sz w:val="20"/>
                <w:szCs w:val="20"/>
                <w:color w:val="auto"/>
              </w:rPr>
            </w:pPr>
            <w:r>
              <w:rPr>
                <w:rFonts w:ascii="Arial" w:cs="Arial" w:eastAsia="Arial" w:hAnsi="Arial"/>
                <w:sz w:val="18"/>
                <w:szCs w:val="18"/>
                <w:b w:val="1"/>
                <w:bCs w:val="1"/>
                <w:color w:val="auto"/>
              </w:rPr>
              <w:t>Status</w:t>
            </w:r>
          </w:p>
        </w:tc>
      </w:tr>
      <w:tr>
        <w:trPr>
          <w:trHeight w:val="41"/>
        </w:trPr>
        <w:tc>
          <w:tcPr>
            <w:tcW w:w="9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256"/>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Jiangxi Tuohong New Raw Material</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Jiujiang Janny New Material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Jiujiang Tanbre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KEMET Blue Metals</w:t>
            </w:r>
          </w:p>
        </w:tc>
        <w:tc>
          <w:tcPr>
            <w:tcW w:w="2820" w:type="dxa"/>
            <w:vAlign w:val="bottom"/>
          </w:tcPr>
          <w:p>
            <w:pPr>
              <w:ind w:left="1000"/>
              <w:spacing w:after="0"/>
              <w:rPr>
                <w:sz w:val="20"/>
                <w:szCs w:val="20"/>
                <w:color w:val="auto"/>
              </w:rPr>
            </w:pPr>
            <w:r>
              <w:rPr>
                <w:rFonts w:ascii="Arial" w:cs="Arial" w:eastAsia="Arial" w:hAnsi="Arial"/>
                <w:sz w:val="18"/>
                <w:szCs w:val="18"/>
                <w:color w:val="auto"/>
              </w:rPr>
              <w:t>Mexico</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KEMET Blue Powder</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LSM Brasil S.A.</w:t>
            </w:r>
          </w:p>
        </w:tc>
        <w:tc>
          <w:tcPr>
            <w:tcW w:w="2820" w:type="dxa"/>
            <w:vAlign w:val="bottom"/>
          </w:tcPr>
          <w:p>
            <w:pPr>
              <w:ind w:left="1000"/>
              <w:spacing w:after="0"/>
              <w:rPr>
                <w:sz w:val="20"/>
                <w:szCs w:val="20"/>
                <w:color w:val="auto"/>
              </w:rPr>
            </w:pPr>
            <w:r>
              <w:rPr>
                <w:rFonts w:ascii="Arial" w:cs="Arial" w:eastAsia="Arial" w:hAnsi="Arial"/>
                <w:sz w:val="18"/>
                <w:szCs w:val="18"/>
                <w:color w:val="auto"/>
              </w:rPr>
              <w:t>Brazil</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Metallurgical Products India Pvt.,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India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Mineracao Taboca S.A.</w:t>
            </w:r>
          </w:p>
        </w:tc>
        <w:tc>
          <w:tcPr>
            <w:tcW w:w="2820" w:type="dxa"/>
            <w:vAlign w:val="bottom"/>
          </w:tcPr>
          <w:p>
            <w:pPr>
              <w:ind w:left="1000"/>
              <w:spacing w:after="0"/>
              <w:rPr>
                <w:sz w:val="20"/>
                <w:szCs w:val="20"/>
                <w:color w:val="auto"/>
              </w:rPr>
            </w:pPr>
            <w:r>
              <w:rPr>
                <w:rFonts w:ascii="Arial" w:cs="Arial" w:eastAsia="Arial" w:hAnsi="Arial"/>
                <w:sz w:val="18"/>
                <w:szCs w:val="18"/>
                <w:color w:val="auto"/>
              </w:rPr>
              <w:t>Brazil</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Mitsui Mining and Smelting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Japan</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NPM Silmet AS*</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Estonia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PRG Dooel</w:t>
            </w:r>
          </w:p>
        </w:tc>
        <w:tc>
          <w:tcPr>
            <w:tcW w:w="2820" w:type="dxa"/>
            <w:vAlign w:val="bottom"/>
          </w:tcPr>
          <w:p>
            <w:pPr>
              <w:ind w:left="1000"/>
              <w:spacing w:after="0"/>
              <w:rPr>
                <w:sz w:val="20"/>
                <w:szCs w:val="20"/>
                <w:color w:val="auto"/>
              </w:rPr>
            </w:pPr>
            <w:r>
              <w:rPr>
                <w:rFonts w:ascii="Arial" w:cs="Arial" w:eastAsia="Arial" w:hAnsi="Arial"/>
                <w:sz w:val="18"/>
                <w:szCs w:val="18"/>
                <w:color w:val="auto"/>
              </w:rPr>
              <w:t>North Macedonia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Resind Industria e Comercio Ltda.</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Brazil</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Solikamsk Magnesium Works OAO</w:t>
            </w:r>
          </w:p>
        </w:tc>
        <w:tc>
          <w:tcPr>
            <w:tcW w:w="2820" w:type="dxa"/>
            <w:vAlign w:val="bottom"/>
          </w:tcPr>
          <w:p>
            <w:pPr>
              <w:ind w:left="1000"/>
              <w:spacing w:after="0"/>
              <w:rPr>
                <w:sz w:val="20"/>
                <w:szCs w:val="20"/>
                <w:color w:val="auto"/>
              </w:rPr>
            </w:pPr>
            <w:r>
              <w:rPr>
                <w:rFonts w:ascii="Arial" w:cs="Arial" w:eastAsia="Arial" w:hAnsi="Arial"/>
                <w:sz w:val="18"/>
                <w:szCs w:val="18"/>
                <w:color w:val="auto"/>
              </w:rPr>
              <w:t>Russia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Taki Chemical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Japan</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Telex Metals</w:t>
            </w:r>
          </w:p>
        </w:tc>
        <w:tc>
          <w:tcPr>
            <w:tcW w:w="2820" w:type="dxa"/>
            <w:vAlign w:val="bottom"/>
          </w:tcPr>
          <w:p>
            <w:pPr>
              <w:ind w:left="1000"/>
              <w:spacing w:after="0"/>
              <w:rPr>
                <w:sz w:val="20"/>
                <w:szCs w:val="20"/>
                <w:color w:val="auto"/>
              </w:rPr>
            </w:pPr>
            <w:r>
              <w:rPr>
                <w:rFonts w:ascii="Arial" w:cs="Arial" w:eastAsia="Arial" w:hAnsi="Arial"/>
                <w:sz w:val="18"/>
                <w:szCs w:val="18"/>
                <w:color w:val="auto"/>
              </w:rPr>
              <w:t>United States</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Ulba Metallurgical Plant JSC</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Kazakhstan</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Tantalum</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Yanling Jincheng Tantalum &amp; Niobium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Alpha</w:t>
            </w:r>
          </w:p>
        </w:tc>
        <w:tc>
          <w:tcPr>
            <w:tcW w:w="2820" w:type="dxa"/>
            <w:vAlign w:val="bottom"/>
          </w:tcPr>
          <w:p>
            <w:pPr>
              <w:ind w:left="1000"/>
              <w:spacing w:after="0"/>
              <w:rPr>
                <w:sz w:val="20"/>
                <w:szCs w:val="20"/>
                <w:color w:val="auto"/>
              </w:rPr>
            </w:pPr>
            <w:r>
              <w:rPr>
                <w:rFonts w:ascii="Arial" w:cs="Arial" w:eastAsia="Arial" w:hAnsi="Arial"/>
                <w:sz w:val="18"/>
                <w:szCs w:val="18"/>
                <w:color w:val="auto"/>
              </w:rPr>
              <w:t>United States</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Chifeng Dajingzi Tin Industry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China Tin Group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CV Ayi Jaya*</w:t>
            </w:r>
          </w:p>
        </w:tc>
        <w:tc>
          <w:tcPr>
            <w:tcW w:w="2820" w:type="dxa"/>
            <w:vAlign w:val="bottom"/>
          </w:tcPr>
          <w:p>
            <w:pPr>
              <w:ind w:left="10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CV Dua Sekawan*</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CV Gita Pesona*</w:t>
            </w:r>
          </w:p>
        </w:tc>
        <w:tc>
          <w:tcPr>
            <w:tcW w:w="2820" w:type="dxa"/>
            <w:vAlign w:val="bottom"/>
          </w:tcPr>
          <w:p>
            <w:pPr>
              <w:ind w:left="10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CV United Smelting*</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CV Venus Inti Perkasa*</w:t>
            </w:r>
          </w:p>
        </w:tc>
        <w:tc>
          <w:tcPr>
            <w:tcW w:w="2820" w:type="dxa"/>
            <w:vAlign w:val="bottom"/>
          </w:tcPr>
          <w:p>
            <w:pPr>
              <w:ind w:left="10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EM Vinto</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Bolivia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Fenix Metals</w:t>
            </w:r>
          </w:p>
        </w:tc>
        <w:tc>
          <w:tcPr>
            <w:tcW w:w="2820" w:type="dxa"/>
            <w:vAlign w:val="bottom"/>
          </w:tcPr>
          <w:p>
            <w:pPr>
              <w:ind w:left="1000"/>
              <w:spacing w:after="0"/>
              <w:rPr>
                <w:sz w:val="20"/>
                <w:szCs w:val="20"/>
                <w:color w:val="auto"/>
              </w:rPr>
            </w:pPr>
            <w:r>
              <w:rPr>
                <w:rFonts w:ascii="Arial" w:cs="Arial" w:eastAsia="Arial" w:hAnsi="Arial"/>
                <w:sz w:val="18"/>
                <w:szCs w:val="18"/>
                <w:color w:val="auto"/>
              </w:rPr>
              <w:t>Poland</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Gejiu Fengming Metallurgy Chemical Plant</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Gejiu Jinye Mineral Company*</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Non 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Gejiu Kai Meng Industry and Trade LLC</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Gejiu Non-Ferrous Metal Processing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Gejiu Yunxin Nonferrous Electrolysis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360" w:type="dxa"/>
            <w:vAlign w:val="bottom"/>
          </w:tcPr>
          <w:p>
            <w:pPr>
              <w:ind w:left="220"/>
              <w:spacing w:after="0"/>
              <w:rPr>
                <w:sz w:val="20"/>
                <w:szCs w:val="20"/>
                <w:color w:val="auto"/>
              </w:rPr>
            </w:pPr>
            <w:r>
              <w:rPr>
                <w:rFonts w:ascii="Arial" w:cs="Arial" w:eastAsia="Arial" w:hAnsi="Arial"/>
                <w:sz w:val="18"/>
                <w:szCs w:val="18"/>
                <w:color w:val="auto"/>
              </w:rPr>
              <w:t>Gejiu Zili Mining And Metallurgy Co., Ltd.</w:t>
            </w:r>
          </w:p>
        </w:tc>
        <w:tc>
          <w:tcPr>
            <w:tcW w:w="2820" w:type="dxa"/>
            <w:vAlign w:val="bottom"/>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tcPr>
          <w:p>
            <w:pPr>
              <w:ind w:left="46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36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Guangdong Hanhe Non-Ferrous Metal Co., Ltd.</w:t>
            </w:r>
          </w:p>
        </w:tc>
        <w:tc>
          <w:tcPr>
            <w:tcW w:w="282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BCBCB"/>
          </w:tcPr>
          <w:p>
            <w:pPr>
              <w:ind w:left="46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440" w:type="dxa"/>
            <w:vAlign w:val="bottom"/>
            <w:tcBorders>
              <w:bottom w:val="single" w:sz="8" w:color="0090DA"/>
            </w:tcBorders>
          </w:tcPr>
          <w:p>
            <w:pPr>
              <w:ind w:left="360"/>
              <w:spacing w:after="0"/>
              <w:rPr>
                <w:sz w:val="20"/>
                <w:szCs w:val="20"/>
                <w:color w:val="auto"/>
              </w:rPr>
            </w:pPr>
            <w:r>
              <w:rPr>
                <w:rFonts w:ascii="Arial" w:cs="Arial" w:eastAsia="Arial" w:hAnsi="Arial"/>
                <w:sz w:val="18"/>
                <w:szCs w:val="18"/>
                <w:b w:val="1"/>
                <w:bCs w:val="1"/>
                <w:color w:val="auto"/>
              </w:rPr>
              <w:t>Smelter or Refinery Name</w:t>
            </w:r>
          </w:p>
        </w:tc>
        <w:tc>
          <w:tcPr>
            <w:tcW w:w="2740" w:type="dxa"/>
            <w:vAlign w:val="bottom"/>
            <w:tcBorders>
              <w:bottom w:val="single" w:sz="8" w:color="0090DA"/>
            </w:tcBorders>
          </w:tcPr>
          <w:p>
            <w:pPr>
              <w:ind w:left="1060"/>
              <w:spacing w:after="0"/>
              <w:rPr>
                <w:sz w:val="20"/>
                <w:szCs w:val="20"/>
                <w:color w:val="auto"/>
              </w:rPr>
            </w:pPr>
            <w:r>
              <w:rPr>
                <w:rFonts w:ascii="Arial" w:cs="Arial" w:eastAsia="Arial" w:hAnsi="Arial"/>
                <w:sz w:val="18"/>
                <w:szCs w:val="18"/>
                <w:b w:val="1"/>
                <w:bCs w:val="1"/>
                <w:color w:val="auto"/>
              </w:rPr>
              <w:t>Location</w:t>
            </w:r>
          </w:p>
        </w:tc>
        <w:tc>
          <w:tcPr>
            <w:tcW w:w="222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29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Guanyang Guida Nonferrous Metal Smelting Plant</w:t>
            </w:r>
          </w:p>
        </w:tc>
        <w:tc>
          <w:tcPr>
            <w:tcW w:w="2740" w:type="dxa"/>
            <w:vAlign w:val="bottom"/>
          </w:tcPr>
          <w:p>
            <w:pPr>
              <w:ind w:left="106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HuiChang Hill Tin Industry Co., Ltd.</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Huichang Jinshunda Tin Co., Ltd.</w:t>
            </w:r>
          </w:p>
        </w:tc>
        <w:tc>
          <w:tcPr>
            <w:tcW w:w="2740" w:type="dxa"/>
            <w:vAlign w:val="bottom"/>
          </w:tcPr>
          <w:p>
            <w:pPr>
              <w:ind w:left="106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Jiangxi New Nanshan Technology Ltd.</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Magnu's Minerais Metais e Ligas Ltda.</w:t>
            </w:r>
          </w:p>
        </w:tc>
        <w:tc>
          <w:tcPr>
            <w:tcW w:w="2740" w:type="dxa"/>
            <w:vAlign w:val="bottom"/>
          </w:tcPr>
          <w:p>
            <w:pPr>
              <w:ind w:left="1060"/>
              <w:spacing w:after="0"/>
              <w:rPr>
                <w:sz w:val="20"/>
                <w:szCs w:val="20"/>
                <w:color w:val="auto"/>
              </w:rPr>
            </w:pPr>
            <w:r>
              <w:rPr>
                <w:rFonts w:ascii="Arial" w:cs="Arial" w:eastAsia="Arial" w:hAnsi="Arial"/>
                <w:sz w:val="18"/>
                <w:szCs w:val="18"/>
                <w:color w:val="auto"/>
              </w:rPr>
              <w:t>Brazil</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Malaysia Smelting Corporation (MSC)</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Malaysia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Melt Metais e Ligas S.A.</w:t>
            </w:r>
          </w:p>
        </w:tc>
        <w:tc>
          <w:tcPr>
            <w:tcW w:w="2740" w:type="dxa"/>
            <w:vAlign w:val="bottom"/>
          </w:tcPr>
          <w:p>
            <w:pPr>
              <w:ind w:left="1060"/>
              <w:spacing w:after="0"/>
              <w:rPr>
                <w:sz w:val="20"/>
                <w:szCs w:val="20"/>
                <w:color w:val="auto"/>
              </w:rPr>
            </w:pPr>
            <w:r>
              <w:rPr>
                <w:rFonts w:ascii="Arial" w:cs="Arial" w:eastAsia="Arial" w:hAnsi="Arial"/>
                <w:sz w:val="18"/>
                <w:szCs w:val="18"/>
                <w:color w:val="auto"/>
              </w:rPr>
              <w:t>Brazil</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Metallic Resources, Inc.</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Metallo Belgium N.V.</w:t>
            </w:r>
          </w:p>
        </w:tc>
        <w:tc>
          <w:tcPr>
            <w:tcW w:w="2740" w:type="dxa"/>
            <w:vAlign w:val="bottom"/>
          </w:tcPr>
          <w:p>
            <w:pPr>
              <w:ind w:left="1060"/>
              <w:spacing w:after="0"/>
              <w:rPr>
                <w:sz w:val="20"/>
                <w:szCs w:val="20"/>
                <w:color w:val="auto"/>
              </w:rPr>
            </w:pPr>
            <w:r>
              <w:rPr>
                <w:rFonts w:ascii="Arial" w:cs="Arial" w:eastAsia="Arial" w:hAnsi="Arial"/>
                <w:sz w:val="18"/>
                <w:szCs w:val="18"/>
                <w:color w:val="auto"/>
              </w:rPr>
              <w:t>Belgium</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Metallo Spain S.L.U.</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Spain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Mineracao Taboca S.A.</w:t>
            </w:r>
          </w:p>
        </w:tc>
        <w:tc>
          <w:tcPr>
            <w:tcW w:w="2740" w:type="dxa"/>
            <w:vAlign w:val="bottom"/>
          </w:tcPr>
          <w:p>
            <w:pPr>
              <w:ind w:left="1060"/>
              <w:spacing w:after="0"/>
              <w:rPr>
                <w:sz w:val="20"/>
                <w:szCs w:val="20"/>
                <w:color w:val="auto"/>
              </w:rPr>
            </w:pPr>
            <w:r>
              <w:rPr>
                <w:rFonts w:ascii="Arial" w:cs="Arial" w:eastAsia="Arial" w:hAnsi="Arial"/>
                <w:sz w:val="18"/>
                <w:szCs w:val="18"/>
                <w:color w:val="auto"/>
              </w:rPr>
              <w:t>Brazil</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Minsur</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Peru</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Modeltech Sdn Bhd*</w:t>
            </w:r>
          </w:p>
        </w:tc>
        <w:tc>
          <w:tcPr>
            <w:tcW w:w="2740" w:type="dxa"/>
            <w:vAlign w:val="bottom"/>
          </w:tcPr>
          <w:p>
            <w:pPr>
              <w:ind w:left="1060"/>
              <w:spacing w:after="0"/>
              <w:rPr>
                <w:sz w:val="20"/>
                <w:szCs w:val="20"/>
                <w:color w:val="auto"/>
              </w:rPr>
            </w:pPr>
            <w:r>
              <w:rPr>
                <w:rFonts w:ascii="Arial" w:cs="Arial" w:eastAsia="Arial" w:hAnsi="Arial"/>
                <w:sz w:val="18"/>
                <w:szCs w:val="18"/>
                <w:color w:val="auto"/>
              </w:rPr>
              <w:t>Malaysia</w:t>
            </w:r>
          </w:p>
        </w:tc>
        <w:tc>
          <w:tcPr>
            <w:tcW w:w="2220" w:type="dxa"/>
            <w:vAlign w:val="bottom"/>
          </w:tcPr>
          <w:p>
            <w:pPr>
              <w:ind w:left="600"/>
              <w:spacing w:after="0"/>
              <w:rPr>
                <w:sz w:val="20"/>
                <w:szCs w:val="20"/>
                <w:color w:val="auto"/>
              </w:rPr>
            </w:pPr>
            <w:r>
              <w:rPr>
                <w:rFonts w:ascii="Arial" w:cs="Arial" w:eastAsia="Arial" w:hAnsi="Arial"/>
                <w:sz w:val="18"/>
                <w:szCs w:val="18"/>
                <w:color w:val="auto"/>
              </w:rPr>
              <w:t>Non 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Operaciones Metalurgicas S.A.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Bolivia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Aries Kencana Sejahtera*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Artha Cipta Langgeng</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ATD Makmur Mandiri Jaya*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Babel Inti Perkasa*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Bangka Prima Tin*</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Bangka Serumpun*</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Bangka Tin Industry*</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Belitung Industri Sejahtera*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Bukit Timah*</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DS Jaya Abadi*</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Inti Stania Prima*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Karimun Mining*</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Kijang Jaya Mandiri*</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Lautan Harmonis Sejahtera*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Menara Cipta Mulia*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Mitra Stania Prima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Panca Mega Persada*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Premium Tin Indonesia*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Prima Timah Utama*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Rajehan Ariq*</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Refined Bangka Tin</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Sariwiguna Binasentosa*</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Stanindo Inti Perkasa*</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Sukses Inti Makmur*</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Sumber Jaya Indah*</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440" w:type="dxa"/>
            <w:vAlign w:val="bottom"/>
            <w:shd w:val="clear" w:color="auto" w:fill="CBCBCB"/>
          </w:tcPr>
          <w:p>
            <w:pPr>
              <w:ind w:left="360"/>
              <w:spacing w:after="0"/>
              <w:rPr>
                <w:sz w:val="20"/>
                <w:szCs w:val="20"/>
                <w:color w:val="auto"/>
              </w:rPr>
            </w:pPr>
            <w:r>
              <w:rPr>
                <w:rFonts w:ascii="Arial" w:cs="Arial" w:eastAsia="Arial" w:hAnsi="Arial"/>
                <w:sz w:val="18"/>
                <w:szCs w:val="18"/>
                <w:color w:val="auto"/>
              </w:rPr>
              <w:t>PT Timah Tbk Kundur</w:t>
            </w:r>
          </w:p>
        </w:tc>
        <w:tc>
          <w:tcPr>
            <w:tcW w:w="2740" w:type="dxa"/>
            <w:vAlign w:val="bottom"/>
            <w:shd w:val="clear" w:color="auto" w:fill="CBCBCB"/>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color w:val="auto"/>
              </w:rPr>
              <w:t>Tin</w:t>
            </w:r>
          </w:p>
        </w:tc>
        <w:tc>
          <w:tcPr>
            <w:tcW w:w="5440" w:type="dxa"/>
            <w:vAlign w:val="bottom"/>
          </w:tcPr>
          <w:p>
            <w:pPr>
              <w:ind w:left="360"/>
              <w:spacing w:after="0"/>
              <w:rPr>
                <w:sz w:val="20"/>
                <w:szCs w:val="20"/>
                <w:color w:val="auto"/>
              </w:rPr>
            </w:pPr>
            <w:r>
              <w:rPr>
                <w:rFonts w:ascii="Arial" w:cs="Arial" w:eastAsia="Arial" w:hAnsi="Arial"/>
                <w:sz w:val="18"/>
                <w:szCs w:val="18"/>
                <w:color w:val="auto"/>
              </w:rPr>
              <w:t>PT Timah Tbk Mentok</w:t>
            </w:r>
          </w:p>
        </w:tc>
        <w:tc>
          <w:tcPr>
            <w:tcW w:w="2740" w:type="dxa"/>
            <w:vAlign w:val="bottom"/>
          </w:tcPr>
          <w:p>
            <w:pPr>
              <w:ind w:left="106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780" w:type="dxa"/>
            <w:vAlign w:val="bottom"/>
            <w:tcBorders>
              <w:bottom w:val="single" w:sz="8" w:color="0090DA"/>
            </w:tcBorders>
          </w:tcPr>
          <w:p>
            <w:pPr>
              <w:ind w:left="220"/>
              <w:spacing w:after="0"/>
              <w:rPr>
                <w:sz w:val="20"/>
                <w:szCs w:val="20"/>
                <w:color w:val="auto"/>
              </w:rPr>
            </w:pPr>
            <w:r>
              <w:rPr>
                <w:rFonts w:ascii="Arial" w:cs="Arial" w:eastAsia="Arial" w:hAnsi="Arial"/>
                <w:sz w:val="18"/>
                <w:szCs w:val="18"/>
                <w:b w:val="1"/>
                <w:bCs w:val="1"/>
                <w:color w:val="auto"/>
              </w:rPr>
              <w:t>Smelter or Refinery Name</w:t>
            </w:r>
          </w:p>
        </w:tc>
        <w:tc>
          <w:tcPr>
            <w:tcW w:w="2260" w:type="dxa"/>
            <w:vAlign w:val="bottom"/>
            <w:tcBorders>
              <w:bottom w:val="single" w:sz="8" w:color="0090DA"/>
            </w:tcBorders>
          </w:tcPr>
          <w:p>
            <w:pPr>
              <w:ind w:left="580"/>
              <w:spacing w:after="0"/>
              <w:rPr>
                <w:sz w:val="20"/>
                <w:szCs w:val="20"/>
                <w:color w:val="auto"/>
              </w:rPr>
            </w:pPr>
            <w:r>
              <w:rPr>
                <w:rFonts w:ascii="Arial" w:cs="Arial" w:eastAsia="Arial" w:hAnsi="Arial"/>
                <w:sz w:val="18"/>
                <w:szCs w:val="18"/>
                <w:b w:val="1"/>
                <w:bCs w:val="1"/>
                <w:color w:val="auto"/>
              </w:rPr>
              <w:t>Location</w:t>
            </w:r>
          </w:p>
        </w:tc>
        <w:tc>
          <w:tcPr>
            <w:tcW w:w="222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Status</w:t>
            </w:r>
          </w:p>
        </w:tc>
      </w:tr>
      <w:tr>
        <w:trPr>
          <w:trHeight w:val="41"/>
        </w:trPr>
        <w:tc>
          <w:tcPr>
            <w:tcW w:w="9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56"/>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PT Tinindo Inter Nusa*</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Indonesia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780" w:type="dxa"/>
            <w:vAlign w:val="bottom"/>
          </w:tcPr>
          <w:p>
            <w:pPr>
              <w:ind w:left="220"/>
              <w:spacing w:after="0"/>
              <w:rPr>
                <w:sz w:val="20"/>
                <w:szCs w:val="20"/>
                <w:color w:val="auto"/>
              </w:rPr>
            </w:pPr>
            <w:r>
              <w:rPr>
                <w:rFonts w:ascii="Arial" w:cs="Arial" w:eastAsia="Arial" w:hAnsi="Arial"/>
                <w:sz w:val="18"/>
                <w:szCs w:val="18"/>
                <w:color w:val="auto"/>
              </w:rPr>
              <w:t>PT Tommy Utama*</w:t>
            </w:r>
          </w:p>
        </w:tc>
        <w:tc>
          <w:tcPr>
            <w:tcW w:w="2260" w:type="dxa"/>
            <w:vAlign w:val="bottom"/>
          </w:tcPr>
          <w:p>
            <w:pPr>
              <w:ind w:left="580"/>
              <w:spacing w:after="0"/>
              <w:rPr>
                <w:sz w:val="20"/>
                <w:szCs w:val="20"/>
                <w:color w:val="auto"/>
              </w:rPr>
            </w:pPr>
            <w:r>
              <w:rPr>
                <w:rFonts w:ascii="Arial" w:cs="Arial" w:eastAsia="Arial" w:hAnsi="Arial"/>
                <w:sz w:val="18"/>
                <w:szCs w:val="18"/>
                <w:color w:val="auto"/>
              </w:rPr>
              <w:t>Indonesia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Resind Industria e Comercio Ltda.</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Brazil</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780" w:type="dxa"/>
            <w:vAlign w:val="bottom"/>
          </w:tcPr>
          <w:p>
            <w:pPr>
              <w:ind w:left="220"/>
              <w:spacing w:after="0"/>
              <w:rPr>
                <w:sz w:val="20"/>
                <w:szCs w:val="20"/>
                <w:color w:val="auto"/>
              </w:rPr>
            </w:pPr>
            <w:r>
              <w:rPr>
                <w:rFonts w:ascii="Arial" w:cs="Arial" w:eastAsia="Arial" w:hAnsi="Arial"/>
                <w:sz w:val="18"/>
                <w:szCs w:val="18"/>
                <w:color w:val="auto"/>
              </w:rPr>
              <w:t>Rui Da Hung</w:t>
            </w:r>
          </w:p>
        </w:tc>
        <w:tc>
          <w:tcPr>
            <w:tcW w:w="2260" w:type="dxa"/>
            <w:vAlign w:val="bottom"/>
          </w:tcPr>
          <w:p>
            <w:pPr>
              <w:ind w:left="580"/>
              <w:spacing w:after="0"/>
              <w:rPr>
                <w:sz w:val="20"/>
                <w:szCs w:val="20"/>
                <w:color w:val="auto"/>
              </w:rPr>
            </w:pPr>
            <w:r>
              <w:rPr>
                <w:rFonts w:ascii="Arial" w:cs="Arial" w:eastAsia="Arial" w:hAnsi="Arial"/>
                <w:sz w:val="18"/>
                <w:szCs w:val="18"/>
                <w:color w:val="auto"/>
              </w:rPr>
              <w:t>Taiwan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Soft Metais Ltda.</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Brazil</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780" w:type="dxa"/>
            <w:vAlign w:val="bottom"/>
          </w:tcPr>
          <w:p>
            <w:pPr>
              <w:ind w:left="220"/>
              <w:spacing w:after="0"/>
              <w:rPr>
                <w:sz w:val="20"/>
                <w:szCs w:val="20"/>
                <w:color w:val="auto"/>
              </w:rPr>
            </w:pPr>
            <w:r>
              <w:rPr>
                <w:rFonts w:ascii="Arial" w:cs="Arial" w:eastAsia="Arial" w:hAnsi="Arial"/>
                <w:sz w:val="18"/>
                <w:szCs w:val="18"/>
                <w:color w:val="auto"/>
              </w:rPr>
              <w:t>Thai Nguyen Mining and Metallurgy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Vietnam</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Thaisarco</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Thailand</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780" w:type="dxa"/>
            <w:vAlign w:val="bottom"/>
          </w:tcPr>
          <w:p>
            <w:pPr>
              <w:ind w:left="220"/>
              <w:spacing w:after="0"/>
              <w:rPr>
                <w:sz w:val="20"/>
                <w:szCs w:val="20"/>
                <w:color w:val="auto"/>
              </w:rPr>
            </w:pPr>
            <w:r>
              <w:rPr>
                <w:rFonts w:ascii="Arial" w:cs="Arial" w:eastAsia="Arial" w:hAnsi="Arial"/>
                <w:sz w:val="18"/>
                <w:szCs w:val="18"/>
                <w:color w:val="auto"/>
              </w:rPr>
              <w:t>Tin Technology &amp; Refining</w:t>
            </w:r>
          </w:p>
        </w:tc>
        <w:tc>
          <w:tcPr>
            <w:tcW w:w="2260" w:type="dxa"/>
            <w:vAlign w:val="bottom"/>
          </w:tcPr>
          <w:p>
            <w:pPr>
              <w:ind w:left="580"/>
              <w:spacing w:after="0"/>
              <w:rPr>
                <w:sz w:val="20"/>
                <w:szCs w:val="20"/>
                <w:color w:val="auto"/>
              </w:rPr>
            </w:pPr>
            <w:r>
              <w:rPr>
                <w:rFonts w:ascii="Arial" w:cs="Arial" w:eastAsia="Arial" w:hAnsi="Arial"/>
                <w:sz w:val="18"/>
                <w:szCs w:val="18"/>
                <w:color w:val="auto"/>
              </w:rPr>
              <w:t>United States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White Solder Metalurgia e Mineracao Ltda.</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Brazil</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780" w:type="dxa"/>
            <w:vAlign w:val="bottom"/>
          </w:tcPr>
          <w:p>
            <w:pPr>
              <w:ind w:left="220"/>
              <w:spacing w:after="0"/>
              <w:rPr>
                <w:sz w:val="20"/>
                <w:szCs w:val="20"/>
                <w:color w:val="auto"/>
              </w:rPr>
            </w:pPr>
            <w:r>
              <w:rPr>
                <w:rFonts w:ascii="Arial" w:cs="Arial" w:eastAsia="Arial" w:hAnsi="Arial"/>
                <w:sz w:val="18"/>
                <w:szCs w:val="18"/>
                <w:color w:val="auto"/>
              </w:rPr>
              <w:t>Yunnan Chengfeng Non-ferrous Metals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Yunnan Tin Company Limited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Tin</w:t>
            </w:r>
          </w:p>
        </w:tc>
        <w:tc>
          <w:tcPr>
            <w:tcW w:w="5780" w:type="dxa"/>
            <w:vAlign w:val="bottom"/>
          </w:tcPr>
          <w:p>
            <w:pPr>
              <w:ind w:left="220"/>
              <w:spacing w:after="0"/>
              <w:rPr>
                <w:sz w:val="20"/>
                <w:szCs w:val="20"/>
                <w:color w:val="auto"/>
              </w:rPr>
            </w:pPr>
            <w:r>
              <w:rPr>
                <w:rFonts w:ascii="Arial" w:cs="Arial" w:eastAsia="Arial" w:hAnsi="Arial"/>
                <w:sz w:val="18"/>
                <w:szCs w:val="18"/>
                <w:color w:val="auto"/>
              </w:rPr>
              <w:t>Yunnan Yunfan Non-ferrous Metals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A.L.M.T. Corp.</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Japan</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ACL Metais Eireli</w:t>
            </w:r>
          </w:p>
        </w:tc>
        <w:tc>
          <w:tcPr>
            <w:tcW w:w="2260" w:type="dxa"/>
            <w:vAlign w:val="bottom"/>
          </w:tcPr>
          <w:p>
            <w:pPr>
              <w:ind w:left="580"/>
              <w:spacing w:after="0"/>
              <w:rPr>
                <w:sz w:val="20"/>
                <w:szCs w:val="20"/>
                <w:color w:val="auto"/>
              </w:rPr>
            </w:pPr>
            <w:r>
              <w:rPr>
                <w:rFonts w:ascii="Arial" w:cs="Arial" w:eastAsia="Arial" w:hAnsi="Arial"/>
                <w:sz w:val="18"/>
                <w:szCs w:val="18"/>
                <w:color w:val="auto"/>
              </w:rPr>
              <w:t>Brazil</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Asia Tungsten Products Vietnam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Vietnam</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Chenzhou Diamond Tungsten Products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Chongyi Zhangyuan Tungsten Co.,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Fujian Jinxin Tungsten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Ganzhou Haichuang Tungsten Co.,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Ganzhou Huaxing Tungsten Products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Ganzhou Jiangwu Ferrotungsten Co.,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Ganzhou Seadragon W &amp; Mo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Global Tungsten &amp; Powders Corp.</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Guangdong Xianglu Tungsten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H.C. Starck Tungsten GmbH</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Germany</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Hunan Chenzhou Mining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Hunan Chuangda Vanadium Tungsten Co., Ltd. Wuji</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Hunan Chunchang Nonferrous Metals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Hydrometallurg, JSC</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Russia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Japan New Metals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Japan</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Jiangwu H.C. Starck Tungsten Products Co.,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Jiangxi Gan Bei Tungsten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Jiangxi Tonggu Non-ferrous Metallurgical &amp; Chemical Co.,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Jiangxi Xinsheng Tungsten Industry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Jiangxi Yaosheng Tungsten Co., Ltd.</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Kennametal Fallon</w:t>
            </w:r>
          </w:p>
        </w:tc>
        <w:tc>
          <w:tcPr>
            <w:tcW w:w="2260" w:type="dxa"/>
            <w:vAlign w:val="bottom"/>
          </w:tcPr>
          <w:p>
            <w:pPr>
              <w:ind w:left="580"/>
              <w:spacing w:after="0"/>
              <w:rPr>
                <w:sz w:val="20"/>
                <w:szCs w:val="20"/>
                <w:color w:val="auto"/>
              </w:rPr>
            </w:pPr>
            <w:r>
              <w:rPr>
                <w:rFonts w:ascii="Arial" w:cs="Arial" w:eastAsia="Arial" w:hAnsi="Arial"/>
                <w:sz w:val="18"/>
                <w:szCs w:val="18"/>
                <w:color w:val="auto"/>
              </w:rPr>
              <w:t>United States</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Kennametal Huntsville</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Malipo Haiyu Tungsten Co., Ltd.</w:t>
            </w:r>
          </w:p>
        </w:tc>
        <w:tc>
          <w:tcPr>
            <w:tcW w:w="2260" w:type="dxa"/>
            <w:vAlign w:val="bottom"/>
          </w:tcPr>
          <w:p>
            <w:pPr>
              <w:ind w:left="580"/>
              <w:spacing w:after="0"/>
              <w:rPr>
                <w:sz w:val="20"/>
                <w:szCs w:val="20"/>
                <w:color w:val="auto"/>
              </w:rPr>
            </w:pPr>
            <w:r>
              <w:rPr>
                <w:rFonts w:ascii="Arial" w:cs="Arial" w:eastAsia="Arial" w:hAnsi="Arial"/>
                <w:sz w:val="18"/>
                <w:szCs w:val="18"/>
                <w:color w:val="auto"/>
              </w:rPr>
              <w:t>China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Masan Tungsten Chemical LLC (MTC)</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Vietnam</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tcPr>
          <w:p>
            <w:pPr>
              <w:ind w:left="220"/>
              <w:spacing w:after="0"/>
              <w:rPr>
                <w:sz w:val="20"/>
                <w:szCs w:val="20"/>
                <w:color w:val="auto"/>
              </w:rPr>
            </w:pPr>
            <w:r>
              <w:rPr>
                <w:rFonts w:ascii="Arial" w:cs="Arial" w:eastAsia="Arial" w:hAnsi="Arial"/>
                <w:sz w:val="18"/>
                <w:szCs w:val="18"/>
                <w:color w:val="auto"/>
              </w:rPr>
              <w:t>Moliren Ltd.</w:t>
            </w:r>
          </w:p>
        </w:tc>
        <w:tc>
          <w:tcPr>
            <w:tcW w:w="2260" w:type="dxa"/>
            <w:vAlign w:val="bottom"/>
          </w:tcPr>
          <w:p>
            <w:pPr>
              <w:ind w:left="580"/>
              <w:spacing w:after="0"/>
              <w:rPr>
                <w:sz w:val="20"/>
                <w:szCs w:val="20"/>
                <w:color w:val="auto"/>
              </w:rPr>
            </w:pPr>
            <w:r>
              <w:rPr>
                <w:rFonts w:ascii="Arial" w:cs="Arial" w:eastAsia="Arial" w:hAnsi="Arial"/>
                <w:sz w:val="18"/>
                <w:szCs w:val="18"/>
                <w:color w:val="auto"/>
              </w:rPr>
              <w:t>Russia</w:t>
            </w:r>
          </w:p>
        </w:tc>
        <w:tc>
          <w:tcPr>
            <w:tcW w:w="22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BCBCB"/>
          </w:tcPr>
          <w:p>
            <w:pPr>
              <w:ind w:left="220"/>
              <w:spacing w:after="0"/>
              <w:rPr>
                <w:sz w:val="20"/>
                <w:szCs w:val="20"/>
                <w:color w:val="auto"/>
              </w:rPr>
            </w:pPr>
            <w:r>
              <w:rPr>
                <w:rFonts w:ascii="Arial" w:cs="Arial" w:eastAsia="Arial" w:hAnsi="Arial"/>
                <w:sz w:val="18"/>
                <w:szCs w:val="18"/>
                <w:color w:val="auto"/>
              </w:rPr>
              <w:t>Niagara Refining LLC</w:t>
            </w:r>
          </w:p>
        </w:tc>
        <w:tc>
          <w:tcPr>
            <w:tcW w:w="2260" w:type="dxa"/>
            <w:vAlign w:val="bottom"/>
            <w:shd w:val="clear" w:color="auto" w:fill="CBCBCB"/>
          </w:tcPr>
          <w:p>
            <w:pPr>
              <w:ind w:left="58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BCBCB"/>
          </w:tcPr>
          <w:p>
            <w:pPr>
              <w:ind w:left="6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920" w:type="dxa"/>
            <w:vAlign w:val="bottom"/>
            <w:tcBorders>
              <w:bottom w:val="single" w:sz="8" w:color="0090DA"/>
            </w:tcBorders>
          </w:tcPr>
          <w:p>
            <w:pPr>
              <w:ind w:left="220"/>
              <w:spacing w:after="0"/>
              <w:rPr>
                <w:sz w:val="20"/>
                <w:szCs w:val="20"/>
                <w:color w:val="auto"/>
              </w:rPr>
            </w:pPr>
            <w:r>
              <w:rPr>
                <w:rFonts w:ascii="Arial" w:cs="Arial" w:eastAsia="Arial" w:hAnsi="Arial"/>
                <w:sz w:val="18"/>
                <w:szCs w:val="18"/>
                <w:b w:val="1"/>
                <w:bCs w:val="1"/>
                <w:color w:val="auto"/>
              </w:rPr>
              <w:t>Smelter or Refinery Name</w:t>
            </w:r>
          </w:p>
        </w:tc>
        <w:tc>
          <w:tcPr>
            <w:tcW w:w="2080" w:type="dxa"/>
            <w:vAlign w:val="bottom"/>
            <w:tcBorders>
              <w:bottom w:val="single" w:sz="8" w:color="0090DA"/>
            </w:tcBorders>
          </w:tcPr>
          <w:p>
            <w:pPr>
              <w:ind w:left="440"/>
              <w:spacing w:after="0"/>
              <w:rPr>
                <w:sz w:val="20"/>
                <w:szCs w:val="20"/>
                <w:color w:val="auto"/>
              </w:rPr>
            </w:pPr>
            <w:r>
              <w:rPr>
                <w:rFonts w:ascii="Arial" w:cs="Arial" w:eastAsia="Arial" w:hAnsi="Arial"/>
                <w:sz w:val="18"/>
                <w:szCs w:val="18"/>
                <w:b w:val="1"/>
                <w:bCs w:val="1"/>
                <w:color w:val="auto"/>
              </w:rPr>
              <w:t>Location</w:t>
            </w:r>
          </w:p>
        </w:tc>
        <w:tc>
          <w:tcPr>
            <w:tcW w:w="2260" w:type="dxa"/>
            <w:vAlign w:val="bottom"/>
            <w:tcBorders>
              <w:bottom w:val="single" w:sz="8" w:color="0090DA"/>
            </w:tcBorders>
          </w:tcPr>
          <w:p>
            <w:pPr>
              <w:ind w:left="640"/>
              <w:spacing w:after="0"/>
              <w:rPr>
                <w:sz w:val="20"/>
                <w:szCs w:val="20"/>
                <w:color w:val="auto"/>
              </w:rPr>
            </w:pPr>
            <w:r>
              <w:rPr>
                <w:rFonts w:ascii="Arial" w:cs="Arial" w:eastAsia="Arial" w:hAnsi="Arial"/>
                <w:sz w:val="18"/>
                <w:szCs w:val="18"/>
                <w:b w:val="1"/>
                <w:bCs w:val="1"/>
                <w:color w:val="auto"/>
              </w:rPr>
              <w:t>Status</w:t>
            </w:r>
          </w:p>
        </w:tc>
      </w:tr>
      <w:tr>
        <w:trPr>
          <w:trHeight w:val="29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tcPr>
          <w:p>
            <w:pPr>
              <w:ind w:left="220"/>
              <w:spacing w:after="0"/>
              <w:rPr>
                <w:sz w:val="20"/>
                <w:szCs w:val="20"/>
                <w:color w:val="auto"/>
              </w:rPr>
            </w:pPr>
            <w:r>
              <w:rPr>
                <w:rFonts w:ascii="Arial" w:cs="Arial" w:eastAsia="Arial" w:hAnsi="Arial"/>
                <w:sz w:val="18"/>
                <w:szCs w:val="18"/>
                <w:color w:val="auto"/>
              </w:rPr>
              <w:t>South-East Nonferrous Metal Company Limited of Hengyang City*</w:t>
            </w:r>
          </w:p>
        </w:tc>
        <w:tc>
          <w:tcPr>
            <w:tcW w:w="2080" w:type="dxa"/>
            <w:vAlign w:val="bottom"/>
          </w:tcPr>
          <w:p>
            <w:pPr>
              <w:ind w:left="440"/>
              <w:spacing w:after="0"/>
              <w:rPr>
                <w:sz w:val="20"/>
                <w:szCs w:val="20"/>
                <w:color w:val="auto"/>
              </w:rPr>
            </w:pPr>
            <w:r>
              <w:rPr>
                <w:rFonts w:ascii="Arial" w:cs="Arial" w:eastAsia="Arial" w:hAnsi="Arial"/>
                <w:sz w:val="18"/>
                <w:szCs w:val="18"/>
                <w:color w:val="auto"/>
              </w:rPr>
              <w:t>China</w:t>
            </w:r>
          </w:p>
        </w:tc>
        <w:tc>
          <w:tcPr>
            <w:tcW w:w="2260" w:type="dxa"/>
            <w:vAlign w:val="bottom"/>
          </w:tcPr>
          <w:p>
            <w:pPr>
              <w:ind w:left="640"/>
              <w:spacing w:after="0"/>
              <w:rPr>
                <w:sz w:val="20"/>
                <w:szCs w:val="20"/>
                <w:color w:val="auto"/>
              </w:rPr>
            </w:pPr>
            <w:r>
              <w:rPr>
                <w:rFonts w:ascii="Arial" w:cs="Arial" w:eastAsia="Arial" w:hAnsi="Arial"/>
                <w:sz w:val="18"/>
                <w:szCs w:val="18"/>
                <w:color w:val="auto"/>
              </w:rPr>
              <w:t>Non 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shd w:val="clear" w:color="auto" w:fill="CBCBCB"/>
          </w:tcPr>
          <w:p>
            <w:pPr>
              <w:ind w:left="220"/>
              <w:spacing w:after="0"/>
              <w:rPr>
                <w:sz w:val="20"/>
                <w:szCs w:val="20"/>
                <w:color w:val="auto"/>
              </w:rPr>
            </w:pPr>
            <w:r>
              <w:rPr>
                <w:rFonts w:ascii="Arial" w:cs="Arial" w:eastAsia="Arial" w:hAnsi="Arial"/>
                <w:sz w:val="18"/>
                <w:szCs w:val="18"/>
                <w:color w:val="auto"/>
              </w:rPr>
              <w:t>Tejing (Vietnam) Tungsten Co., Ltd.</w:t>
            </w:r>
          </w:p>
        </w:tc>
        <w:tc>
          <w:tcPr>
            <w:tcW w:w="2080" w:type="dxa"/>
            <w:vAlign w:val="bottom"/>
            <w:shd w:val="clear" w:color="auto" w:fill="CBCBCB"/>
          </w:tcPr>
          <w:p>
            <w:pPr>
              <w:ind w:left="440"/>
              <w:spacing w:after="0"/>
              <w:rPr>
                <w:sz w:val="20"/>
                <w:szCs w:val="20"/>
                <w:color w:val="auto"/>
              </w:rPr>
            </w:pPr>
            <w:r>
              <w:rPr>
                <w:rFonts w:ascii="Arial" w:cs="Arial" w:eastAsia="Arial" w:hAnsi="Arial"/>
                <w:sz w:val="18"/>
                <w:szCs w:val="18"/>
                <w:color w:val="auto"/>
              </w:rPr>
              <w:t>Vietnam</w:t>
            </w:r>
          </w:p>
        </w:tc>
        <w:tc>
          <w:tcPr>
            <w:tcW w:w="2260" w:type="dxa"/>
            <w:vAlign w:val="bottom"/>
            <w:shd w:val="clear" w:color="auto" w:fill="CBCBCB"/>
          </w:tcPr>
          <w:p>
            <w:pPr>
              <w:ind w:left="64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tcPr>
          <w:p>
            <w:pPr>
              <w:ind w:left="220"/>
              <w:spacing w:after="0"/>
              <w:rPr>
                <w:sz w:val="20"/>
                <w:szCs w:val="20"/>
                <w:color w:val="auto"/>
              </w:rPr>
            </w:pPr>
            <w:r>
              <w:rPr>
                <w:rFonts w:ascii="Arial" w:cs="Arial" w:eastAsia="Arial" w:hAnsi="Arial"/>
                <w:sz w:val="18"/>
                <w:szCs w:val="18"/>
                <w:color w:val="auto"/>
              </w:rPr>
              <w:t>Unecha Refractory metals plant</w:t>
            </w:r>
          </w:p>
        </w:tc>
        <w:tc>
          <w:tcPr>
            <w:tcW w:w="2080" w:type="dxa"/>
            <w:vAlign w:val="bottom"/>
          </w:tcPr>
          <w:p>
            <w:pPr>
              <w:ind w:left="440"/>
              <w:spacing w:after="0"/>
              <w:rPr>
                <w:sz w:val="20"/>
                <w:szCs w:val="20"/>
                <w:color w:val="auto"/>
              </w:rPr>
            </w:pPr>
            <w:r>
              <w:rPr>
                <w:rFonts w:ascii="Arial" w:cs="Arial" w:eastAsia="Arial" w:hAnsi="Arial"/>
                <w:sz w:val="18"/>
                <w:szCs w:val="18"/>
                <w:color w:val="auto"/>
              </w:rPr>
              <w:t>Russia</w:t>
            </w:r>
          </w:p>
        </w:tc>
        <w:tc>
          <w:tcPr>
            <w:tcW w:w="2260" w:type="dxa"/>
            <w:vAlign w:val="bottom"/>
          </w:tcPr>
          <w:p>
            <w:pPr>
              <w:ind w:left="64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shd w:val="clear" w:color="auto" w:fill="CBCBCB"/>
          </w:tcPr>
          <w:p>
            <w:pPr>
              <w:ind w:left="220"/>
              <w:spacing w:after="0"/>
              <w:rPr>
                <w:sz w:val="20"/>
                <w:szCs w:val="20"/>
                <w:color w:val="auto"/>
              </w:rPr>
            </w:pPr>
            <w:r>
              <w:rPr>
                <w:rFonts w:ascii="Arial" w:cs="Arial" w:eastAsia="Arial" w:hAnsi="Arial"/>
                <w:sz w:val="18"/>
                <w:szCs w:val="18"/>
                <w:color w:val="auto"/>
              </w:rPr>
              <w:t>Wolfram Bergbau und Hutten AG</w:t>
            </w:r>
          </w:p>
        </w:tc>
        <w:tc>
          <w:tcPr>
            <w:tcW w:w="2080" w:type="dxa"/>
            <w:vAlign w:val="bottom"/>
            <w:shd w:val="clear" w:color="auto" w:fill="CBCBCB"/>
          </w:tcPr>
          <w:p>
            <w:pPr>
              <w:ind w:left="440"/>
              <w:spacing w:after="0"/>
              <w:rPr>
                <w:sz w:val="20"/>
                <w:szCs w:val="20"/>
                <w:color w:val="auto"/>
              </w:rPr>
            </w:pPr>
            <w:r>
              <w:rPr>
                <w:rFonts w:ascii="Arial" w:cs="Arial" w:eastAsia="Arial" w:hAnsi="Arial"/>
                <w:sz w:val="18"/>
                <w:szCs w:val="18"/>
                <w:color w:val="auto"/>
              </w:rPr>
              <w:t>Austria</w:t>
            </w:r>
          </w:p>
        </w:tc>
        <w:tc>
          <w:tcPr>
            <w:tcW w:w="2260" w:type="dxa"/>
            <w:vAlign w:val="bottom"/>
            <w:shd w:val="clear" w:color="auto" w:fill="CBCBCB"/>
          </w:tcPr>
          <w:p>
            <w:pPr>
              <w:ind w:left="64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tcPr>
          <w:p>
            <w:pPr>
              <w:ind w:left="220"/>
              <w:spacing w:after="0"/>
              <w:rPr>
                <w:sz w:val="20"/>
                <w:szCs w:val="20"/>
                <w:color w:val="auto"/>
              </w:rPr>
            </w:pPr>
            <w:r>
              <w:rPr>
                <w:rFonts w:ascii="Arial" w:cs="Arial" w:eastAsia="Arial" w:hAnsi="Arial"/>
                <w:sz w:val="18"/>
                <w:szCs w:val="18"/>
                <w:color w:val="auto"/>
              </w:rPr>
              <w:t>Woltech Korea Co., Ltd.</w:t>
            </w:r>
          </w:p>
        </w:tc>
        <w:tc>
          <w:tcPr>
            <w:tcW w:w="2080" w:type="dxa"/>
            <w:vAlign w:val="bottom"/>
          </w:tcPr>
          <w:p>
            <w:pPr>
              <w:ind w:left="440"/>
              <w:spacing w:after="0"/>
              <w:rPr>
                <w:sz w:val="20"/>
                <w:szCs w:val="20"/>
                <w:color w:val="auto"/>
              </w:rPr>
            </w:pPr>
            <w:r>
              <w:rPr>
                <w:rFonts w:ascii="Arial" w:cs="Arial" w:eastAsia="Arial" w:hAnsi="Arial"/>
                <w:sz w:val="18"/>
                <w:szCs w:val="18"/>
                <w:color w:val="auto"/>
              </w:rPr>
              <w:t>South Korea</w:t>
            </w:r>
          </w:p>
        </w:tc>
        <w:tc>
          <w:tcPr>
            <w:tcW w:w="2260" w:type="dxa"/>
            <w:vAlign w:val="bottom"/>
          </w:tcPr>
          <w:p>
            <w:pPr>
              <w:ind w:left="64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shd w:val="clear" w:color="auto" w:fill="CBCBCB"/>
          </w:tcPr>
          <w:p>
            <w:pPr>
              <w:ind w:left="220"/>
              <w:spacing w:after="0"/>
              <w:rPr>
                <w:sz w:val="20"/>
                <w:szCs w:val="20"/>
                <w:color w:val="auto"/>
              </w:rPr>
            </w:pPr>
            <w:r>
              <w:rPr>
                <w:rFonts w:ascii="Arial" w:cs="Arial" w:eastAsia="Arial" w:hAnsi="Arial"/>
                <w:sz w:val="18"/>
                <w:szCs w:val="18"/>
                <w:color w:val="auto"/>
              </w:rPr>
              <w:t>Xiamen Tungsten (H.C.) Co., Ltd.</w:t>
            </w:r>
          </w:p>
        </w:tc>
        <w:tc>
          <w:tcPr>
            <w:tcW w:w="2080" w:type="dxa"/>
            <w:vAlign w:val="bottom"/>
            <w:shd w:val="clear" w:color="auto" w:fill="CBCBCB"/>
          </w:tcPr>
          <w:p>
            <w:pPr>
              <w:ind w:left="440"/>
              <w:spacing w:after="0"/>
              <w:rPr>
                <w:sz w:val="20"/>
                <w:szCs w:val="20"/>
                <w:color w:val="auto"/>
              </w:rPr>
            </w:pPr>
            <w:r>
              <w:rPr>
                <w:rFonts w:ascii="Arial" w:cs="Arial" w:eastAsia="Arial" w:hAnsi="Arial"/>
                <w:sz w:val="18"/>
                <w:szCs w:val="18"/>
                <w:color w:val="auto"/>
              </w:rPr>
              <w:t>China</w:t>
            </w:r>
          </w:p>
        </w:tc>
        <w:tc>
          <w:tcPr>
            <w:tcW w:w="2260" w:type="dxa"/>
            <w:vAlign w:val="bottom"/>
            <w:shd w:val="clear" w:color="auto" w:fill="CBCBCB"/>
          </w:tcPr>
          <w:p>
            <w:pPr>
              <w:ind w:left="640"/>
              <w:spacing w:after="0"/>
              <w:rPr>
                <w:sz w:val="20"/>
                <w:szCs w:val="20"/>
                <w:color w:val="auto"/>
              </w:rPr>
            </w:pPr>
            <w:r>
              <w:rPr>
                <w:rFonts w:ascii="Arial" w:cs="Arial" w:eastAsia="Arial" w:hAnsi="Arial"/>
                <w:sz w:val="18"/>
                <w:szCs w:val="18"/>
                <w:color w:val="auto"/>
              </w:rPr>
              <w:t>Conformant</w:t>
            </w:r>
          </w:p>
        </w:tc>
      </w:tr>
      <w:tr>
        <w:trPr>
          <w:trHeight w:val="250"/>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tcPr>
          <w:p>
            <w:pPr>
              <w:ind w:left="220"/>
              <w:spacing w:after="0"/>
              <w:rPr>
                <w:sz w:val="20"/>
                <w:szCs w:val="20"/>
                <w:color w:val="auto"/>
              </w:rPr>
            </w:pPr>
            <w:r>
              <w:rPr>
                <w:rFonts w:ascii="Arial" w:cs="Arial" w:eastAsia="Arial" w:hAnsi="Arial"/>
                <w:sz w:val="18"/>
                <w:szCs w:val="18"/>
                <w:color w:val="auto"/>
              </w:rPr>
              <w:t>Xiamen Tungsten Co., Ltd.</w:t>
            </w:r>
          </w:p>
        </w:tc>
        <w:tc>
          <w:tcPr>
            <w:tcW w:w="2080" w:type="dxa"/>
            <w:vAlign w:val="bottom"/>
          </w:tcPr>
          <w:p>
            <w:pPr>
              <w:ind w:left="440"/>
              <w:spacing w:after="0"/>
              <w:rPr>
                <w:sz w:val="20"/>
                <w:szCs w:val="20"/>
                <w:color w:val="auto"/>
              </w:rPr>
            </w:pPr>
            <w:r>
              <w:rPr>
                <w:rFonts w:ascii="Arial" w:cs="Arial" w:eastAsia="Arial" w:hAnsi="Arial"/>
                <w:sz w:val="18"/>
                <w:szCs w:val="18"/>
                <w:color w:val="auto"/>
              </w:rPr>
              <w:t>China</w:t>
            </w:r>
          </w:p>
        </w:tc>
        <w:tc>
          <w:tcPr>
            <w:tcW w:w="2260" w:type="dxa"/>
            <w:vAlign w:val="bottom"/>
          </w:tcPr>
          <w:p>
            <w:pPr>
              <w:ind w:left="640"/>
              <w:spacing w:after="0"/>
              <w:rPr>
                <w:sz w:val="20"/>
                <w:szCs w:val="20"/>
                <w:color w:val="auto"/>
              </w:rPr>
            </w:pPr>
            <w:r>
              <w:rPr>
                <w:rFonts w:ascii="Arial" w:cs="Arial" w:eastAsia="Arial" w:hAnsi="Arial"/>
                <w:sz w:val="18"/>
                <w:szCs w:val="18"/>
                <w:color w:val="auto"/>
              </w:rPr>
              <w:t>Conformant</w:t>
            </w:r>
          </w:p>
        </w:tc>
      </w:tr>
      <w:tr>
        <w:trPr>
          <w:trHeight w:val="263"/>
        </w:trPr>
        <w:tc>
          <w:tcPr>
            <w:tcW w:w="980" w:type="dxa"/>
            <w:vAlign w:val="bottom"/>
            <w:shd w:val="clear" w:color="auto" w:fill="CBCBCB"/>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shd w:val="clear" w:color="auto" w:fill="CBCBCB"/>
          </w:tcPr>
          <w:p>
            <w:pPr>
              <w:ind w:left="220"/>
              <w:spacing w:after="0"/>
              <w:rPr>
                <w:sz w:val="20"/>
                <w:szCs w:val="20"/>
                <w:color w:val="auto"/>
              </w:rPr>
            </w:pPr>
            <w:r>
              <w:rPr>
                <w:rFonts w:ascii="Arial" w:cs="Arial" w:eastAsia="Arial" w:hAnsi="Arial"/>
                <w:sz w:val="18"/>
                <w:szCs w:val="18"/>
                <w:color w:val="auto"/>
              </w:rPr>
              <w:t>Xinfeng Huarui Tungsten &amp; Molybdenum New Material Co., Ltd.</w:t>
            </w:r>
          </w:p>
        </w:tc>
        <w:tc>
          <w:tcPr>
            <w:tcW w:w="2080" w:type="dxa"/>
            <w:vAlign w:val="bottom"/>
            <w:shd w:val="clear" w:color="auto" w:fill="CBCBCB"/>
          </w:tcPr>
          <w:p>
            <w:pPr>
              <w:ind w:left="440"/>
              <w:spacing w:after="0"/>
              <w:rPr>
                <w:sz w:val="20"/>
                <w:szCs w:val="20"/>
                <w:color w:val="auto"/>
              </w:rPr>
            </w:pPr>
            <w:r>
              <w:rPr>
                <w:rFonts w:ascii="Arial" w:cs="Arial" w:eastAsia="Arial" w:hAnsi="Arial"/>
                <w:sz w:val="18"/>
                <w:szCs w:val="18"/>
                <w:color w:val="auto"/>
              </w:rPr>
              <w:t>China</w:t>
            </w:r>
          </w:p>
        </w:tc>
        <w:tc>
          <w:tcPr>
            <w:tcW w:w="2260" w:type="dxa"/>
            <w:vAlign w:val="bottom"/>
            <w:shd w:val="clear" w:color="auto" w:fill="CBCBCB"/>
          </w:tcPr>
          <w:p>
            <w:pPr>
              <w:ind w:left="640"/>
              <w:spacing w:after="0"/>
              <w:rPr>
                <w:sz w:val="20"/>
                <w:szCs w:val="20"/>
                <w:color w:val="auto"/>
              </w:rPr>
            </w:pPr>
            <w:r>
              <w:rPr>
                <w:rFonts w:ascii="Arial" w:cs="Arial" w:eastAsia="Arial" w:hAnsi="Arial"/>
                <w:sz w:val="18"/>
                <w:szCs w:val="18"/>
                <w:color w:val="auto"/>
              </w:rPr>
              <w:t>Conformant</w:t>
            </w: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Tungsten</w:t>
            </w:r>
          </w:p>
        </w:tc>
        <w:tc>
          <w:tcPr>
            <w:tcW w:w="5920" w:type="dxa"/>
            <w:vAlign w:val="bottom"/>
          </w:tcPr>
          <w:p>
            <w:pPr>
              <w:ind w:left="220"/>
              <w:spacing w:after="0"/>
              <w:rPr>
                <w:sz w:val="20"/>
                <w:szCs w:val="20"/>
                <w:color w:val="auto"/>
              </w:rPr>
            </w:pPr>
            <w:r>
              <w:rPr>
                <w:rFonts w:ascii="Arial" w:cs="Arial" w:eastAsia="Arial" w:hAnsi="Arial"/>
                <w:sz w:val="18"/>
                <w:szCs w:val="18"/>
                <w:color w:val="auto"/>
              </w:rPr>
              <w:t>Xinhai Rendan Shaoguan Tungsten Co., Ltd.</w:t>
            </w:r>
          </w:p>
        </w:tc>
        <w:tc>
          <w:tcPr>
            <w:tcW w:w="2080" w:type="dxa"/>
            <w:vAlign w:val="bottom"/>
          </w:tcPr>
          <w:p>
            <w:pPr>
              <w:ind w:left="440"/>
              <w:spacing w:after="0"/>
              <w:rPr>
                <w:sz w:val="20"/>
                <w:szCs w:val="20"/>
                <w:color w:val="auto"/>
              </w:rPr>
            </w:pPr>
            <w:r>
              <w:rPr>
                <w:rFonts w:ascii="Arial" w:cs="Arial" w:eastAsia="Arial" w:hAnsi="Arial"/>
                <w:sz w:val="18"/>
                <w:szCs w:val="18"/>
                <w:color w:val="auto"/>
              </w:rPr>
              <w:t>China</w:t>
            </w:r>
          </w:p>
        </w:tc>
        <w:tc>
          <w:tcPr>
            <w:tcW w:w="2260" w:type="dxa"/>
            <w:vAlign w:val="bottom"/>
          </w:tcPr>
          <w:p>
            <w:pPr>
              <w:ind w:left="64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40"/>
          <w:szCs w:val="40"/>
          <w:b w:val="1"/>
          <w:bCs w:val="1"/>
          <w:color w:val="auto"/>
        </w:rPr>
        <w:t>Appendix B</w:t>
      </w:r>
    </w:p>
    <w:p>
      <w:pPr>
        <w:spacing w:after="0" w:line="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Aggregated Countries of Origin List</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table sets forth an aggregated list of countries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2019. This table does not include country of origin information for any smelters or refiners that have been validated as Conformant solely through the RJC, of which there were nine smelters or refiners as of December 31,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Argentina</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rPr>
              <w:t>Guyana</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rPr>
              <w:t>Panama</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rPr>
              <w:t>Armenia</w:t>
            </w:r>
          </w:p>
        </w:tc>
        <w:tc>
          <w:tcPr>
            <w:tcW w:w="3160" w:type="dxa"/>
            <w:vAlign w:val="bottom"/>
          </w:tcPr>
          <w:p>
            <w:pPr>
              <w:jc w:val="center"/>
              <w:ind w:right="170"/>
              <w:spacing w:after="0"/>
              <w:rPr>
                <w:sz w:val="20"/>
                <w:szCs w:val="20"/>
                <w:color w:val="auto"/>
              </w:rPr>
            </w:pPr>
            <w:r>
              <w:rPr>
                <w:rFonts w:ascii="Arial" w:cs="Arial" w:eastAsia="Arial" w:hAnsi="Arial"/>
                <w:sz w:val="18"/>
                <w:szCs w:val="18"/>
                <w:color w:val="auto"/>
                <w:w w:val="99"/>
              </w:rPr>
              <w:t>Honduras</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9"/>
              </w:rPr>
              <w:t>Papua New Guinea</w:t>
            </w:r>
          </w:p>
        </w:tc>
      </w:tr>
      <w:tr>
        <w:trPr>
          <w:trHeight w:val="263"/>
        </w:trPr>
        <w:tc>
          <w:tcPr>
            <w:tcW w:w="4160" w:type="dxa"/>
            <w:vAlign w:val="bottom"/>
            <w:shd w:val="clear" w:color="auto" w:fill="CBCBCB"/>
          </w:tcPr>
          <w:p>
            <w:pPr>
              <w:jc w:val="center"/>
              <w:ind w:right="330"/>
              <w:spacing w:after="0"/>
              <w:rPr>
                <w:sz w:val="20"/>
                <w:szCs w:val="20"/>
                <w:color w:val="auto"/>
              </w:rPr>
            </w:pPr>
            <w:r>
              <w:rPr>
                <w:rFonts w:ascii="Arial" w:cs="Arial" w:eastAsia="Arial" w:hAnsi="Arial"/>
                <w:sz w:val="18"/>
                <w:szCs w:val="18"/>
                <w:color w:val="auto"/>
                <w:w w:val="99"/>
              </w:rPr>
              <w:t>Australia</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Hong Kong</w:t>
            </w:r>
          </w:p>
        </w:tc>
        <w:tc>
          <w:tcPr>
            <w:tcW w:w="386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9"/>
              </w:rPr>
              <w:t>Peru</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9"/>
              </w:rPr>
              <w:t>Austria</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9"/>
              </w:rPr>
              <w:t>Hungary</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rPr>
              <w:t>Philippines</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Azerbaijan</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Iceland</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9"/>
              </w:rPr>
              <w:t>Poland</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9"/>
              </w:rPr>
              <w:t>Bahamas</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rPr>
              <w:t>India</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rPr>
              <w:t>Portugal</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Barbados</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Indonesia</w:t>
            </w:r>
          </w:p>
        </w:tc>
        <w:tc>
          <w:tcPr>
            <w:tcW w:w="386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9"/>
              </w:rPr>
              <w:t>Puerto Rico</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8"/>
              </w:rPr>
              <w:t>Belarus</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rPr>
              <w:t>Iran</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9"/>
              </w:rPr>
              <w:t>Romania</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Belgium</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rPr>
              <w:t>Ireland</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rPr>
              <w:t>Russia</w:t>
            </w:r>
          </w:p>
        </w:tc>
      </w:tr>
      <w:tr>
        <w:trPr>
          <w:trHeight w:val="250"/>
        </w:trPr>
        <w:tc>
          <w:tcPr>
            <w:tcW w:w="4160" w:type="dxa"/>
            <w:vAlign w:val="bottom"/>
          </w:tcPr>
          <w:p>
            <w:pPr>
              <w:jc w:val="center"/>
              <w:ind w:right="330"/>
              <w:spacing w:after="0"/>
              <w:rPr>
                <w:sz w:val="20"/>
                <w:szCs w:val="20"/>
                <w:color w:val="auto"/>
              </w:rPr>
            </w:pPr>
            <w:r>
              <w:rPr>
                <w:rFonts w:ascii="Arial" w:cs="Arial" w:eastAsia="Arial" w:hAnsi="Arial"/>
                <w:sz w:val="18"/>
                <w:szCs w:val="18"/>
                <w:color w:val="auto"/>
                <w:w w:val="99"/>
              </w:rPr>
              <w:t>Benin</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9"/>
              </w:rPr>
              <w:t>Israel</w:t>
            </w:r>
          </w:p>
        </w:tc>
        <w:tc>
          <w:tcPr>
            <w:tcW w:w="3860" w:type="dxa"/>
            <w:vAlign w:val="bottom"/>
          </w:tcPr>
          <w:p>
            <w:pPr>
              <w:jc w:val="center"/>
              <w:ind w:left="30"/>
              <w:spacing w:after="0"/>
              <w:rPr>
                <w:sz w:val="20"/>
                <w:szCs w:val="20"/>
                <w:color w:val="auto"/>
              </w:rPr>
            </w:pPr>
            <w:r>
              <w:rPr>
                <w:rFonts w:ascii="Arial" w:cs="Arial" w:eastAsia="Arial" w:hAnsi="Arial"/>
                <w:sz w:val="18"/>
                <w:szCs w:val="18"/>
                <w:color w:val="auto"/>
                <w:w w:val="99"/>
              </w:rPr>
              <w:t>Rwanda</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Bolivia</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w w:val="96"/>
              </w:rPr>
              <w:t>Italy</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9"/>
              </w:rPr>
              <w:t>San Marino</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8"/>
              </w:rPr>
              <w:t>Bolivia</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rPr>
              <w:t>Ivory Coast</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rPr>
              <w:t>Saudi Arabia</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9"/>
              </w:rPr>
              <w:t>Bosnia and Herzegovina</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w w:val="97"/>
              </w:rPr>
              <w:t>Japan</w:t>
            </w:r>
          </w:p>
        </w:tc>
        <w:tc>
          <w:tcPr>
            <w:tcW w:w="386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9"/>
              </w:rPr>
              <w:t>Senegal</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rPr>
              <w:t>Botswana</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rPr>
              <w:t>Jordan</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9"/>
              </w:rPr>
              <w:t>Serbia</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7"/>
              </w:rPr>
              <w:t>Brazil</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Kazakhstan</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rPr>
              <w:t>Sierra Leone</w:t>
            </w:r>
          </w:p>
        </w:tc>
      </w:tr>
      <w:tr>
        <w:trPr>
          <w:trHeight w:val="250"/>
        </w:trPr>
        <w:tc>
          <w:tcPr>
            <w:tcW w:w="4160" w:type="dxa"/>
            <w:vAlign w:val="bottom"/>
          </w:tcPr>
          <w:p>
            <w:pPr>
              <w:jc w:val="center"/>
              <w:ind w:right="330"/>
              <w:spacing w:after="0"/>
              <w:rPr>
                <w:sz w:val="20"/>
                <w:szCs w:val="20"/>
                <w:color w:val="auto"/>
              </w:rPr>
            </w:pPr>
            <w:r>
              <w:rPr>
                <w:rFonts w:ascii="Arial" w:cs="Arial" w:eastAsia="Arial" w:hAnsi="Arial"/>
                <w:sz w:val="18"/>
                <w:szCs w:val="18"/>
                <w:color w:val="auto"/>
                <w:w w:val="99"/>
              </w:rPr>
              <w:t>Bulgaria</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rPr>
              <w:t>Kenya</w:t>
            </w:r>
          </w:p>
        </w:tc>
        <w:tc>
          <w:tcPr>
            <w:tcW w:w="3860" w:type="dxa"/>
            <w:vAlign w:val="bottom"/>
          </w:tcPr>
          <w:p>
            <w:pPr>
              <w:jc w:val="center"/>
              <w:ind w:left="30"/>
              <w:spacing w:after="0"/>
              <w:rPr>
                <w:sz w:val="20"/>
                <w:szCs w:val="20"/>
                <w:color w:val="auto"/>
              </w:rPr>
            </w:pPr>
            <w:r>
              <w:rPr>
                <w:rFonts w:ascii="Arial" w:cs="Arial" w:eastAsia="Arial" w:hAnsi="Arial"/>
                <w:sz w:val="18"/>
                <w:szCs w:val="18"/>
                <w:color w:val="auto"/>
                <w:w w:val="99"/>
              </w:rPr>
              <w:t>Singapore</w:t>
            </w:r>
          </w:p>
        </w:tc>
      </w:tr>
      <w:tr>
        <w:trPr>
          <w:trHeight w:val="263"/>
        </w:trPr>
        <w:tc>
          <w:tcPr>
            <w:tcW w:w="4160" w:type="dxa"/>
            <w:vAlign w:val="bottom"/>
            <w:shd w:val="clear" w:color="auto" w:fill="CBCBCB"/>
          </w:tcPr>
          <w:p>
            <w:pPr>
              <w:jc w:val="center"/>
              <w:ind w:right="330"/>
              <w:spacing w:after="0"/>
              <w:rPr>
                <w:sz w:val="20"/>
                <w:szCs w:val="20"/>
                <w:color w:val="auto"/>
              </w:rPr>
            </w:pPr>
            <w:r>
              <w:rPr>
                <w:rFonts w:ascii="Arial" w:cs="Arial" w:eastAsia="Arial" w:hAnsi="Arial"/>
                <w:sz w:val="18"/>
                <w:szCs w:val="18"/>
                <w:color w:val="auto"/>
                <w:w w:val="99"/>
              </w:rPr>
              <w:t>Burkina Faso</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w w:val="99"/>
              </w:rPr>
              <w:t>South Korea</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9"/>
              </w:rPr>
              <w:t>Slovakia</w:t>
            </w:r>
          </w:p>
        </w:tc>
      </w:tr>
      <w:tr>
        <w:trPr>
          <w:trHeight w:val="250"/>
        </w:trPr>
        <w:tc>
          <w:tcPr>
            <w:tcW w:w="4160" w:type="dxa"/>
            <w:vAlign w:val="bottom"/>
          </w:tcPr>
          <w:p>
            <w:pPr>
              <w:jc w:val="center"/>
              <w:ind w:right="330"/>
              <w:spacing w:after="0"/>
              <w:rPr>
                <w:sz w:val="20"/>
                <w:szCs w:val="20"/>
                <w:color w:val="auto"/>
              </w:rPr>
            </w:pPr>
            <w:r>
              <w:rPr>
                <w:rFonts w:ascii="Arial" w:cs="Arial" w:eastAsia="Arial" w:hAnsi="Arial"/>
                <w:sz w:val="18"/>
                <w:szCs w:val="18"/>
                <w:color w:val="auto"/>
                <w:w w:val="99"/>
              </w:rPr>
              <w:t>Burundi</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9"/>
              </w:rPr>
              <w:t>Kosovo</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8"/>
              </w:rPr>
              <w:t>Slovenia</w:t>
            </w:r>
          </w:p>
        </w:tc>
      </w:tr>
      <w:tr>
        <w:trPr>
          <w:trHeight w:val="263"/>
        </w:trPr>
        <w:tc>
          <w:tcPr>
            <w:tcW w:w="4160" w:type="dxa"/>
            <w:vAlign w:val="bottom"/>
            <w:shd w:val="clear" w:color="auto" w:fill="CBCBCB"/>
          </w:tcPr>
          <w:p>
            <w:pPr>
              <w:jc w:val="center"/>
              <w:ind w:right="330"/>
              <w:spacing w:after="0"/>
              <w:rPr>
                <w:sz w:val="20"/>
                <w:szCs w:val="20"/>
                <w:color w:val="auto"/>
              </w:rPr>
            </w:pPr>
            <w:r>
              <w:rPr>
                <w:rFonts w:ascii="Arial" w:cs="Arial" w:eastAsia="Arial" w:hAnsi="Arial"/>
                <w:sz w:val="18"/>
                <w:szCs w:val="18"/>
                <w:color w:val="auto"/>
                <w:w w:val="99"/>
              </w:rPr>
              <w:t>Cambodia</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Kuwait</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9"/>
              </w:rPr>
              <w:t>Solomon Islands</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9"/>
              </w:rPr>
              <w:t>Cameroon</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8"/>
              </w:rPr>
              <w:t>Kyrgyzstan</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8"/>
              </w:rPr>
              <w:t>Somalia</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rPr>
              <w:t>Canada</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rPr>
              <w:t>Laos</w:t>
            </w:r>
          </w:p>
        </w:tc>
        <w:tc>
          <w:tcPr>
            <w:tcW w:w="386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9"/>
              </w:rPr>
              <w:t>South Africa</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9"/>
              </w:rPr>
              <w:t>Cayman Islands</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9"/>
              </w:rPr>
              <w:t>Latvia</w:t>
            </w:r>
          </w:p>
        </w:tc>
        <w:tc>
          <w:tcPr>
            <w:tcW w:w="3860" w:type="dxa"/>
            <w:vAlign w:val="bottom"/>
          </w:tcPr>
          <w:p>
            <w:pPr>
              <w:jc w:val="center"/>
              <w:ind w:left="30"/>
              <w:spacing w:after="0"/>
              <w:rPr>
                <w:sz w:val="20"/>
                <w:szCs w:val="20"/>
                <w:color w:val="auto"/>
              </w:rPr>
            </w:pPr>
            <w:r>
              <w:rPr>
                <w:rFonts w:ascii="Arial" w:cs="Arial" w:eastAsia="Arial" w:hAnsi="Arial"/>
                <w:sz w:val="18"/>
                <w:szCs w:val="18"/>
                <w:color w:val="auto"/>
                <w:w w:val="99"/>
              </w:rPr>
              <w:t>Spain</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7"/>
              </w:rPr>
              <w:t>Chile</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Lebanon</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8"/>
              </w:rPr>
              <w:t>Suriname</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rPr>
              <w:t>China</w:t>
            </w:r>
          </w:p>
        </w:tc>
        <w:tc>
          <w:tcPr>
            <w:tcW w:w="3160" w:type="dxa"/>
            <w:vAlign w:val="bottom"/>
          </w:tcPr>
          <w:p>
            <w:pPr>
              <w:jc w:val="center"/>
              <w:ind w:right="170"/>
              <w:spacing w:after="0"/>
              <w:rPr>
                <w:sz w:val="20"/>
                <w:szCs w:val="20"/>
                <w:color w:val="auto"/>
              </w:rPr>
            </w:pPr>
            <w:r>
              <w:rPr>
                <w:rFonts w:ascii="Arial" w:cs="Arial" w:eastAsia="Arial" w:hAnsi="Arial"/>
                <w:sz w:val="18"/>
                <w:szCs w:val="18"/>
                <w:color w:val="auto"/>
                <w:w w:val="99"/>
              </w:rPr>
              <w:t>Liberia</w:t>
            </w:r>
          </w:p>
        </w:tc>
        <w:tc>
          <w:tcPr>
            <w:tcW w:w="3860" w:type="dxa"/>
            <w:vAlign w:val="bottom"/>
          </w:tcPr>
          <w:p>
            <w:pPr>
              <w:jc w:val="center"/>
              <w:ind w:left="30"/>
              <w:spacing w:after="0"/>
              <w:rPr>
                <w:sz w:val="20"/>
                <w:szCs w:val="20"/>
                <w:color w:val="auto"/>
              </w:rPr>
            </w:pPr>
            <w:r>
              <w:rPr>
                <w:rFonts w:ascii="Arial" w:cs="Arial" w:eastAsia="Arial" w:hAnsi="Arial"/>
                <w:sz w:val="18"/>
                <w:szCs w:val="18"/>
                <w:color w:val="auto"/>
                <w:w w:val="99"/>
              </w:rPr>
              <w:t>Swaziland</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9"/>
              </w:rPr>
              <w:t>Colombia</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rPr>
              <w:t>Libya</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8"/>
              </w:rPr>
              <w:t>Sweden</w:t>
            </w:r>
          </w:p>
        </w:tc>
      </w:tr>
      <w:tr>
        <w:trPr>
          <w:trHeight w:val="250"/>
        </w:trPr>
        <w:tc>
          <w:tcPr>
            <w:tcW w:w="4160" w:type="dxa"/>
            <w:vAlign w:val="bottom"/>
          </w:tcPr>
          <w:p>
            <w:pPr>
              <w:jc w:val="center"/>
              <w:ind w:right="330"/>
              <w:spacing w:after="0"/>
              <w:rPr>
                <w:sz w:val="20"/>
                <w:szCs w:val="20"/>
                <w:color w:val="auto"/>
              </w:rPr>
            </w:pPr>
            <w:r>
              <w:rPr>
                <w:rFonts w:ascii="Arial" w:cs="Arial" w:eastAsia="Arial" w:hAnsi="Arial"/>
                <w:sz w:val="18"/>
                <w:szCs w:val="18"/>
                <w:color w:val="auto"/>
                <w:w w:val="99"/>
              </w:rPr>
              <w:t>Democratic Republic of the Congo</w:t>
            </w:r>
          </w:p>
        </w:tc>
        <w:tc>
          <w:tcPr>
            <w:tcW w:w="3160" w:type="dxa"/>
            <w:vAlign w:val="bottom"/>
          </w:tcPr>
          <w:p>
            <w:pPr>
              <w:jc w:val="center"/>
              <w:ind w:right="170"/>
              <w:spacing w:after="0"/>
              <w:rPr>
                <w:sz w:val="20"/>
                <w:szCs w:val="20"/>
                <w:color w:val="auto"/>
              </w:rPr>
            </w:pPr>
            <w:r>
              <w:rPr>
                <w:rFonts w:ascii="Arial" w:cs="Arial" w:eastAsia="Arial" w:hAnsi="Arial"/>
                <w:sz w:val="18"/>
                <w:szCs w:val="18"/>
                <w:color w:val="auto"/>
                <w:w w:val="99"/>
              </w:rPr>
              <w:t>Liechtenstein</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8"/>
              </w:rPr>
              <w:t>Switzerland</w:t>
            </w:r>
          </w:p>
        </w:tc>
      </w:tr>
      <w:tr>
        <w:trPr>
          <w:trHeight w:val="263"/>
        </w:trPr>
        <w:tc>
          <w:tcPr>
            <w:tcW w:w="4160" w:type="dxa"/>
            <w:vAlign w:val="bottom"/>
            <w:shd w:val="clear" w:color="auto" w:fill="CBCBCB"/>
          </w:tcPr>
          <w:p>
            <w:pPr>
              <w:jc w:val="center"/>
              <w:ind w:right="330"/>
              <w:spacing w:after="0"/>
              <w:rPr>
                <w:sz w:val="20"/>
                <w:szCs w:val="20"/>
                <w:color w:val="auto"/>
              </w:rPr>
            </w:pPr>
            <w:r>
              <w:rPr>
                <w:rFonts w:ascii="Arial" w:cs="Arial" w:eastAsia="Arial" w:hAnsi="Arial"/>
                <w:sz w:val="18"/>
                <w:szCs w:val="18"/>
                <w:color w:val="auto"/>
                <w:w w:val="99"/>
              </w:rPr>
              <w:t>Croatia</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w w:val="98"/>
              </w:rPr>
              <w:t>Lithuania</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6"/>
              </w:rPr>
              <w:t>Taiwan</w:t>
            </w:r>
          </w:p>
        </w:tc>
      </w:tr>
      <w:tr>
        <w:trPr>
          <w:trHeight w:val="250"/>
        </w:trPr>
        <w:tc>
          <w:tcPr>
            <w:tcW w:w="4160" w:type="dxa"/>
            <w:vAlign w:val="bottom"/>
          </w:tcPr>
          <w:p>
            <w:pPr>
              <w:jc w:val="center"/>
              <w:ind w:right="310"/>
              <w:spacing w:after="0"/>
              <w:rPr>
                <w:sz w:val="20"/>
                <w:szCs w:val="20"/>
                <w:color w:val="auto"/>
              </w:rPr>
            </w:pPr>
            <w:r>
              <w:rPr>
                <w:rFonts w:ascii="Arial" w:cs="Arial" w:eastAsia="Arial" w:hAnsi="Arial"/>
                <w:sz w:val="18"/>
                <w:szCs w:val="18"/>
                <w:color w:val="auto"/>
              </w:rPr>
              <w:t>Curacao (Dutch Antilles)</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9"/>
              </w:rPr>
              <w:t>Luxembourg</w:t>
            </w:r>
          </w:p>
        </w:tc>
        <w:tc>
          <w:tcPr>
            <w:tcW w:w="3860" w:type="dxa"/>
            <w:vAlign w:val="bottom"/>
          </w:tcPr>
          <w:p>
            <w:pPr>
              <w:jc w:val="center"/>
              <w:ind w:left="30"/>
              <w:spacing w:after="0"/>
              <w:rPr>
                <w:sz w:val="20"/>
                <w:szCs w:val="20"/>
                <w:color w:val="auto"/>
              </w:rPr>
            </w:pPr>
            <w:r>
              <w:rPr>
                <w:rFonts w:ascii="Arial" w:cs="Arial" w:eastAsia="Arial" w:hAnsi="Arial"/>
                <w:sz w:val="18"/>
                <w:szCs w:val="18"/>
                <w:color w:val="auto"/>
                <w:w w:val="97"/>
              </w:rPr>
              <w:t>Tajikistan</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Cyprus</w:t>
            </w:r>
          </w:p>
        </w:tc>
        <w:tc>
          <w:tcPr>
            <w:tcW w:w="3160" w:type="dxa"/>
            <w:vAlign w:val="bottom"/>
            <w:shd w:val="clear" w:color="auto" w:fill="CBCBCB"/>
          </w:tcPr>
          <w:p>
            <w:pPr>
              <w:jc w:val="center"/>
              <w:ind w:right="170"/>
              <w:spacing w:after="0"/>
              <w:rPr>
                <w:sz w:val="20"/>
                <w:szCs w:val="20"/>
                <w:color w:val="auto"/>
              </w:rPr>
            </w:pPr>
            <w:r>
              <w:rPr>
                <w:rFonts w:ascii="Arial" w:cs="Arial" w:eastAsia="Arial" w:hAnsi="Arial"/>
                <w:sz w:val="18"/>
                <w:szCs w:val="18"/>
                <w:color w:val="auto"/>
                <w:w w:val="99"/>
              </w:rPr>
              <w:t>Macau</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7"/>
              </w:rPr>
              <w:t>Tanzania</w:t>
            </w:r>
          </w:p>
        </w:tc>
      </w:tr>
      <w:tr>
        <w:trPr>
          <w:trHeight w:val="250"/>
        </w:trPr>
        <w:tc>
          <w:tcPr>
            <w:tcW w:w="4160" w:type="dxa"/>
            <w:vAlign w:val="bottom"/>
          </w:tcPr>
          <w:p>
            <w:pPr>
              <w:jc w:val="center"/>
              <w:ind w:right="330"/>
              <w:spacing w:after="0"/>
              <w:rPr>
                <w:sz w:val="20"/>
                <w:szCs w:val="20"/>
                <w:color w:val="auto"/>
              </w:rPr>
            </w:pPr>
            <w:r>
              <w:rPr>
                <w:rFonts w:ascii="Arial" w:cs="Arial" w:eastAsia="Arial" w:hAnsi="Arial"/>
                <w:sz w:val="18"/>
                <w:szCs w:val="18"/>
                <w:color w:val="auto"/>
                <w:w w:val="99"/>
              </w:rPr>
              <w:t>Czech Republic</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rPr>
              <w:t>Madagascar</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8"/>
              </w:rPr>
              <w:t>Thailand</w:t>
            </w:r>
          </w:p>
        </w:tc>
      </w:tr>
      <w:tr>
        <w:trPr>
          <w:trHeight w:val="263"/>
        </w:trPr>
        <w:tc>
          <w:tcPr>
            <w:tcW w:w="4160" w:type="dxa"/>
            <w:vAlign w:val="bottom"/>
            <w:shd w:val="clear" w:color="auto" w:fill="CBCBCB"/>
          </w:tcPr>
          <w:p>
            <w:pPr>
              <w:jc w:val="center"/>
              <w:ind w:right="310"/>
              <w:spacing w:after="0"/>
              <w:rPr>
                <w:sz w:val="20"/>
                <w:szCs w:val="20"/>
                <w:color w:val="auto"/>
              </w:rPr>
            </w:pPr>
            <w:r>
              <w:rPr>
                <w:rFonts w:ascii="Arial" w:cs="Arial" w:eastAsia="Arial" w:hAnsi="Arial"/>
                <w:sz w:val="18"/>
                <w:szCs w:val="18"/>
                <w:color w:val="auto"/>
                <w:w w:val="98"/>
              </w:rPr>
              <w:t>Denmark</w:t>
            </w:r>
          </w:p>
        </w:tc>
        <w:tc>
          <w:tcPr>
            <w:tcW w:w="3160" w:type="dxa"/>
            <w:vAlign w:val="bottom"/>
            <w:shd w:val="clear" w:color="auto" w:fill="CBCBCB"/>
          </w:tcPr>
          <w:p>
            <w:pPr>
              <w:jc w:val="center"/>
              <w:ind w:right="190"/>
              <w:spacing w:after="0"/>
              <w:rPr>
                <w:sz w:val="20"/>
                <w:szCs w:val="20"/>
                <w:color w:val="auto"/>
              </w:rPr>
            </w:pPr>
            <w:r>
              <w:rPr>
                <w:rFonts w:ascii="Arial" w:cs="Arial" w:eastAsia="Arial" w:hAnsi="Arial"/>
                <w:sz w:val="18"/>
                <w:szCs w:val="18"/>
                <w:color w:val="auto"/>
              </w:rPr>
              <w:t>Malaysia</w:t>
            </w:r>
          </w:p>
        </w:tc>
        <w:tc>
          <w:tcPr>
            <w:tcW w:w="3860" w:type="dxa"/>
            <w:vAlign w:val="bottom"/>
            <w:shd w:val="clear" w:color="auto" w:fill="CBCBCB"/>
          </w:tcPr>
          <w:p>
            <w:pPr>
              <w:jc w:val="center"/>
              <w:ind w:left="50"/>
              <w:spacing w:after="0"/>
              <w:rPr>
                <w:sz w:val="20"/>
                <w:szCs w:val="20"/>
                <w:color w:val="auto"/>
              </w:rPr>
            </w:pPr>
            <w:r>
              <w:rPr>
                <w:rFonts w:ascii="Arial" w:cs="Arial" w:eastAsia="Arial" w:hAnsi="Arial"/>
                <w:sz w:val="18"/>
                <w:szCs w:val="18"/>
                <w:color w:val="auto"/>
                <w:w w:val="97"/>
              </w:rPr>
              <w:t>Togo</w:t>
            </w:r>
          </w:p>
        </w:tc>
      </w:tr>
      <w:tr>
        <w:trPr>
          <w:trHeight w:val="243"/>
        </w:trPr>
        <w:tc>
          <w:tcPr>
            <w:tcW w:w="4160" w:type="dxa"/>
            <w:vAlign w:val="bottom"/>
          </w:tcPr>
          <w:p>
            <w:pPr>
              <w:jc w:val="center"/>
              <w:ind w:right="310"/>
              <w:spacing w:after="0"/>
              <w:rPr>
                <w:sz w:val="20"/>
                <w:szCs w:val="20"/>
                <w:color w:val="auto"/>
              </w:rPr>
            </w:pPr>
            <w:r>
              <w:rPr>
                <w:rFonts w:ascii="Arial" w:cs="Arial" w:eastAsia="Arial" w:hAnsi="Arial"/>
                <w:sz w:val="18"/>
                <w:szCs w:val="18"/>
                <w:color w:val="auto"/>
                <w:w w:val="99"/>
              </w:rPr>
              <w:t>Dominican Republic</w:t>
            </w:r>
          </w:p>
        </w:tc>
        <w:tc>
          <w:tcPr>
            <w:tcW w:w="3160" w:type="dxa"/>
            <w:vAlign w:val="bottom"/>
          </w:tcPr>
          <w:p>
            <w:pPr>
              <w:jc w:val="center"/>
              <w:ind w:right="190"/>
              <w:spacing w:after="0"/>
              <w:rPr>
                <w:sz w:val="20"/>
                <w:szCs w:val="20"/>
                <w:color w:val="auto"/>
              </w:rPr>
            </w:pPr>
            <w:r>
              <w:rPr>
                <w:rFonts w:ascii="Arial" w:cs="Arial" w:eastAsia="Arial" w:hAnsi="Arial"/>
                <w:sz w:val="18"/>
                <w:szCs w:val="18"/>
                <w:color w:val="auto"/>
                <w:w w:val="96"/>
              </w:rPr>
              <w:t>Mali</w:t>
            </w:r>
          </w:p>
        </w:tc>
        <w:tc>
          <w:tcPr>
            <w:tcW w:w="3860" w:type="dxa"/>
            <w:vAlign w:val="bottom"/>
          </w:tcPr>
          <w:p>
            <w:pPr>
              <w:jc w:val="center"/>
              <w:ind w:left="50"/>
              <w:spacing w:after="0"/>
              <w:rPr>
                <w:sz w:val="20"/>
                <w:szCs w:val="20"/>
                <w:color w:val="auto"/>
              </w:rPr>
            </w:pPr>
            <w:r>
              <w:rPr>
                <w:rFonts w:ascii="Arial" w:cs="Arial" w:eastAsia="Arial" w:hAnsi="Arial"/>
                <w:sz w:val="18"/>
                <w:szCs w:val="18"/>
                <w:color w:val="auto"/>
                <w:w w:val="98"/>
              </w:rPr>
              <w:t>Trinidad and Tobago</w:t>
            </w:r>
          </w:p>
        </w:tc>
      </w:tr>
    </w:tbl>
    <w:p>
      <w:pPr>
        <w:sectPr>
          <w:pgSz w:w="11900" w:h="16838" w:orient="portrait"/>
          <w:cols w:equalWidth="0" w:num="1">
            <w:col w:w="11180"/>
          </w:cols>
          <w:pgMar w:left="320" w:top="1405" w:right="399" w:bottom="1440" w:gutter="0" w:footer="0" w:header="0"/>
        </w:sectPr>
      </w:pPr>
    </w:p>
    <w:bookmarkStart w:id="18" w:name="page19"/>
    <w:bookmarkEnd w:id="1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rPr>
              <w:t>Ecuador</w:t>
            </w:r>
          </w:p>
        </w:tc>
        <w:tc>
          <w:tcPr>
            <w:tcW w:w="3640" w:type="dxa"/>
            <w:vAlign w:val="bottom"/>
            <w:shd w:val="clear" w:color="auto" w:fill="CBCBCB"/>
          </w:tcPr>
          <w:p>
            <w:pPr>
              <w:jc w:val="center"/>
              <w:ind w:left="70"/>
              <w:spacing w:after="0"/>
              <w:rPr>
                <w:sz w:val="20"/>
                <w:szCs w:val="20"/>
                <w:color w:val="auto"/>
              </w:rPr>
            </w:pPr>
            <w:r>
              <w:rPr>
                <w:rFonts w:ascii="Arial" w:cs="Arial" w:eastAsia="Arial" w:hAnsi="Arial"/>
                <w:sz w:val="18"/>
                <w:szCs w:val="18"/>
                <w:color w:val="auto"/>
                <w:w w:val="99"/>
              </w:rPr>
              <w:t>Malta</w:t>
            </w:r>
          </w:p>
        </w:tc>
        <w:tc>
          <w:tcPr>
            <w:tcW w:w="3840" w:type="dxa"/>
            <w:vAlign w:val="bottom"/>
            <w:shd w:val="clear" w:color="auto" w:fill="CBCBCB"/>
          </w:tcPr>
          <w:p>
            <w:pPr>
              <w:jc w:val="center"/>
              <w:ind w:left="10"/>
              <w:spacing w:after="0"/>
              <w:rPr>
                <w:sz w:val="20"/>
                <w:szCs w:val="20"/>
                <w:color w:val="auto"/>
              </w:rPr>
            </w:pPr>
            <w:r>
              <w:rPr>
                <w:rFonts w:ascii="Arial" w:cs="Arial" w:eastAsia="Arial" w:hAnsi="Arial"/>
                <w:sz w:val="18"/>
                <w:szCs w:val="18"/>
                <w:color w:val="auto"/>
                <w:w w:val="99"/>
              </w:rPr>
              <w:t>Tunisia</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9"/>
              </w:rPr>
              <w:t>Egypt</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w w:val="99"/>
              </w:rPr>
              <w:t>Mauritania</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8"/>
              </w:rPr>
              <w:t>Turkey</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El Salvador</w:t>
            </w:r>
          </w:p>
        </w:tc>
        <w:tc>
          <w:tcPr>
            <w:tcW w:w="3640" w:type="dxa"/>
            <w:vAlign w:val="bottom"/>
            <w:shd w:val="clear" w:color="auto" w:fill="CBCBCB"/>
          </w:tcPr>
          <w:p>
            <w:pPr>
              <w:jc w:val="center"/>
              <w:ind w:left="70"/>
              <w:spacing w:after="0"/>
              <w:rPr>
                <w:sz w:val="20"/>
                <w:szCs w:val="20"/>
                <w:color w:val="auto"/>
              </w:rPr>
            </w:pPr>
            <w:r>
              <w:rPr>
                <w:rFonts w:ascii="Arial" w:cs="Arial" w:eastAsia="Arial" w:hAnsi="Arial"/>
                <w:sz w:val="18"/>
                <w:szCs w:val="18"/>
                <w:color w:val="auto"/>
                <w:w w:val="98"/>
              </w:rPr>
              <w:t>Mauritius</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rPr>
              <w:t>Uganda</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8"/>
              </w:rPr>
              <w:t>Eritrea</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w w:val="98"/>
              </w:rPr>
              <w:t>Mexico</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9"/>
              </w:rPr>
              <w:t>Ukraine</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Estonia</w:t>
            </w:r>
          </w:p>
        </w:tc>
        <w:tc>
          <w:tcPr>
            <w:tcW w:w="3640" w:type="dxa"/>
            <w:vAlign w:val="bottom"/>
            <w:shd w:val="clear" w:color="auto" w:fill="CBCBCB"/>
          </w:tcPr>
          <w:p>
            <w:pPr>
              <w:jc w:val="center"/>
              <w:ind w:left="70"/>
              <w:spacing w:after="0"/>
              <w:rPr>
                <w:sz w:val="20"/>
                <w:szCs w:val="20"/>
                <w:color w:val="auto"/>
              </w:rPr>
            </w:pPr>
            <w:r>
              <w:rPr>
                <w:rFonts w:ascii="Arial" w:cs="Arial" w:eastAsia="Arial" w:hAnsi="Arial"/>
                <w:sz w:val="18"/>
                <w:szCs w:val="18"/>
                <w:color w:val="auto"/>
                <w:w w:val="98"/>
              </w:rPr>
              <w:t>Mongolia</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rPr>
              <w:t>United Arab Emirates</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8"/>
              </w:rPr>
              <w:t>Ethiopia</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w w:val="98"/>
              </w:rPr>
              <w:t>Morocco</w:t>
            </w:r>
          </w:p>
        </w:tc>
        <w:tc>
          <w:tcPr>
            <w:tcW w:w="3840" w:type="dxa"/>
            <w:vAlign w:val="bottom"/>
          </w:tcPr>
          <w:p>
            <w:pPr>
              <w:jc w:val="center"/>
              <w:ind w:left="30"/>
              <w:spacing w:after="0"/>
              <w:rPr>
                <w:sz w:val="20"/>
                <w:szCs w:val="20"/>
                <w:color w:val="auto"/>
              </w:rPr>
            </w:pPr>
            <w:r>
              <w:rPr>
                <w:rFonts w:ascii="Arial" w:cs="Arial" w:eastAsia="Arial" w:hAnsi="Arial"/>
                <w:sz w:val="18"/>
                <w:szCs w:val="18"/>
                <w:color w:val="auto"/>
                <w:w w:val="99"/>
              </w:rPr>
              <w:t>United Kingdom</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rPr>
              <w:t>Fiji</w:t>
            </w:r>
          </w:p>
        </w:tc>
        <w:tc>
          <w:tcPr>
            <w:tcW w:w="3640" w:type="dxa"/>
            <w:vAlign w:val="bottom"/>
            <w:shd w:val="clear" w:color="auto" w:fill="CBCBCB"/>
          </w:tcPr>
          <w:p>
            <w:pPr>
              <w:jc w:val="center"/>
              <w:ind w:left="70"/>
              <w:spacing w:after="0"/>
              <w:rPr>
                <w:sz w:val="20"/>
                <w:szCs w:val="20"/>
                <w:color w:val="auto"/>
              </w:rPr>
            </w:pPr>
            <w:r>
              <w:rPr>
                <w:rFonts w:ascii="Arial" w:cs="Arial" w:eastAsia="Arial" w:hAnsi="Arial"/>
                <w:sz w:val="18"/>
                <w:szCs w:val="18"/>
                <w:color w:val="auto"/>
              </w:rPr>
              <w:t>Mozambique</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9"/>
              </w:rPr>
              <w:t>United States</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rPr>
              <w:t>Finland</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rPr>
              <w:t>Myanmar</w:t>
            </w:r>
          </w:p>
        </w:tc>
        <w:tc>
          <w:tcPr>
            <w:tcW w:w="3840" w:type="dxa"/>
            <w:vAlign w:val="bottom"/>
          </w:tcPr>
          <w:p>
            <w:pPr>
              <w:jc w:val="center"/>
              <w:ind w:left="30"/>
              <w:spacing w:after="0"/>
              <w:rPr>
                <w:sz w:val="20"/>
                <w:szCs w:val="20"/>
                <w:color w:val="auto"/>
              </w:rPr>
            </w:pPr>
            <w:r>
              <w:rPr>
                <w:rFonts w:ascii="Arial" w:cs="Arial" w:eastAsia="Arial" w:hAnsi="Arial"/>
                <w:sz w:val="18"/>
                <w:szCs w:val="18"/>
                <w:color w:val="auto"/>
                <w:w w:val="99"/>
              </w:rPr>
              <w:t>Uruguay</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France</w:t>
            </w:r>
          </w:p>
        </w:tc>
        <w:tc>
          <w:tcPr>
            <w:tcW w:w="3640" w:type="dxa"/>
            <w:vAlign w:val="bottom"/>
            <w:shd w:val="clear" w:color="auto" w:fill="CBCBCB"/>
          </w:tcPr>
          <w:p>
            <w:pPr>
              <w:jc w:val="center"/>
              <w:ind w:left="90"/>
              <w:spacing w:after="0"/>
              <w:rPr>
                <w:sz w:val="20"/>
                <w:szCs w:val="20"/>
                <w:color w:val="auto"/>
              </w:rPr>
            </w:pPr>
            <w:r>
              <w:rPr>
                <w:rFonts w:ascii="Arial" w:cs="Arial" w:eastAsia="Arial" w:hAnsi="Arial"/>
                <w:sz w:val="18"/>
                <w:szCs w:val="18"/>
                <w:color w:val="auto"/>
                <w:w w:val="99"/>
              </w:rPr>
              <w:t>Namibia</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8"/>
              </w:rPr>
              <w:t>Uzbekistan</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Gabon</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w w:val="98"/>
              </w:rPr>
              <w:t>Netherlands</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7"/>
              </w:rPr>
              <w:t>Vatican City</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Gambia, The</w:t>
            </w:r>
          </w:p>
        </w:tc>
        <w:tc>
          <w:tcPr>
            <w:tcW w:w="3640" w:type="dxa"/>
            <w:vAlign w:val="bottom"/>
            <w:shd w:val="clear" w:color="auto" w:fill="CBCBCB"/>
          </w:tcPr>
          <w:p>
            <w:pPr>
              <w:jc w:val="center"/>
              <w:ind w:left="90"/>
              <w:spacing w:after="0"/>
              <w:rPr>
                <w:sz w:val="20"/>
                <w:szCs w:val="20"/>
                <w:color w:val="auto"/>
              </w:rPr>
            </w:pPr>
            <w:r>
              <w:rPr>
                <w:rFonts w:ascii="Arial" w:cs="Arial" w:eastAsia="Arial" w:hAnsi="Arial"/>
                <w:sz w:val="18"/>
                <w:szCs w:val="18"/>
                <w:color w:val="auto"/>
                <w:w w:val="99"/>
              </w:rPr>
              <w:t>New Caledonia</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8"/>
              </w:rPr>
              <w:t>Venezuela</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3640" w:type="dxa"/>
            <w:vAlign w:val="bottom"/>
          </w:tcPr>
          <w:p>
            <w:pPr>
              <w:jc w:val="center"/>
              <w:ind w:left="90"/>
              <w:spacing w:after="0"/>
              <w:rPr>
                <w:sz w:val="20"/>
                <w:szCs w:val="20"/>
                <w:color w:val="auto"/>
              </w:rPr>
            </w:pPr>
            <w:r>
              <w:rPr>
                <w:rFonts w:ascii="Arial" w:cs="Arial" w:eastAsia="Arial" w:hAnsi="Arial"/>
                <w:sz w:val="18"/>
                <w:szCs w:val="18"/>
                <w:color w:val="auto"/>
                <w:w w:val="99"/>
              </w:rPr>
              <w:t>New Zealand</w:t>
            </w:r>
          </w:p>
        </w:tc>
        <w:tc>
          <w:tcPr>
            <w:tcW w:w="3840" w:type="dxa"/>
            <w:vAlign w:val="bottom"/>
          </w:tcPr>
          <w:p>
            <w:pPr>
              <w:jc w:val="center"/>
              <w:ind w:left="10"/>
              <w:spacing w:after="0"/>
              <w:rPr>
                <w:sz w:val="20"/>
                <w:szCs w:val="20"/>
                <w:color w:val="auto"/>
              </w:rPr>
            </w:pPr>
            <w:r>
              <w:rPr>
                <w:rFonts w:ascii="Arial" w:cs="Arial" w:eastAsia="Arial" w:hAnsi="Arial"/>
                <w:sz w:val="18"/>
                <w:szCs w:val="18"/>
                <w:color w:val="auto"/>
                <w:w w:val="99"/>
              </w:rPr>
              <w:t>Vietnam</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Germany</w:t>
            </w:r>
          </w:p>
        </w:tc>
        <w:tc>
          <w:tcPr>
            <w:tcW w:w="3640" w:type="dxa"/>
            <w:vAlign w:val="bottom"/>
            <w:shd w:val="clear" w:color="auto" w:fill="CBCBCB"/>
          </w:tcPr>
          <w:p>
            <w:pPr>
              <w:jc w:val="center"/>
              <w:ind w:left="90"/>
              <w:spacing w:after="0"/>
              <w:rPr>
                <w:sz w:val="20"/>
                <w:szCs w:val="20"/>
                <w:color w:val="auto"/>
              </w:rPr>
            </w:pPr>
            <w:r>
              <w:rPr>
                <w:rFonts w:ascii="Arial" w:cs="Arial" w:eastAsia="Arial" w:hAnsi="Arial"/>
                <w:sz w:val="18"/>
                <w:szCs w:val="18"/>
                <w:color w:val="auto"/>
                <w:w w:val="99"/>
              </w:rPr>
              <w:t>Nicaragua</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w w:val="98"/>
              </w:rPr>
              <w:t>Yemen</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Ghana</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rPr>
              <w:t>Niger</w:t>
            </w:r>
          </w:p>
        </w:tc>
        <w:tc>
          <w:tcPr>
            <w:tcW w:w="3840" w:type="dxa"/>
            <w:vAlign w:val="bottom"/>
          </w:tcPr>
          <w:p>
            <w:pPr>
              <w:jc w:val="center"/>
              <w:ind w:left="30"/>
              <w:spacing w:after="0"/>
              <w:rPr>
                <w:sz w:val="20"/>
                <w:szCs w:val="20"/>
                <w:color w:val="auto"/>
              </w:rPr>
            </w:pPr>
            <w:r>
              <w:rPr>
                <w:rFonts w:ascii="Arial" w:cs="Arial" w:eastAsia="Arial" w:hAnsi="Arial"/>
                <w:sz w:val="18"/>
                <w:szCs w:val="18"/>
                <w:color w:val="auto"/>
                <w:w w:val="99"/>
              </w:rPr>
              <w:t>Zambia</w:t>
            </w: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rPr>
              <w:t>Greece</w:t>
            </w:r>
          </w:p>
        </w:tc>
        <w:tc>
          <w:tcPr>
            <w:tcW w:w="3640" w:type="dxa"/>
            <w:vAlign w:val="bottom"/>
            <w:shd w:val="clear" w:color="auto" w:fill="CBCBCB"/>
          </w:tcPr>
          <w:p>
            <w:pPr>
              <w:jc w:val="center"/>
              <w:ind w:left="70"/>
              <w:spacing w:after="0"/>
              <w:rPr>
                <w:sz w:val="20"/>
                <w:szCs w:val="20"/>
                <w:color w:val="auto"/>
              </w:rPr>
            </w:pPr>
            <w:r>
              <w:rPr>
                <w:rFonts w:ascii="Arial" w:cs="Arial" w:eastAsia="Arial" w:hAnsi="Arial"/>
                <w:sz w:val="18"/>
                <w:szCs w:val="18"/>
                <w:color w:val="auto"/>
                <w:w w:val="98"/>
              </w:rPr>
              <w:t>Nigeria</w:t>
            </w:r>
          </w:p>
        </w:tc>
        <w:tc>
          <w:tcPr>
            <w:tcW w:w="3840" w:type="dxa"/>
            <w:vAlign w:val="bottom"/>
            <w:shd w:val="clear" w:color="auto" w:fill="CBCBCB"/>
          </w:tcPr>
          <w:p>
            <w:pPr>
              <w:jc w:val="center"/>
              <w:ind w:left="30"/>
              <w:spacing w:after="0"/>
              <w:rPr>
                <w:sz w:val="20"/>
                <w:szCs w:val="20"/>
                <w:color w:val="auto"/>
              </w:rPr>
            </w:pPr>
            <w:r>
              <w:rPr>
                <w:rFonts w:ascii="Arial" w:cs="Arial" w:eastAsia="Arial" w:hAnsi="Arial"/>
                <w:sz w:val="18"/>
                <w:szCs w:val="18"/>
                <w:color w:val="auto"/>
              </w:rPr>
              <w:t>Zimbabwe</w:t>
            </w:r>
          </w:p>
        </w:tc>
      </w:tr>
      <w:tr>
        <w:trPr>
          <w:trHeight w:val="250"/>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Guatemala</w:t>
            </w:r>
          </w:p>
        </w:tc>
        <w:tc>
          <w:tcPr>
            <w:tcW w:w="3640" w:type="dxa"/>
            <w:vAlign w:val="bottom"/>
          </w:tcPr>
          <w:p>
            <w:pPr>
              <w:jc w:val="center"/>
              <w:ind w:left="70"/>
              <w:spacing w:after="0"/>
              <w:rPr>
                <w:sz w:val="20"/>
                <w:szCs w:val="20"/>
                <w:color w:val="auto"/>
              </w:rPr>
            </w:pPr>
            <w:r>
              <w:rPr>
                <w:rFonts w:ascii="Arial" w:cs="Arial" w:eastAsia="Arial" w:hAnsi="Arial"/>
                <w:sz w:val="18"/>
                <w:szCs w:val="18"/>
                <w:color w:val="auto"/>
                <w:w w:val="98"/>
              </w:rPr>
              <w:t>Norway</w:t>
            </w:r>
          </w:p>
        </w:tc>
        <w:tc>
          <w:tcPr>
            <w:tcW w:w="3840" w:type="dxa"/>
            <w:vAlign w:val="bottom"/>
          </w:tcPr>
          <w:p>
            <w:pPr>
              <w:spacing w:after="0"/>
              <w:rPr>
                <w:sz w:val="21"/>
                <w:szCs w:val="21"/>
                <w:color w:val="auto"/>
              </w:rPr>
            </w:pPr>
          </w:p>
        </w:tc>
      </w:tr>
      <w:tr>
        <w:trPr>
          <w:trHeight w:val="263"/>
        </w:trPr>
        <w:tc>
          <w:tcPr>
            <w:tcW w:w="370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Guinea</w:t>
            </w:r>
          </w:p>
        </w:tc>
        <w:tc>
          <w:tcPr>
            <w:tcW w:w="3640" w:type="dxa"/>
            <w:vAlign w:val="bottom"/>
            <w:shd w:val="clear" w:color="auto" w:fill="CBCBCB"/>
          </w:tcPr>
          <w:p>
            <w:pPr>
              <w:jc w:val="center"/>
              <w:ind w:left="70"/>
              <w:spacing w:after="0"/>
              <w:rPr>
                <w:sz w:val="20"/>
                <w:szCs w:val="20"/>
                <w:color w:val="auto"/>
              </w:rPr>
            </w:pPr>
            <w:r>
              <w:rPr>
                <w:rFonts w:ascii="Arial" w:cs="Arial" w:eastAsia="Arial" w:hAnsi="Arial"/>
                <w:sz w:val="18"/>
                <w:szCs w:val="18"/>
                <w:color w:val="auto"/>
                <w:w w:val="98"/>
              </w:rPr>
              <w:t>Pakistan</w:t>
            </w:r>
          </w:p>
        </w:tc>
        <w:tc>
          <w:tcPr>
            <w:tcW w:w="3840" w:type="dxa"/>
            <w:vAlign w:val="bottom"/>
            <w:shd w:val="clear" w:color="auto" w:fill="CBCBCB"/>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6"/>
      <w:numFmt w:val="bullet"/>
      <w:start w:val="1"/>
    </w:lvl>
  </w:abstractNum>
  <w:abstractNum w:abstractNumId="7">
    <w:nsid w:val="5BD062C2"/>
    <w:multiLevelType w:val="hybridMultilevel"/>
    <w:lvl w:ilvl="0">
      <w:lvlJc w:val="left"/>
      <w:lvlText w:val="7"/>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2020-05-28T16:44:13Z</dcterms:created>
  <dcterms:modified xsi:type="dcterms:W3CDTF">2020-05-28T16:44:13Z</dcterms:modified>
</cp:coreProperties>
</file>