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MEHROTRA SANJAY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MICRON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838" w:orient="portrait"/>
          <w:cols w:equalWidth="0" w:num="3">
            <w:col w:w="3200" w:space="720"/>
            <w:col w:w="3360" w:space="455"/>
            <w:col w:w="3345"/>
          </w:cols>
          <w:pgMar w:left="460" w:top="219" w:right="359" w:bottom="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4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40" w:type="dxa"/>
            <w:vAlign w:val="bottom"/>
            <w:gridSpan w:val="7"/>
            <w:vMerge w:val="continue"/>
          </w:tcPr>
          <w:p>
            <w:pPr>
              <w:spacing w:after="0"/>
              <w:rPr>
                <w:sz w:val="10"/>
                <w:szCs w:val="10"/>
                <w:color w:val="auto"/>
              </w:rPr>
            </w:pPr>
          </w:p>
        </w:tc>
        <w:tc>
          <w:tcPr>
            <w:tcW w:w="34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820" w:type="dxa"/>
            <w:vAlign w:val="bottom"/>
          </w:tcPr>
          <w:p>
            <w:pPr>
              <w:ind w:left="600"/>
              <w:spacing w:after="0"/>
              <w:rPr>
                <w:sz w:val="20"/>
                <w:szCs w:val="20"/>
                <w:color w:val="auto"/>
              </w:rPr>
            </w:pPr>
            <w:r>
              <w:rPr>
                <w:rFonts w:ascii="Times New Roman" w:cs="Times New Roman" w:eastAsia="Times New Roman" w:hAnsi="Times New Roman"/>
                <w:sz w:val="17"/>
                <w:szCs w:val="17"/>
                <w:color w:val="0000FF"/>
              </w:rPr>
              <w:t>ID</w:t>
            </w:r>
          </w:p>
        </w:tc>
        <w:tc>
          <w:tcPr>
            <w:tcW w:w="86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83716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60" w:type="dxa"/>
            <w:vAlign w:val="bottom"/>
            <w:gridSpan w:val="2"/>
            <w:vMerge w:val="restart"/>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7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0" w:type="dxa"/>
            <w:vAlign w:val="bottom"/>
            <w:gridSpan w:val="3"/>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5"/>
          </w:tcPr>
          <w:p>
            <w:pPr>
              <w:jc w:val="center"/>
              <w:ind w:right="20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180" w:type="dxa"/>
            <w:vAlign w:val="bottom"/>
            <w:gridSpan w:val="4"/>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ind w:left="1"/>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06/26/2026</w:t>
            </w: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496</w:t>
            </w:r>
          </w:p>
        </w:tc>
        <w:tc>
          <w:tcPr>
            <w:tcW w:w="5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1,170.6</w:t>
            </w:r>
            <w:r>
              <w:rPr>
                <w:rFonts w:ascii="Times New Roman" w:cs="Times New Roman" w:eastAsia="Times New Roman" w:hAnsi="Times New Roman"/>
                <w:sz w:val="22"/>
                <w:szCs w:val="22"/>
                <w:color w:val="008000"/>
                <w:w w:val="95"/>
                <w:vertAlign w:val="superscript"/>
              </w:rPr>
              <w:t>(2)</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355,501</w:t>
            </w:r>
          </w:p>
        </w:tc>
        <w:tc>
          <w:tcPr>
            <w:tcW w:w="900" w:type="dxa"/>
            <w:vAlign w:val="bottom"/>
            <w:tcBorders>
              <w:bottom w:val="single" w:sz="8" w:color="2C2C2C"/>
            </w:tcBorders>
          </w:tcPr>
          <w:p>
            <w:pPr>
              <w:jc w:val="center"/>
              <w:ind w:right="22"/>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06/26/2026</w:t>
            </w: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857</w:t>
            </w:r>
          </w:p>
        </w:tc>
        <w:tc>
          <w:tcPr>
            <w:tcW w:w="5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1,172.57</w:t>
            </w:r>
            <w:r>
              <w:rPr>
                <w:rFonts w:ascii="Times New Roman" w:cs="Times New Roman" w:eastAsia="Times New Roman" w:hAnsi="Times New Roman"/>
                <w:sz w:val="22"/>
                <w:szCs w:val="22"/>
                <w:color w:val="008000"/>
                <w:w w:val="95"/>
                <w:vertAlign w:val="superscript"/>
              </w:rPr>
              <w:t>(3)</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354,644</w:t>
            </w:r>
          </w:p>
        </w:tc>
        <w:tc>
          <w:tcPr>
            <w:tcW w:w="900" w:type="dxa"/>
            <w:vAlign w:val="bottom"/>
            <w:tcBorders>
              <w:bottom w:val="single" w:sz="8" w:color="2C2C2C"/>
            </w:tcBorders>
          </w:tcPr>
          <w:p>
            <w:pPr>
              <w:jc w:val="center"/>
              <w:ind w:right="22"/>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06/26/2026</w:t>
            </w: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243</w:t>
            </w:r>
          </w:p>
        </w:tc>
        <w:tc>
          <w:tcPr>
            <w:tcW w:w="5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1,173.83</w:t>
            </w:r>
            <w:r>
              <w:rPr>
                <w:rFonts w:ascii="Times New Roman" w:cs="Times New Roman" w:eastAsia="Times New Roman" w:hAnsi="Times New Roman"/>
                <w:sz w:val="22"/>
                <w:szCs w:val="22"/>
                <w:color w:val="008000"/>
                <w:w w:val="95"/>
                <w:vertAlign w:val="superscript"/>
              </w:rPr>
              <w:t>(4)</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354,401</w:t>
            </w:r>
          </w:p>
        </w:tc>
        <w:tc>
          <w:tcPr>
            <w:tcW w:w="900" w:type="dxa"/>
            <w:vAlign w:val="bottom"/>
            <w:tcBorders>
              <w:bottom w:val="single" w:sz="8" w:color="2C2C2C"/>
            </w:tcBorders>
          </w:tcPr>
          <w:p>
            <w:pPr>
              <w:jc w:val="center"/>
              <w:ind w:right="22"/>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06/26/2026</w:t>
            </w: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489</w:t>
            </w:r>
          </w:p>
        </w:tc>
        <w:tc>
          <w:tcPr>
            <w:tcW w:w="5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1,175.17</w:t>
            </w:r>
            <w:r>
              <w:rPr>
                <w:rFonts w:ascii="Times New Roman" w:cs="Times New Roman" w:eastAsia="Times New Roman" w:hAnsi="Times New Roman"/>
                <w:sz w:val="22"/>
                <w:szCs w:val="22"/>
                <w:color w:val="008000"/>
                <w:w w:val="95"/>
                <w:vertAlign w:val="superscript"/>
              </w:rPr>
              <w:t>(5)</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353,912</w:t>
            </w:r>
          </w:p>
        </w:tc>
        <w:tc>
          <w:tcPr>
            <w:tcW w:w="900" w:type="dxa"/>
            <w:vAlign w:val="bottom"/>
            <w:tcBorders>
              <w:bottom w:val="single" w:sz="8" w:color="2C2C2C"/>
            </w:tcBorders>
          </w:tcPr>
          <w:p>
            <w:pPr>
              <w:jc w:val="center"/>
              <w:ind w:right="22"/>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06/26/2026</w:t>
            </w: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1,327</w:t>
            </w:r>
          </w:p>
        </w:tc>
        <w:tc>
          <w:tcPr>
            <w:tcW w:w="5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1,177.28</w:t>
            </w:r>
            <w:r>
              <w:rPr>
                <w:rFonts w:ascii="Times New Roman" w:cs="Times New Roman" w:eastAsia="Times New Roman" w:hAnsi="Times New Roman"/>
                <w:sz w:val="22"/>
                <w:szCs w:val="22"/>
                <w:color w:val="008000"/>
                <w:w w:val="95"/>
                <w:vertAlign w:val="superscript"/>
              </w:rPr>
              <w:t>(6)</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352,585</w:t>
            </w:r>
          </w:p>
        </w:tc>
        <w:tc>
          <w:tcPr>
            <w:tcW w:w="900" w:type="dxa"/>
            <w:vAlign w:val="bottom"/>
            <w:tcBorders>
              <w:bottom w:val="single" w:sz="8" w:color="2C2C2C"/>
            </w:tcBorders>
          </w:tcPr>
          <w:p>
            <w:pPr>
              <w:jc w:val="center"/>
              <w:ind w:right="22"/>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06/26/2026</w:t>
            </w: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1,087</w:t>
            </w:r>
          </w:p>
        </w:tc>
        <w:tc>
          <w:tcPr>
            <w:tcW w:w="5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1,178.06</w:t>
            </w:r>
            <w:r>
              <w:rPr>
                <w:rFonts w:ascii="Times New Roman" w:cs="Times New Roman" w:eastAsia="Times New Roman" w:hAnsi="Times New Roman"/>
                <w:sz w:val="22"/>
                <w:szCs w:val="22"/>
                <w:color w:val="008000"/>
                <w:w w:val="95"/>
                <w:vertAlign w:val="superscript"/>
              </w:rPr>
              <w:t>(7)</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351,498</w:t>
            </w:r>
          </w:p>
        </w:tc>
        <w:tc>
          <w:tcPr>
            <w:tcW w:w="900" w:type="dxa"/>
            <w:vAlign w:val="bottom"/>
            <w:tcBorders>
              <w:bottom w:val="single" w:sz="8" w:color="2C2C2C"/>
            </w:tcBorders>
          </w:tcPr>
          <w:p>
            <w:pPr>
              <w:jc w:val="center"/>
              <w:ind w:right="22"/>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06/26/2026</w:t>
            </w: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680</w:t>
            </w:r>
          </w:p>
        </w:tc>
        <w:tc>
          <w:tcPr>
            <w:tcW w:w="5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1,179.51</w:t>
            </w:r>
            <w:r>
              <w:rPr>
                <w:rFonts w:ascii="Times New Roman" w:cs="Times New Roman" w:eastAsia="Times New Roman" w:hAnsi="Times New Roman"/>
                <w:sz w:val="22"/>
                <w:szCs w:val="22"/>
                <w:color w:val="008000"/>
                <w:w w:val="95"/>
                <w:vertAlign w:val="superscript"/>
              </w:rPr>
              <w:t>(8)</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350,818</w:t>
            </w:r>
          </w:p>
        </w:tc>
        <w:tc>
          <w:tcPr>
            <w:tcW w:w="900" w:type="dxa"/>
            <w:vAlign w:val="bottom"/>
            <w:tcBorders>
              <w:bottom w:val="single" w:sz="8" w:color="2C2C2C"/>
            </w:tcBorders>
          </w:tcPr>
          <w:p>
            <w:pPr>
              <w:jc w:val="center"/>
              <w:ind w:right="22"/>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06/26/2026</w:t>
            </w: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1,239</w:t>
            </w:r>
          </w:p>
        </w:tc>
        <w:tc>
          <w:tcPr>
            <w:tcW w:w="5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1,180.17</w:t>
            </w:r>
            <w:r>
              <w:rPr>
                <w:rFonts w:ascii="Times New Roman" w:cs="Times New Roman" w:eastAsia="Times New Roman" w:hAnsi="Times New Roman"/>
                <w:sz w:val="22"/>
                <w:szCs w:val="22"/>
                <w:color w:val="008000"/>
                <w:w w:val="95"/>
                <w:vertAlign w:val="superscript"/>
              </w:rPr>
              <w:t>(9)</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349,579</w:t>
            </w:r>
          </w:p>
        </w:tc>
        <w:tc>
          <w:tcPr>
            <w:tcW w:w="900" w:type="dxa"/>
            <w:vAlign w:val="bottom"/>
            <w:tcBorders>
              <w:bottom w:val="single" w:sz="8" w:color="2C2C2C"/>
            </w:tcBorders>
          </w:tcPr>
          <w:p>
            <w:pPr>
              <w:jc w:val="center"/>
              <w:ind w:right="22"/>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06/26/2026</w:t>
            </w: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209</w:t>
            </w:r>
          </w:p>
        </w:tc>
        <w:tc>
          <w:tcPr>
            <w:tcW w:w="5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1,181.2</w:t>
            </w:r>
            <w:r>
              <w:rPr>
                <w:rFonts w:ascii="Times New Roman" w:cs="Times New Roman" w:eastAsia="Times New Roman" w:hAnsi="Times New Roman"/>
                <w:sz w:val="22"/>
                <w:szCs w:val="22"/>
                <w:color w:val="008000"/>
                <w:w w:val="94"/>
                <w:vertAlign w:val="superscript"/>
              </w:rPr>
              <w:t>(10)</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349,370</w:t>
            </w:r>
          </w:p>
        </w:tc>
        <w:tc>
          <w:tcPr>
            <w:tcW w:w="900" w:type="dxa"/>
            <w:vAlign w:val="bottom"/>
            <w:tcBorders>
              <w:bottom w:val="single" w:sz="8" w:color="2C2C2C"/>
            </w:tcBorders>
          </w:tcPr>
          <w:p>
            <w:pPr>
              <w:jc w:val="center"/>
              <w:ind w:right="22"/>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06/26/2026</w:t>
            </w: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1,496</w:t>
            </w:r>
          </w:p>
        </w:tc>
        <w:tc>
          <w:tcPr>
            <w:tcW w:w="5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1,182.29</w:t>
            </w:r>
            <w:r>
              <w:rPr>
                <w:rFonts w:ascii="Times New Roman" w:cs="Times New Roman" w:eastAsia="Times New Roman" w:hAnsi="Times New Roman"/>
                <w:sz w:val="22"/>
                <w:szCs w:val="22"/>
                <w:color w:val="008000"/>
                <w:w w:val="96"/>
                <w:vertAlign w:val="superscript"/>
              </w:rPr>
              <w:t>(11)</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347,874</w:t>
            </w:r>
          </w:p>
        </w:tc>
        <w:tc>
          <w:tcPr>
            <w:tcW w:w="900" w:type="dxa"/>
            <w:vAlign w:val="bottom"/>
            <w:tcBorders>
              <w:bottom w:val="single" w:sz="8" w:color="2C2C2C"/>
            </w:tcBorders>
          </w:tcPr>
          <w:p>
            <w:pPr>
              <w:jc w:val="center"/>
              <w:ind w:right="22"/>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06/26/2026</w:t>
            </w: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514</w:t>
            </w:r>
          </w:p>
        </w:tc>
        <w:tc>
          <w:tcPr>
            <w:tcW w:w="5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1,183.74</w:t>
            </w:r>
            <w:r>
              <w:rPr>
                <w:rFonts w:ascii="Times New Roman" w:cs="Times New Roman" w:eastAsia="Times New Roman" w:hAnsi="Times New Roman"/>
                <w:sz w:val="22"/>
                <w:szCs w:val="22"/>
                <w:color w:val="008000"/>
                <w:w w:val="96"/>
                <w:vertAlign w:val="superscript"/>
              </w:rPr>
              <w:t>(12)</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347,360</w:t>
            </w:r>
          </w:p>
        </w:tc>
        <w:tc>
          <w:tcPr>
            <w:tcW w:w="900" w:type="dxa"/>
            <w:vAlign w:val="bottom"/>
            <w:tcBorders>
              <w:bottom w:val="single" w:sz="8" w:color="2C2C2C"/>
            </w:tcBorders>
          </w:tcPr>
          <w:p>
            <w:pPr>
              <w:jc w:val="center"/>
              <w:ind w:right="22"/>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06/26/2026</w:t>
            </w: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251</w:t>
            </w:r>
          </w:p>
        </w:tc>
        <w:tc>
          <w:tcPr>
            <w:tcW w:w="5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1,184.61</w:t>
            </w:r>
            <w:r>
              <w:rPr>
                <w:rFonts w:ascii="Times New Roman" w:cs="Times New Roman" w:eastAsia="Times New Roman" w:hAnsi="Times New Roman"/>
                <w:sz w:val="22"/>
                <w:szCs w:val="22"/>
                <w:color w:val="008000"/>
                <w:w w:val="96"/>
                <w:vertAlign w:val="superscript"/>
              </w:rPr>
              <w:t>(13)</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347,109</w:t>
            </w:r>
          </w:p>
        </w:tc>
        <w:tc>
          <w:tcPr>
            <w:tcW w:w="900" w:type="dxa"/>
            <w:vAlign w:val="bottom"/>
            <w:tcBorders>
              <w:bottom w:val="single" w:sz="8" w:color="2C2C2C"/>
            </w:tcBorders>
          </w:tcPr>
          <w:p>
            <w:pPr>
              <w:jc w:val="center"/>
              <w:ind w:right="22"/>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06/26/2026</w:t>
            </w: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204</w:t>
            </w:r>
          </w:p>
        </w:tc>
        <w:tc>
          <w:tcPr>
            <w:tcW w:w="5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1,185.35</w:t>
            </w:r>
            <w:r>
              <w:rPr>
                <w:rFonts w:ascii="Times New Roman" w:cs="Times New Roman" w:eastAsia="Times New Roman" w:hAnsi="Times New Roman"/>
                <w:sz w:val="22"/>
                <w:szCs w:val="22"/>
                <w:color w:val="008000"/>
                <w:w w:val="96"/>
                <w:vertAlign w:val="superscript"/>
              </w:rPr>
              <w:t>(14)</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346,905</w:t>
            </w:r>
          </w:p>
        </w:tc>
        <w:tc>
          <w:tcPr>
            <w:tcW w:w="900" w:type="dxa"/>
            <w:vAlign w:val="bottom"/>
            <w:tcBorders>
              <w:bottom w:val="single" w:sz="8" w:color="2C2C2C"/>
            </w:tcBorders>
          </w:tcPr>
          <w:p>
            <w:pPr>
              <w:jc w:val="center"/>
              <w:ind w:right="22"/>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06/26/2026</w:t>
            </w: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678</w:t>
            </w:r>
          </w:p>
        </w:tc>
        <w:tc>
          <w:tcPr>
            <w:tcW w:w="5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1,186.62</w:t>
            </w:r>
            <w:r>
              <w:rPr>
                <w:rFonts w:ascii="Times New Roman" w:cs="Times New Roman" w:eastAsia="Times New Roman" w:hAnsi="Times New Roman"/>
                <w:sz w:val="22"/>
                <w:szCs w:val="22"/>
                <w:color w:val="008000"/>
                <w:w w:val="96"/>
                <w:vertAlign w:val="superscript"/>
              </w:rPr>
              <w:t>(15)</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346,227</w:t>
            </w:r>
          </w:p>
        </w:tc>
        <w:tc>
          <w:tcPr>
            <w:tcW w:w="900" w:type="dxa"/>
            <w:vAlign w:val="bottom"/>
            <w:tcBorders>
              <w:bottom w:val="single" w:sz="8" w:color="2C2C2C"/>
            </w:tcBorders>
          </w:tcPr>
          <w:p>
            <w:pPr>
              <w:jc w:val="center"/>
              <w:ind w:right="22"/>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06/26/2026</w:t>
            </w: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153</w:t>
            </w:r>
          </w:p>
        </w:tc>
        <w:tc>
          <w:tcPr>
            <w:tcW w:w="5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1,187.92</w:t>
            </w:r>
            <w:r>
              <w:rPr>
                <w:rFonts w:ascii="Times New Roman" w:cs="Times New Roman" w:eastAsia="Times New Roman" w:hAnsi="Times New Roman"/>
                <w:sz w:val="22"/>
                <w:szCs w:val="22"/>
                <w:color w:val="008000"/>
                <w:w w:val="96"/>
                <w:vertAlign w:val="superscript"/>
              </w:rPr>
              <w:t>(16)</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346,074</w:t>
            </w:r>
          </w:p>
        </w:tc>
        <w:tc>
          <w:tcPr>
            <w:tcW w:w="900" w:type="dxa"/>
            <w:vAlign w:val="bottom"/>
            <w:tcBorders>
              <w:bottom w:val="single" w:sz="8" w:color="2C2C2C"/>
            </w:tcBorders>
          </w:tcPr>
          <w:p>
            <w:pPr>
              <w:jc w:val="center"/>
              <w:ind w:right="22"/>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06/26/2026</w:t>
            </w: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264</w:t>
            </w:r>
          </w:p>
        </w:tc>
        <w:tc>
          <w:tcPr>
            <w:tcW w:w="5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1,189.71</w:t>
            </w:r>
            <w:r>
              <w:rPr>
                <w:rFonts w:ascii="Times New Roman" w:cs="Times New Roman" w:eastAsia="Times New Roman" w:hAnsi="Times New Roman"/>
                <w:sz w:val="22"/>
                <w:szCs w:val="22"/>
                <w:color w:val="008000"/>
                <w:w w:val="96"/>
                <w:vertAlign w:val="superscript"/>
              </w:rPr>
              <w:t>(17)</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345,810</w:t>
            </w:r>
          </w:p>
        </w:tc>
        <w:tc>
          <w:tcPr>
            <w:tcW w:w="900" w:type="dxa"/>
            <w:vAlign w:val="bottom"/>
            <w:tcBorders>
              <w:bottom w:val="single" w:sz="8" w:color="2C2C2C"/>
            </w:tcBorders>
          </w:tcPr>
          <w:p>
            <w:pPr>
              <w:jc w:val="center"/>
              <w:ind w:right="22"/>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06/26/2026</w:t>
            </w: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214</w:t>
            </w:r>
          </w:p>
        </w:tc>
        <w:tc>
          <w:tcPr>
            <w:tcW w:w="5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1,190.59</w:t>
            </w:r>
            <w:r>
              <w:rPr>
                <w:rFonts w:ascii="Times New Roman" w:cs="Times New Roman" w:eastAsia="Times New Roman" w:hAnsi="Times New Roman"/>
                <w:sz w:val="22"/>
                <w:szCs w:val="22"/>
                <w:color w:val="008000"/>
                <w:w w:val="96"/>
                <w:vertAlign w:val="superscript"/>
              </w:rPr>
              <w:t>(18)</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345,596</w:t>
            </w:r>
          </w:p>
        </w:tc>
        <w:tc>
          <w:tcPr>
            <w:tcW w:w="900" w:type="dxa"/>
            <w:vAlign w:val="bottom"/>
            <w:tcBorders>
              <w:bottom w:val="single" w:sz="8" w:color="2C2C2C"/>
            </w:tcBorders>
          </w:tcPr>
          <w:p>
            <w:pPr>
              <w:jc w:val="center"/>
              <w:ind w:right="22"/>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06/26/2026</w:t>
            </w: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282</w:t>
            </w:r>
          </w:p>
        </w:tc>
        <w:tc>
          <w:tcPr>
            <w:tcW w:w="5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1,191.84</w:t>
            </w:r>
            <w:r>
              <w:rPr>
                <w:rFonts w:ascii="Times New Roman" w:cs="Times New Roman" w:eastAsia="Times New Roman" w:hAnsi="Times New Roman"/>
                <w:sz w:val="22"/>
                <w:szCs w:val="22"/>
                <w:color w:val="008000"/>
                <w:w w:val="96"/>
                <w:vertAlign w:val="superscript"/>
              </w:rPr>
              <w:t>(19)</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345,314</w:t>
            </w:r>
          </w:p>
        </w:tc>
        <w:tc>
          <w:tcPr>
            <w:tcW w:w="900" w:type="dxa"/>
            <w:vAlign w:val="bottom"/>
            <w:tcBorders>
              <w:bottom w:val="single" w:sz="8" w:color="2C2C2C"/>
            </w:tcBorders>
          </w:tcPr>
          <w:p>
            <w:pPr>
              <w:jc w:val="center"/>
              <w:ind w:right="22"/>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06/26/2026</w:t>
            </w: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811</w:t>
            </w:r>
          </w:p>
        </w:tc>
        <w:tc>
          <w:tcPr>
            <w:tcW w:w="5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1,192.42</w:t>
            </w:r>
            <w:r>
              <w:rPr>
                <w:rFonts w:ascii="Times New Roman" w:cs="Times New Roman" w:eastAsia="Times New Roman" w:hAnsi="Times New Roman"/>
                <w:sz w:val="22"/>
                <w:szCs w:val="22"/>
                <w:color w:val="008000"/>
                <w:w w:val="96"/>
                <w:vertAlign w:val="superscript"/>
              </w:rPr>
              <w:t>(20)</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344,503</w:t>
            </w:r>
          </w:p>
        </w:tc>
        <w:tc>
          <w:tcPr>
            <w:tcW w:w="900" w:type="dxa"/>
            <w:vAlign w:val="bottom"/>
            <w:tcBorders>
              <w:bottom w:val="single" w:sz="8" w:color="2C2C2C"/>
            </w:tcBorders>
          </w:tcPr>
          <w:p>
            <w:pPr>
              <w:jc w:val="center"/>
              <w:ind w:right="22"/>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607,075</w:t>
            </w:r>
          </w:p>
        </w:tc>
        <w:tc>
          <w:tcPr>
            <w:tcW w:w="900" w:type="dxa"/>
            <w:vAlign w:val="bottom"/>
          </w:tcPr>
          <w:p>
            <w:pPr>
              <w:jc w:val="center"/>
              <w:ind w:right="42"/>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(21)</w:t>
            </w: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jc w:val="right"/>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7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2320" w:type="dxa"/>
            <w:vAlign w:val="bottom"/>
            <w:tcBorders>
              <w:bottom w:val="single" w:sz="8" w:color="2C2C2C"/>
            </w:tcBorders>
            <w:gridSpan w:val="4"/>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232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   7. Title and</w:t>
            </w:r>
          </w:p>
        </w:tc>
        <w:tc>
          <w:tcPr>
            <w:tcW w:w="20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0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60" w:type="dxa"/>
            <w:vAlign w:val="bottom"/>
            <w:gridSpan w:val="4"/>
          </w:tcPr>
          <w:p>
            <w:pPr>
              <w:ind w:left="340"/>
              <w:spacing w:after="0" w:line="133" w:lineRule="exact"/>
              <w:rPr>
                <w:sz w:val="20"/>
                <w:szCs w:val="20"/>
                <w:color w:val="auto"/>
              </w:rPr>
            </w:pPr>
            <w:r>
              <w:rPr>
                <w:rFonts w:ascii="Arial" w:cs="Arial" w:eastAsia="Arial" w:hAnsi="Arial"/>
                <w:sz w:val="12"/>
                <w:szCs w:val="12"/>
                <w:b w:val="1"/>
                <w:bCs w:val="1"/>
                <w:color w:val="auto"/>
              </w:rPr>
              <w:t>Security (Instr.</w:t>
            </w:r>
          </w:p>
        </w:tc>
        <w:tc>
          <w:tcPr>
            <w:tcW w:w="4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61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56146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3355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2335530"/>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80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22"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4Code.  V</w:t>
            </w:r>
          </w:p>
        </w:tc>
        <w:tc>
          <w:tcPr>
            <w:tcW w:w="68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71"/>
              </w:rPr>
              <w:t>5(A).Number(D)</w:t>
            </w:r>
          </w:p>
        </w:tc>
        <w:tc>
          <w:tcPr>
            <w:tcW w:w="1560" w:type="dxa"/>
            <w:vAlign w:val="bottom"/>
          </w:tcPr>
          <w:p>
            <w:pPr>
              <w:ind w:left="120"/>
              <w:spacing w:after="0" w:line="122" w:lineRule="exact"/>
              <w:rPr>
                <w:sz w:val="20"/>
                <w:szCs w:val="20"/>
                <w:color w:val="auto"/>
              </w:rPr>
            </w:pPr>
            <w:r>
              <w:rPr>
                <w:rFonts w:ascii="Arial" w:cs="Arial" w:eastAsia="Arial" w:hAnsi="Arial"/>
                <w:sz w:val="11"/>
                <w:szCs w:val="11"/>
                <w:b w:val="1"/>
                <w:bCs w:val="1"/>
                <w:color w:val="auto"/>
                <w:w w:val="70"/>
              </w:rPr>
              <w:t>6Exercisable.DateExercisableDate and</w:t>
            </w:r>
          </w:p>
        </w:tc>
        <w:tc>
          <w:tcPr>
            <w:tcW w:w="1000" w:type="dxa"/>
            <w:vAlign w:val="bottom"/>
          </w:tcPr>
          <w:p>
            <w:pPr>
              <w:ind w:left="100"/>
              <w:spacing w:after="0" w:line="122" w:lineRule="exact"/>
              <w:rPr>
                <w:sz w:val="20"/>
                <w:szCs w:val="20"/>
                <w:color w:val="auto"/>
              </w:rPr>
            </w:pPr>
            <w:r>
              <w:rPr>
                <w:rFonts w:ascii="Arial" w:cs="Arial" w:eastAsia="Arial" w:hAnsi="Arial"/>
                <w:sz w:val="12"/>
                <w:szCs w:val="12"/>
                <w:b w:val="1"/>
                <w:bCs w:val="1"/>
                <w:color w:val="auto"/>
                <w:w w:val="70"/>
              </w:rPr>
              <w:t>7Title.Title Sharesand</w:t>
            </w:r>
          </w:p>
        </w:tc>
        <w:tc>
          <w:tcPr>
            <w:tcW w:w="740" w:type="dxa"/>
            <w:vAlign w:val="bottom"/>
          </w:tcPr>
          <w:p>
            <w:pPr>
              <w:ind w:left="100"/>
              <w:spacing w:after="0" w:line="122" w:lineRule="exact"/>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12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1"/>
        </w:trPr>
        <w:tc>
          <w:tcPr>
            <w:tcW w:w="80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w:t>
            </w:r>
          </w:p>
        </w:tc>
        <w:tc>
          <w:tcPr>
            <w:tcW w:w="1560" w:type="dxa"/>
            <w:vAlign w:val="bottom"/>
          </w:tcPr>
          <w:p>
            <w:pPr>
              <w:ind w:left="120"/>
              <w:spacing w:after="0" w:line="121"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Amount of</w:t>
            </w:r>
          </w:p>
        </w:tc>
        <w:tc>
          <w:tcPr>
            <w:tcW w:w="74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21"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45"/>
        </w:trPr>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6"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60" w:type="dxa"/>
            <w:vAlign w:val="bottom"/>
          </w:tcPr>
          <w:p>
            <w:pPr>
              <w:ind w:left="120"/>
              <w:spacing w:after="0"/>
              <w:rPr>
                <w:sz w:val="20"/>
                <w:szCs w:val="20"/>
                <w:color w:val="auto"/>
              </w:rPr>
            </w:pPr>
            <w:r>
              <w:rPr>
                <w:rFonts w:ascii="Arial" w:cs="Arial" w:eastAsia="Arial" w:hAnsi="Arial"/>
                <w:sz w:val="12"/>
                <w:szCs w:val="12"/>
                <w:b w:val="1"/>
                <w:bCs w:val="1"/>
                <w:color w:val="auto"/>
              </w:rPr>
              <w:t>(Month/Day/Year)</w:t>
            </w:r>
          </w:p>
        </w:tc>
        <w:tc>
          <w:tcPr>
            <w:tcW w:w="1000" w:type="dxa"/>
            <w:vAlign w:val="bottom"/>
          </w:tcPr>
          <w:p>
            <w:pPr>
              <w:ind w:left="100"/>
              <w:spacing w:after="0"/>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1"/>
        </w:trPr>
        <w:tc>
          <w:tcPr>
            <w:tcW w:w="80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1560" w:type="dxa"/>
            <w:vAlign w:val="bottom"/>
          </w:tcPr>
          <w:p>
            <w:pPr>
              <w:spacing w:after="0"/>
              <w:rPr>
                <w:sz w:val="10"/>
                <w:szCs w:val="10"/>
                <w:color w:val="auto"/>
              </w:rPr>
            </w:pPr>
          </w:p>
        </w:tc>
        <w:tc>
          <w:tcPr>
            <w:tcW w:w="100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Underlying</w:t>
            </w:r>
          </w:p>
        </w:tc>
        <w:tc>
          <w:tcPr>
            <w:tcW w:w="74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120"/>
              <w:spacing w:after="0" w:line="121"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67"/>
        </w:trPr>
        <w:tc>
          <w:tcPr>
            <w:tcW w:w="160" w:type="dxa"/>
            <w:vAlign w:val="bottom"/>
          </w:tcPr>
          <w:p>
            <w:pPr>
              <w:ind w:left="40"/>
              <w:spacing w:after="0" w:line="67" w:lineRule="exact"/>
              <w:rPr>
                <w:sz w:val="20"/>
                <w:szCs w:val="20"/>
                <w:color w:val="auto"/>
              </w:rPr>
            </w:pPr>
            <w:r>
              <w:rPr>
                <w:rFonts w:ascii="Times New Roman" w:cs="Times New Roman" w:eastAsia="Times New Roman" w:hAnsi="Times New Roman"/>
                <w:sz w:val="7"/>
                <w:szCs w:val="7"/>
                <w:color w:val="008000"/>
              </w:rPr>
              <w:t>1.</w:t>
            </w:r>
          </w:p>
        </w:tc>
        <w:tc>
          <w:tcPr>
            <w:tcW w:w="7680" w:type="dxa"/>
            <w:vAlign w:val="bottom"/>
            <w:gridSpan w:val="8"/>
          </w:tcPr>
          <w:p>
            <w:pPr>
              <w:ind w:left="20"/>
              <w:spacing w:after="0" w:line="67" w:lineRule="exact"/>
              <w:rPr>
                <w:sz w:val="20"/>
                <w:szCs w:val="20"/>
                <w:color w:val="auto"/>
              </w:rPr>
            </w:pPr>
            <w:r>
              <w:rPr>
                <w:rFonts w:ascii="Times New Roman" w:cs="Times New Roman" w:eastAsia="Times New Roman" w:hAnsi="Times New Roman"/>
                <w:sz w:val="7"/>
                <w:szCs w:val="7"/>
                <w:color w:val="008000"/>
              </w:rPr>
              <w:t>The sales reported on this Form 4 were effected pursuant to a Rule 10b5-1 trading plan adopted by the Reporting Person on January 30, 2026.</w:t>
            </w:r>
          </w:p>
        </w:tc>
        <w:tc>
          <w:tcPr>
            <w:tcW w:w="740" w:type="dxa"/>
            <w:vAlign w:val="bottom"/>
          </w:tcPr>
          <w:p>
            <w:pPr>
              <w:spacing w:after="0"/>
              <w:rPr>
                <w:sz w:val="5"/>
                <w:szCs w:val="5"/>
                <w:color w:val="auto"/>
              </w:rPr>
            </w:pPr>
          </w:p>
        </w:tc>
        <w:tc>
          <w:tcPr>
            <w:tcW w:w="92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800" w:type="dxa"/>
            <w:vAlign w:val="bottom"/>
            <w:vMerge w:val="restart"/>
          </w:tcPr>
          <w:p>
            <w:pPr>
              <w:ind w:left="12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7"/>
        </w:trPr>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8000"/>
              </w:rPr>
              <w:t>2.</w:t>
            </w:r>
          </w:p>
        </w:tc>
        <w:tc>
          <w:tcPr>
            <w:tcW w:w="640" w:type="dxa"/>
            <w:vAlign w:val="bottom"/>
          </w:tcPr>
          <w:p>
            <w:pPr>
              <w:spacing w:after="0"/>
              <w:rPr>
                <w:sz w:val="5"/>
                <w:szCs w:val="5"/>
                <w:color w:val="auto"/>
              </w:rPr>
            </w:pPr>
          </w:p>
        </w:tc>
        <w:tc>
          <w:tcPr>
            <w:tcW w:w="740" w:type="dxa"/>
            <w:vAlign w:val="bottom"/>
          </w:tcPr>
          <w:p>
            <w:pPr>
              <w:spacing w:after="0" w:line="68" w:lineRule="exact"/>
              <w:rPr>
                <w:sz w:val="20"/>
                <w:szCs w:val="20"/>
                <w:color w:val="auto"/>
              </w:rPr>
            </w:pPr>
            <w:r>
              <w:rPr>
                <w:rFonts w:ascii="Arial" w:cs="Arial" w:eastAsia="Arial" w:hAnsi="Arial"/>
                <w:sz w:val="7"/>
                <w:szCs w:val="7"/>
                <w:b w:val="1"/>
                <w:bCs w:val="1"/>
                <w:color w:val="auto"/>
              </w:rPr>
              <w:t>Derivative</w:t>
            </w: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ind w:left="80"/>
              <w:spacing w:after="0" w:line="68" w:lineRule="exact"/>
              <w:rPr>
                <w:sz w:val="20"/>
                <w:szCs w:val="20"/>
                <w:color w:val="auto"/>
              </w:rPr>
            </w:pPr>
            <w:r>
              <w:rPr>
                <w:rFonts w:ascii="Arial" w:cs="Arial" w:eastAsia="Arial" w:hAnsi="Arial"/>
                <w:sz w:val="7"/>
                <w:szCs w:val="7"/>
                <w:b w:val="1"/>
                <w:bCs w:val="1"/>
                <w:color w:val="auto"/>
              </w:rPr>
              <w:t>Acquired</w:t>
            </w:r>
          </w:p>
        </w:tc>
        <w:tc>
          <w:tcPr>
            <w:tcW w:w="1560" w:type="dxa"/>
            <w:vAlign w:val="bottom"/>
          </w:tcPr>
          <w:p>
            <w:pPr>
              <w:spacing w:after="0"/>
              <w:rPr>
                <w:sz w:val="5"/>
                <w:szCs w:val="5"/>
                <w:color w:val="auto"/>
              </w:rPr>
            </w:pPr>
          </w:p>
        </w:tc>
        <w:tc>
          <w:tcPr>
            <w:tcW w:w="1000" w:type="dxa"/>
            <w:vAlign w:val="bottom"/>
          </w:tcPr>
          <w:p>
            <w:pPr>
              <w:ind w:left="100"/>
              <w:spacing w:after="0" w:line="68" w:lineRule="exact"/>
              <w:rPr>
                <w:sz w:val="20"/>
                <w:szCs w:val="20"/>
                <w:color w:val="auto"/>
              </w:rPr>
            </w:pPr>
            <w:r>
              <w:rPr>
                <w:rFonts w:ascii="Arial" w:cs="Arial" w:eastAsia="Arial" w:hAnsi="Arial"/>
                <w:sz w:val="7"/>
                <w:szCs w:val="7"/>
                <w:b w:val="1"/>
                <w:bCs w:val="1"/>
                <w:color w:val="auto"/>
              </w:rPr>
              <w:t>Derivative</w:t>
            </w:r>
          </w:p>
        </w:tc>
        <w:tc>
          <w:tcPr>
            <w:tcW w:w="7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60" w:type="dxa"/>
            <w:vAlign w:val="bottom"/>
            <w:vMerge w:val="continue"/>
          </w:tcPr>
          <w:p>
            <w:pPr>
              <w:spacing w:after="0"/>
              <w:rPr>
                <w:sz w:val="13"/>
                <w:szCs w:val="13"/>
                <w:color w:val="auto"/>
              </w:rPr>
            </w:pPr>
          </w:p>
        </w:tc>
        <w:tc>
          <w:tcPr>
            <w:tcW w:w="512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008000"/>
                <w:w w:val="91"/>
              </w:rPr>
              <w:t>The reported</w:t>
            </w:r>
            <w:r>
              <w:rPr>
                <w:rFonts w:ascii="Arial" w:cs="Arial" w:eastAsia="Arial" w:hAnsi="Arial"/>
                <w:sz w:val="11"/>
                <w:szCs w:val="11"/>
                <w:b w:val="1"/>
                <w:bCs w:val="1"/>
                <w:color w:val="000000"/>
                <w:w w:val="91"/>
              </w:rPr>
              <w:t>Security</w:t>
            </w:r>
            <w:r>
              <w:rPr>
                <w:rFonts w:ascii="Times New Roman" w:cs="Times New Roman" w:eastAsia="Times New Roman" w:hAnsi="Times New Roman"/>
                <w:sz w:val="13"/>
                <w:szCs w:val="13"/>
                <w:color w:val="008000"/>
                <w:w w:val="91"/>
              </w:rPr>
              <w:t>pricein Column 4 is a weighted average price. These shares were sold in</w:t>
            </w:r>
            <w:r>
              <w:rPr>
                <w:rFonts w:ascii="Arial" w:cs="Arial" w:eastAsia="Arial" w:hAnsi="Arial"/>
                <w:sz w:val="11"/>
                <w:szCs w:val="11"/>
                <w:b w:val="1"/>
                <w:bCs w:val="1"/>
                <w:color w:val="000000"/>
                <w:w w:val="91"/>
              </w:rPr>
              <w:t>(A)</w:t>
            </w:r>
            <w:r>
              <w:rPr>
                <w:rFonts w:ascii="Times New Roman" w:cs="Times New Roman" w:eastAsia="Times New Roman" w:hAnsi="Times New Roman"/>
                <w:sz w:val="13"/>
                <w:szCs w:val="13"/>
                <w:color w:val="008000"/>
                <w:w w:val="91"/>
              </w:rPr>
              <w:t>multiple</w:t>
            </w:r>
            <w:r>
              <w:rPr>
                <w:rFonts w:ascii="Arial" w:cs="Arial" w:eastAsia="Arial" w:hAnsi="Arial"/>
                <w:sz w:val="11"/>
                <w:szCs w:val="11"/>
                <w:b w:val="1"/>
                <w:bCs w:val="1"/>
                <w:color w:val="000000"/>
                <w:w w:val="91"/>
              </w:rPr>
              <w:t>or</w:t>
            </w:r>
          </w:p>
        </w:tc>
        <w:tc>
          <w:tcPr>
            <w:tcW w:w="580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008000"/>
                <w:w w:val="85"/>
              </w:rPr>
              <w:t>transactions at prices ranging from</w:t>
            </w:r>
            <w:r>
              <w:rPr>
                <w:rFonts w:ascii="Arial" w:cs="Arial" w:eastAsia="Arial" w:hAnsi="Arial"/>
                <w:sz w:val="11"/>
                <w:szCs w:val="11"/>
                <w:b w:val="1"/>
                <w:bCs w:val="1"/>
                <w:color w:val="000000"/>
                <w:w w:val="85"/>
              </w:rPr>
              <w:t>Security</w:t>
            </w:r>
            <w:r>
              <w:rPr>
                <w:rFonts w:ascii="Times New Roman" w:cs="Times New Roman" w:eastAsia="Times New Roman" w:hAnsi="Times New Roman"/>
                <w:sz w:val="13"/>
                <w:szCs w:val="13"/>
                <w:color w:val="008000"/>
                <w:w w:val="85"/>
              </w:rPr>
              <w:t>$1,170</w:t>
            </w:r>
            <w:r>
              <w:rPr>
                <w:rFonts w:ascii="Arial" w:cs="Arial" w:eastAsia="Arial" w:hAnsi="Arial"/>
                <w:sz w:val="11"/>
                <w:szCs w:val="11"/>
                <w:b w:val="1"/>
                <w:bCs w:val="1"/>
                <w:color w:val="000000"/>
                <w:w w:val="85"/>
              </w:rPr>
              <w:t>(Instr</w:t>
            </w:r>
            <w:r>
              <w:rPr>
                <w:rFonts w:ascii="Times New Roman" w:cs="Times New Roman" w:eastAsia="Times New Roman" w:hAnsi="Times New Roman"/>
                <w:sz w:val="13"/>
                <w:szCs w:val="13"/>
                <w:color w:val="008000"/>
                <w:w w:val="85"/>
              </w:rPr>
              <w:t>.4487</w:t>
            </w:r>
            <w:r>
              <w:rPr>
                <w:rFonts w:ascii="Arial" w:cs="Arial" w:eastAsia="Arial" w:hAnsi="Arial"/>
                <w:sz w:val="11"/>
                <w:szCs w:val="11"/>
                <w:b w:val="1"/>
                <w:bCs w:val="1"/>
                <w:color w:val="000000"/>
                <w:w w:val="85"/>
              </w:rPr>
              <w:t>.</w:t>
            </w:r>
            <w:r>
              <w:rPr>
                <w:rFonts w:ascii="Times New Roman" w:cs="Times New Roman" w:eastAsia="Times New Roman" w:hAnsi="Times New Roman"/>
                <w:sz w:val="13"/>
                <w:szCs w:val="13"/>
                <w:color w:val="008000"/>
                <w:w w:val="85"/>
              </w:rPr>
              <w:t xml:space="preserve"> to $1,170.7979</w:t>
            </w:r>
            <w:r>
              <w:rPr>
                <w:rFonts w:ascii="Arial" w:cs="Arial" w:eastAsia="Arial" w:hAnsi="Arial"/>
                <w:sz w:val="11"/>
                <w:szCs w:val="11"/>
                <w:b w:val="1"/>
                <w:bCs w:val="1"/>
                <w:color w:val="000000"/>
                <w:w w:val="85"/>
              </w:rPr>
              <w:t>Following</w:t>
            </w:r>
            <w:r>
              <w:rPr>
                <w:rFonts w:ascii="Times New Roman" w:cs="Times New Roman" w:eastAsia="Times New Roman" w:hAnsi="Times New Roman"/>
                <w:sz w:val="13"/>
                <w:szCs w:val="13"/>
                <w:color w:val="008000"/>
                <w:w w:val="85"/>
              </w:rPr>
              <w:t>pershare, inclusive</w:t>
            </w:r>
            <w:r>
              <w:rPr>
                <w:rFonts w:ascii="Arial" w:cs="Arial" w:eastAsia="Arial" w:hAnsi="Arial"/>
                <w:sz w:val="11"/>
                <w:szCs w:val="11"/>
                <w:b w:val="1"/>
                <w:bCs w:val="1"/>
                <w:color w:val="000000"/>
                <w:w w:val="85"/>
              </w:rPr>
              <w:t>(I)</w:t>
            </w:r>
            <w:r>
              <w:rPr>
                <w:rFonts w:ascii="Times New Roman" w:cs="Times New Roman" w:eastAsia="Times New Roman" w:hAnsi="Times New Roman"/>
                <w:sz w:val="13"/>
                <w:szCs w:val="13"/>
                <w:color w:val="008000"/>
                <w:w w:val="85"/>
              </w:rPr>
              <w:t>.</w:t>
            </w:r>
            <w:r>
              <w:rPr>
                <w:rFonts w:ascii="Arial" w:cs="Arial" w:eastAsia="Arial" w:hAnsi="Arial"/>
                <w:sz w:val="11"/>
                <w:szCs w:val="11"/>
                <w:b w:val="1"/>
                <w:bCs w:val="1"/>
                <w:color w:val="000000"/>
                <w:w w:val="85"/>
              </w:rPr>
              <w:t>(Instr</w:t>
            </w:r>
            <w:r>
              <w:rPr>
                <w:rFonts w:ascii="Times New Roman" w:cs="Times New Roman" w:eastAsia="Times New Roman" w:hAnsi="Times New Roman"/>
                <w:sz w:val="13"/>
                <w:szCs w:val="13"/>
                <w:color w:val="008000"/>
                <w:w w:val="85"/>
              </w:rPr>
              <w:t>TheReporting</w:t>
            </w:r>
            <w:r>
              <w:rPr>
                <w:rFonts w:ascii="Arial" w:cs="Arial" w:eastAsia="Arial" w:hAnsi="Arial"/>
                <w:sz w:val="11"/>
                <w:szCs w:val="11"/>
                <w:b w:val="1"/>
                <w:bCs w:val="1"/>
                <w:color w:val="000000"/>
                <w:w w:val="85"/>
              </w:rPr>
              <w:t>.4)</w:t>
            </w:r>
          </w:p>
        </w:tc>
        <w:tc>
          <w:tcPr>
            <w:tcW w:w="0" w:type="dxa"/>
            <w:vAlign w:val="bottom"/>
          </w:tcPr>
          <w:p>
            <w:pPr>
              <w:spacing w:after="0"/>
              <w:rPr>
                <w:sz w:val="1"/>
                <w:szCs w:val="1"/>
                <w:color w:val="auto"/>
              </w:rPr>
            </w:pPr>
          </w:p>
        </w:tc>
      </w:tr>
    </w:tbl>
    <w:p>
      <w:pPr>
        <w:ind w:left="40"/>
        <w:spacing w:after="0" w:line="231" w:lineRule="auto"/>
        <w:rPr>
          <w:sz w:val="20"/>
          <w:szCs w:val="20"/>
          <w:color w:val="auto"/>
        </w:rPr>
      </w:pPr>
      <w:r>
        <w:rPr>
          <w:rFonts w:ascii="Times New Roman" w:cs="Times New Roman" w:eastAsia="Times New Roman" w:hAnsi="Times New Roman"/>
          <w:sz w:val="12"/>
          <w:szCs w:val="12"/>
          <w:color w:val="008000"/>
        </w:rPr>
        <w:t>Person undertakes to provide to the Issuer, any security holder of the Issuer, or to the staff</w:t>
      </w:r>
      <w:r>
        <w:rPr>
          <w:rFonts w:ascii="Arial" w:cs="Arial" w:eastAsia="Arial" w:hAnsi="Arial"/>
          <w:sz w:val="10"/>
          <w:szCs w:val="10"/>
          <w:b w:val="1"/>
          <w:bCs w:val="1"/>
          <w:color w:val="000000"/>
        </w:rPr>
        <w:t>Disposed</w:t>
      </w:r>
      <w:r>
        <w:rPr>
          <w:rFonts w:ascii="Times New Roman" w:cs="Times New Roman" w:eastAsia="Times New Roman" w:hAnsi="Times New Roman"/>
          <w:sz w:val="12"/>
          <w:szCs w:val="12"/>
          <w:color w:val="008000"/>
        </w:rPr>
        <w:t>oftheSecurities and Exchange Commission,</w:t>
      </w:r>
      <w:r>
        <w:rPr>
          <w:rFonts w:ascii="Arial" w:cs="Arial" w:eastAsia="Arial" w:hAnsi="Arial"/>
          <w:sz w:val="10"/>
          <w:szCs w:val="10"/>
          <w:b w:val="1"/>
          <w:bCs w:val="1"/>
          <w:color w:val="000000"/>
        </w:rPr>
        <w:t>3and</w:t>
      </w:r>
      <w:r>
        <w:rPr>
          <w:rFonts w:ascii="Times New Roman" w:cs="Times New Roman" w:eastAsia="Times New Roman" w:hAnsi="Times New Roman"/>
          <w:sz w:val="12"/>
          <w:szCs w:val="12"/>
          <w:color w:val="008000"/>
        </w:rPr>
        <w:t xml:space="preserve"> upon</w:t>
      </w:r>
      <w:r>
        <w:rPr>
          <w:rFonts w:ascii="Arial" w:cs="Arial" w:eastAsia="Arial" w:hAnsi="Arial"/>
          <w:sz w:val="10"/>
          <w:szCs w:val="10"/>
          <w:b w:val="1"/>
          <w:bCs w:val="1"/>
          <w:color w:val="000000"/>
        </w:rPr>
        <w:t>4)</w:t>
      </w:r>
      <w:r>
        <w:rPr>
          <w:rFonts w:ascii="Times New Roman" w:cs="Times New Roman" w:eastAsia="Times New Roman" w:hAnsi="Times New Roman"/>
          <w:sz w:val="12"/>
          <w:szCs w:val="12"/>
          <w:color w:val="008000"/>
        </w:rPr>
        <w:t xml:space="preserve"> request, full information</w:t>
      </w:r>
      <w:r>
        <w:rPr>
          <w:rFonts w:ascii="Arial" w:cs="Arial" w:eastAsia="Arial" w:hAnsi="Arial"/>
          <w:sz w:val="10"/>
          <w:szCs w:val="10"/>
          <w:b w:val="1"/>
          <w:bCs w:val="1"/>
          <w:color w:val="000000"/>
        </w:rPr>
        <w:t>Reported</w:t>
      </w:r>
      <w:r>
        <w:rPr>
          <w:rFonts w:ascii="Times New Roman" w:cs="Times New Roman" w:eastAsia="Times New Roman" w:hAnsi="Times New Roman"/>
          <w:sz w:val="12"/>
          <w:szCs w:val="12"/>
          <w:color w:val="008000"/>
        </w:rPr>
        <w:t>regarding the number of shares sold</w:t>
      </w:r>
    </w:p>
    <w:tbl>
      <w:tblPr>
        <w:tblLayout w:type="fixed"/>
        <w:tblInd w:w="40" w:type="dxa"/>
        <w:tblCellMar>
          <w:top w:w="0" w:type="dxa"/>
          <w:left w:w="0" w:type="dxa"/>
          <w:bottom w:w="0" w:type="dxa"/>
          <w:right w:w="0" w:type="dxa"/>
        </w:tblCellMar>
      </w:tblPr>
      <w:tr>
        <w:trPr>
          <w:trHeight w:val="136"/>
        </w:trPr>
        <w:tc>
          <w:tcPr>
            <w:tcW w:w="4020" w:type="dxa"/>
            <w:vAlign w:val="bottom"/>
          </w:tcPr>
          <w:p>
            <w:pPr>
              <w:spacing w:after="0" w:line="136" w:lineRule="exact"/>
              <w:rPr>
                <w:sz w:val="20"/>
                <w:szCs w:val="20"/>
                <w:color w:val="auto"/>
              </w:rPr>
            </w:pPr>
            <w:r>
              <w:rPr>
                <w:rFonts w:ascii="Times New Roman" w:cs="Times New Roman" w:eastAsia="Times New Roman" w:hAnsi="Times New Roman"/>
                <w:sz w:val="13"/>
                <w:szCs w:val="13"/>
                <w:color w:val="008000"/>
              </w:rPr>
              <w:t>at each separate price within the range set forth in this footnote.</w:t>
            </w:r>
          </w:p>
        </w:tc>
        <w:tc>
          <w:tcPr>
            <w:tcW w:w="2880" w:type="dxa"/>
            <w:vAlign w:val="bottom"/>
          </w:tcPr>
          <w:p>
            <w:pPr>
              <w:ind w:left="620"/>
              <w:spacing w:after="0" w:line="136" w:lineRule="exact"/>
              <w:rPr>
                <w:sz w:val="20"/>
                <w:szCs w:val="20"/>
                <w:color w:val="auto"/>
              </w:rPr>
            </w:pPr>
            <w:r>
              <w:rPr>
                <w:rFonts w:ascii="Arial" w:cs="Arial" w:eastAsia="Arial" w:hAnsi="Arial"/>
                <w:sz w:val="12"/>
                <w:szCs w:val="12"/>
                <w:b w:val="1"/>
                <w:bCs w:val="1"/>
                <w:color w:val="auto"/>
              </w:rPr>
              <w:t>of (D)</w:t>
            </w:r>
          </w:p>
        </w:tc>
        <w:tc>
          <w:tcPr>
            <w:tcW w:w="2540" w:type="dxa"/>
            <w:vAlign w:val="bottom"/>
          </w:tcPr>
          <w:p>
            <w:pPr>
              <w:ind w:left="1720"/>
              <w:spacing w:after="0" w:line="136" w:lineRule="exact"/>
              <w:rPr>
                <w:sz w:val="20"/>
                <w:szCs w:val="20"/>
                <w:color w:val="auto"/>
              </w:rPr>
            </w:pPr>
            <w:r>
              <w:rPr>
                <w:rFonts w:ascii="Arial" w:cs="Arial" w:eastAsia="Arial" w:hAnsi="Arial"/>
                <w:sz w:val="12"/>
                <w:szCs w:val="12"/>
                <w:b w:val="1"/>
                <w:bCs w:val="1"/>
                <w:color w:val="auto"/>
                <w:w w:val="96"/>
              </w:rPr>
              <w:t>Transaction(s)</w:t>
            </w:r>
          </w:p>
        </w:tc>
      </w:tr>
      <w:tr>
        <w:trPr>
          <w:trHeight w:val="81"/>
        </w:trPr>
        <w:tc>
          <w:tcPr>
            <w:tcW w:w="4020" w:type="dxa"/>
            <w:vAlign w:val="bottom"/>
          </w:tcPr>
          <w:p>
            <w:pPr>
              <w:spacing w:after="0"/>
              <w:rPr>
                <w:sz w:val="7"/>
                <w:szCs w:val="7"/>
                <w:color w:val="auto"/>
              </w:rPr>
            </w:pPr>
          </w:p>
        </w:tc>
        <w:tc>
          <w:tcPr>
            <w:tcW w:w="2880" w:type="dxa"/>
            <w:vAlign w:val="bottom"/>
          </w:tcPr>
          <w:p>
            <w:pPr>
              <w:ind w:left="620"/>
              <w:spacing w:after="0" w:line="81" w:lineRule="exact"/>
              <w:rPr>
                <w:sz w:val="20"/>
                <w:szCs w:val="20"/>
                <w:color w:val="auto"/>
              </w:rPr>
            </w:pPr>
            <w:r>
              <w:rPr>
                <w:rFonts w:ascii="Arial" w:cs="Arial" w:eastAsia="Arial" w:hAnsi="Arial"/>
                <w:sz w:val="8"/>
                <w:szCs w:val="8"/>
                <w:b w:val="1"/>
                <w:bCs w:val="1"/>
                <w:color w:val="auto"/>
              </w:rPr>
              <w:t>(Instr. 3, 4</w:t>
            </w:r>
          </w:p>
        </w:tc>
        <w:tc>
          <w:tcPr>
            <w:tcW w:w="2540" w:type="dxa"/>
            <w:vAlign w:val="bottom"/>
          </w:tcPr>
          <w:p>
            <w:pPr>
              <w:ind w:left="1720"/>
              <w:spacing w:after="0" w:line="81" w:lineRule="exact"/>
              <w:rPr>
                <w:sz w:val="20"/>
                <w:szCs w:val="20"/>
                <w:color w:val="auto"/>
              </w:rPr>
            </w:pPr>
            <w:r>
              <w:rPr>
                <w:rFonts w:ascii="Arial" w:cs="Arial" w:eastAsia="Arial" w:hAnsi="Arial"/>
                <w:sz w:val="8"/>
                <w:szCs w:val="8"/>
                <w:b w:val="1"/>
                <w:bCs w:val="1"/>
                <w:color w:val="auto"/>
              </w:rPr>
              <w:t>(Instr. 4)</w:t>
            </w:r>
          </w:p>
        </w:tc>
      </w:tr>
    </w:tbl>
    <w:p>
      <w:pPr>
        <w:ind w:left="4680" w:right="240" w:hanging="4636"/>
        <w:spacing w:after="0"/>
        <w:rPr>
          <w:sz w:val="20"/>
          <w:szCs w:val="20"/>
          <w:color w:val="auto"/>
        </w:rPr>
      </w:pPr>
      <w:r>
        <w:rPr>
          <w:rFonts w:ascii="Times New Roman" w:cs="Times New Roman" w:eastAsia="Times New Roman" w:hAnsi="Times New Roman"/>
          <w:sz w:val="12"/>
          <w:szCs w:val="12"/>
          <w:color w:val="008000"/>
        </w:rPr>
        <w:t xml:space="preserve">3. The reported price in Column 4 is a weighted average price. These shares were sold in multiple transactions at prices ranging from $1,172.0806 to $1,172.97 per share, inclusive. The Reporting Person </w:t>
      </w:r>
      <w:r>
        <w:rPr>
          <w:rFonts w:ascii="Arial" w:cs="Arial" w:eastAsia="Arial" w:hAnsi="Arial"/>
          <w:sz w:val="10"/>
          <w:szCs w:val="10"/>
          <w:b w:val="1"/>
          <w:bCs w:val="1"/>
          <w:color w:val="000000"/>
        </w:rPr>
        <w:t>and 5)</w:t>
      </w:r>
    </w:p>
    <w:p>
      <w:pPr>
        <w:spacing w:after="0" w:line="9" w:lineRule="exact"/>
        <w:rPr>
          <w:sz w:val="20"/>
          <w:szCs w:val="20"/>
          <w:color w:val="auto"/>
        </w:rPr>
      </w:pPr>
    </w:p>
    <w:p>
      <w:pPr>
        <w:ind w:left="40" w:right="240"/>
        <w:spacing w:after="0" w:line="250" w:lineRule="auto"/>
        <w:rPr>
          <w:sz w:val="20"/>
          <w:szCs w:val="20"/>
          <w:color w:val="auto"/>
        </w:rPr>
      </w:pPr>
      <w:r>
        <w:rPr>
          <w:rFonts w:ascii="Times New Roman" w:cs="Times New Roman" w:eastAsia="Times New Roman" w:hAnsi="Times New Roman"/>
          <w:sz w:val="13"/>
          <w:szCs w:val="13"/>
          <w:color w:val="008000"/>
        </w:rPr>
        <w:t>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4. The reported price in Column 4 is a weighted average price. These shares were sold in multiple transactions at prices ranging from $1,173.56 to $1,174.3901 per share, inclusive. The Reporting Person</w:t>
      </w:r>
    </w:p>
    <w:p>
      <w:pPr>
        <w:ind w:left="40"/>
        <w:spacing w:after="0" w:line="183" w:lineRule="auto"/>
        <w:rPr>
          <w:sz w:val="20"/>
          <w:szCs w:val="20"/>
          <w:color w:val="auto"/>
        </w:rPr>
      </w:pPr>
      <w:r>
        <w:rPr>
          <w:rFonts w:ascii="Times New Roman" w:cs="Times New Roman" w:eastAsia="Times New Roman" w:hAnsi="Times New Roman"/>
          <w:sz w:val="13"/>
          <w:szCs w:val="13"/>
          <w:color w:val="008000"/>
        </w:rPr>
        <w:t>undertakes to provide to the Issuer, any security holder of the Issuer, or to the staff of the Securities and Exchange Commission, upon request, full information regarding the number of shares sold at each</w:t>
      </w:r>
    </w:p>
    <w:p>
      <w:pPr>
        <w:spacing w:after="0" w:line="1" w:lineRule="exact"/>
        <w:rPr>
          <w:sz w:val="20"/>
          <w:szCs w:val="20"/>
          <w:color w:val="auto"/>
        </w:rPr>
      </w:pPr>
    </w:p>
    <w:p>
      <w:pPr>
        <w:ind w:left="7340" w:right="3300" w:hanging="7288"/>
        <w:spacing w:after="0" w:line="181" w:lineRule="auto"/>
        <w:tabs>
          <w:tab w:leader="none" w:pos="7320" w:val="left"/>
        </w:tabs>
        <w:rPr>
          <w:sz w:val="20"/>
          <w:szCs w:val="20"/>
          <w:color w:val="auto"/>
        </w:rPr>
      </w:pPr>
      <w:r>
        <w:rPr>
          <w:rFonts w:ascii="Times New Roman" w:cs="Times New Roman" w:eastAsia="Times New Roman" w:hAnsi="Times New Roman"/>
          <w:sz w:val="13"/>
          <w:szCs w:val="13"/>
          <w:color w:val="008000"/>
        </w:rPr>
        <w:t>separate price within the range set forth in this footnote.</w:t>
      </w:r>
      <w:r>
        <w:rPr>
          <w:sz w:val="20"/>
          <w:szCs w:val="20"/>
          <w:color w:val="auto"/>
        </w:rPr>
        <w:tab/>
      </w:r>
      <w:r>
        <w:rPr>
          <w:rFonts w:ascii="Arial" w:cs="Arial" w:eastAsia="Arial" w:hAnsi="Arial"/>
          <w:sz w:val="14"/>
          <w:szCs w:val="14"/>
          <w:b w:val="1"/>
          <w:bCs w:val="1"/>
          <w:color w:val="auto"/>
          <w:vertAlign w:val="superscript"/>
        </w:rPr>
        <w:t>Amount or</w:t>
      </w:r>
    </w:p>
    <w:p>
      <w:pPr>
        <w:jc w:val="center"/>
        <w:ind w:left="40" w:right="240" w:firstLine="7"/>
        <w:spacing w:after="0" w:line="252" w:lineRule="auto"/>
        <w:tabs>
          <w:tab w:leader="none" w:pos="17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reported price in Column 4 is a weighted average price. These shares were sold in multiple transactions at prices ranging from $1,174</w:t>
      </w:r>
      <w:r>
        <w:rPr>
          <w:rFonts w:ascii="Arial" w:cs="Arial" w:eastAsia="Arial" w:hAnsi="Arial"/>
          <w:sz w:val="10"/>
          <w:szCs w:val="10"/>
          <w:b w:val="1"/>
          <w:bCs w:val="1"/>
          <w:color w:val="000000"/>
        </w:rPr>
        <w:t>Number</w:t>
      </w:r>
      <w:r>
        <w:rPr>
          <w:rFonts w:ascii="Times New Roman" w:cs="Times New Roman" w:eastAsia="Times New Roman" w:hAnsi="Times New Roman"/>
          <w:sz w:val="12"/>
          <w:szCs w:val="12"/>
          <w:color w:val="008000"/>
        </w:rPr>
        <w:t>.97to $1,175.78 per share, inclusive. The Reporting Person undertakes to provide to the Issuer, any security holder of the Issuer, or to the staff of the Securities and</w:t>
      </w:r>
      <w:r>
        <w:rPr>
          <w:rFonts w:ascii="Arial" w:cs="Arial" w:eastAsia="Arial" w:hAnsi="Arial"/>
          <w:sz w:val="10"/>
          <w:szCs w:val="10"/>
          <w:b w:val="1"/>
          <w:bCs w:val="1"/>
          <w:color w:val="000000"/>
        </w:rPr>
        <w:t>Date</w:t>
      </w:r>
      <w:r>
        <w:rPr>
          <w:rFonts w:ascii="Times New Roman" w:cs="Times New Roman" w:eastAsia="Times New Roman" w:hAnsi="Times New Roman"/>
          <w:sz w:val="12"/>
          <w:szCs w:val="12"/>
          <w:color w:val="008000"/>
        </w:rPr>
        <w:t>Exchange Commission,</w:t>
      </w:r>
      <w:r>
        <w:rPr>
          <w:rFonts w:ascii="Arial" w:cs="Arial" w:eastAsia="Arial" w:hAnsi="Arial"/>
          <w:sz w:val="10"/>
          <w:szCs w:val="10"/>
          <w:b w:val="1"/>
          <w:bCs w:val="1"/>
          <w:color w:val="000000"/>
        </w:rPr>
        <w:t>Expiration</w:t>
      </w:r>
      <w:r>
        <w:rPr>
          <w:rFonts w:ascii="Times New Roman" w:cs="Times New Roman" w:eastAsia="Times New Roman" w:hAnsi="Times New Roman"/>
          <w:sz w:val="12"/>
          <w:szCs w:val="12"/>
          <w:color w:val="008000"/>
        </w:rPr>
        <w:t xml:space="preserve"> upon request,</w:t>
      </w:r>
      <w:r>
        <w:rPr>
          <w:rFonts w:ascii="Arial" w:cs="Arial" w:eastAsia="Arial" w:hAnsi="Arial"/>
          <w:sz w:val="10"/>
          <w:szCs w:val="10"/>
          <w:b w:val="1"/>
          <w:bCs w:val="1"/>
          <w:color w:val="000000"/>
        </w:rPr>
        <w:t>of</w:t>
      </w:r>
      <w:r>
        <w:rPr>
          <w:rFonts w:ascii="Times New Roman" w:cs="Times New Roman" w:eastAsia="Times New Roman" w:hAnsi="Times New Roman"/>
          <w:sz w:val="12"/>
          <w:szCs w:val="12"/>
          <w:color w:val="008000"/>
        </w:rPr>
        <w:t xml:space="preserve"> full information regarding the number of shares sold at each</w:t>
      </w:r>
    </w:p>
    <w:p>
      <w:pPr>
        <w:ind w:left="40"/>
        <w:spacing w:after="0"/>
        <w:tabs>
          <w:tab w:leader="none" w:pos="3820" w:val="left"/>
          <w:tab w:leader="none" w:pos="4260" w:val="left"/>
          <w:tab w:leader="none" w:pos="4660" w:val="left"/>
          <w:tab w:leader="none" w:pos="5020" w:val="left"/>
          <w:tab w:leader="none" w:pos="5380" w:val="left"/>
          <w:tab w:leader="none" w:pos="6200" w:val="left"/>
          <w:tab w:leader="none" w:pos="6920" w:val="left"/>
          <w:tab w:leader="none" w:pos="7320" w:val="left"/>
        </w:tabs>
        <w:rPr>
          <w:sz w:val="20"/>
          <w:szCs w:val="20"/>
          <w:color w:val="auto"/>
        </w:rPr>
      </w:pPr>
      <w:r>
        <w:rPr>
          <w:rFonts w:ascii="Times New Roman" w:cs="Times New Roman" w:eastAsia="Times New Roman" w:hAnsi="Times New Roman"/>
          <w:sz w:val="13"/>
          <w:szCs w:val="13"/>
          <w:color w:val="008000"/>
        </w:rPr>
        <w:t>separate price within the range set forth in this footnote.</w:t>
      </w:r>
      <w:r>
        <w:rPr>
          <w:sz w:val="20"/>
          <w:szCs w:val="20"/>
          <w:color w:val="auto"/>
        </w:rPr>
        <w:tab/>
      </w:r>
      <w:r>
        <w:rPr>
          <w:rFonts w:ascii="Arial" w:cs="Arial" w:eastAsia="Arial" w:hAnsi="Arial"/>
          <w:sz w:val="12"/>
          <w:szCs w:val="12"/>
          <w:b w:val="1"/>
          <w:bCs w:val="1"/>
          <w:color w:val="auto"/>
        </w:rPr>
        <w:t>Code</w:t>
        <w:tab/>
        <w:t>V</w:t>
      </w:r>
      <w:r>
        <w:rPr>
          <w:sz w:val="20"/>
          <w:szCs w:val="20"/>
          <w:color w:val="auto"/>
        </w:rPr>
        <w:tab/>
      </w:r>
      <w:r>
        <w:rPr>
          <w:rFonts w:ascii="Arial" w:cs="Arial" w:eastAsia="Arial" w:hAnsi="Arial"/>
          <w:sz w:val="12"/>
          <w:szCs w:val="12"/>
          <w:b w:val="1"/>
          <w:bCs w:val="1"/>
          <w:color w:val="auto"/>
        </w:rPr>
        <w:t>(A)</w:t>
        <w:tab/>
        <w:t>(D)</w:t>
        <w:tab/>
        <w:t>Exercisable</w:t>
        <w:tab/>
        <w:t>Date</w:t>
      </w:r>
      <w:r>
        <w:rPr>
          <w:sz w:val="20"/>
          <w:szCs w:val="20"/>
          <w:color w:val="auto"/>
        </w:rPr>
        <w:tab/>
      </w:r>
      <w:r>
        <w:rPr>
          <w:rFonts w:ascii="Arial" w:cs="Arial" w:eastAsia="Arial" w:hAnsi="Arial"/>
          <w:sz w:val="12"/>
          <w:szCs w:val="12"/>
          <w:b w:val="1"/>
          <w:bCs w:val="1"/>
          <w:color w:val="auto"/>
        </w:rPr>
        <w:t>Title</w:t>
      </w:r>
      <w:r>
        <w:rPr>
          <w:sz w:val="20"/>
          <w:szCs w:val="20"/>
          <w:color w:val="auto"/>
        </w:rPr>
        <w:tab/>
      </w:r>
      <w:r>
        <w:rPr>
          <w:rFonts w:ascii="Arial" w:cs="Arial" w:eastAsia="Arial" w:hAnsi="Arial"/>
          <w:sz w:val="11"/>
          <w:szCs w:val="11"/>
          <w:b w:val="1"/>
          <w:bCs w:val="1"/>
          <w:color w:val="auto"/>
        </w:rPr>
        <w:t>Shares</w:t>
      </w:r>
    </w:p>
    <w:p>
      <w:pPr>
        <w:spacing w:after="0" w:line="40" w:lineRule="exact"/>
        <w:rPr>
          <w:sz w:val="20"/>
          <w:szCs w:val="20"/>
          <w:color w:val="auto"/>
        </w:rPr>
      </w:pPr>
    </w:p>
    <w:p>
      <w:pPr>
        <w:jc w:val="both"/>
        <w:ind w:left="40" w:right="240" w:firstLine="7"/>
        <w:spacing w:after="0" w:line="253"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$1,176.67 to $1,177.5399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$1,177.7147 to $1,178.63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$1,178.75 to $1,179.70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$1,179.79 to $1,180.7554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2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$1,180.88 to $1,181.81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23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$1,181.9713 to $1,182.73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2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$1,183.15 to $1,184.1141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2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$1,184.2238 to $1,185.21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2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$1,185.24 to $1,185.5849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2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$1,186.4301 to $1,187.23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2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$1,187.7964 to $1,188.7055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2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$1,189.16 to $1,190.12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2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$1,190.34 to $1,191.00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2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$1,191.35 to $1,192.32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2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$1,192.41 to $1,192.417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Due to a 30 line-item limitation in Table 1, this is the second of two Forms 4 filed by the Reporting Person.</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Mai Lan Bui, Attorney-in-fact 06/30/2026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7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42654"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2026-06-30T18:07:57Z</dcterms:created>
  <dcterms:modified xsi:type="dcterms:W3CDTF">2026-06-30T18:07:57Z</dcterms:modified>
</cp:coreProperties>
</file>