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Micron Technology Incorporated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595112103</w:t>
      </w:r>
    </w:p>
    <w:p>
      <w:pPr>
        <w:spacing w:after="0"/>
        <w:rPr>
          <w:sz w:val="20"/>
          <w:szCs w:val="20"/>
          <w:color w:val="auto"/>
        </w:rPr>
      </w:pPr>
      <w:r>
        <w:rPr>
          <w:rFonts w:ascii="Courier New" w:cs="Courier New" w:eastAsia="Courier New" w:hAnsi="Courier New"/>
          <w:sz w:val="18"/>
          <w:szCs w:val="18"/>
          <w:color w:val="auto"/>
        </w:rPr>
        <w:t>Filing Fee: No</w:t>
      </w:r>
    </w:p>
    <w:p>
      <w:pPr>
        <w:sectPr>
          <w:pgSz w:w="11900" w:h="16838" w:orient="portrait"/>
          <w:cols w:equalWidth="0" w:num="1">
            <w:col w:w="10219"/>
          </w:cols>
          <w:pgMar w:left="240" w:top="623" w:right="1440" w:bottom="0" w:gutter="0" w:footer="0" w:header="0"/>
        </w:sectPr>
      </w:pP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595112103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94,800</w:t>
      </w:r>
    </w:p>
    <w:p>
      <w:pPr>
        <w:spacing w:after="0"/>
        <w:rPr>
          <w:sz w:val="20"/>
          <w:szCs w:val="20"/>
          <w:color w:val="auto"/>
        </w:rPr>
      </w:pPr>
      <w:r>
        <w:rPr>
          <w:rFonts w:ascii="Courier New" w:cs="Courier New" w:eastAsia="Courier New" w:hAnsi="Courier New"/>
          <w:sz w:val="18"/>
          <w:szCs w:val="18"/>
          <w:color w:val="auto"/>
        </w:rPr>
        <w:t>Item 6: None</w:t>
      </w:r>
    </w:p>
    <w:p>
      <w:pPr>
        <w:spacing w:after="0" w:line="238" w:lineRule="auto"/>
        <w:rPr>
          <w:sz w:val="20"/>
          <w:szCs w:val="20"/>
          <w:color w:val="auto"/>
        </w:rPr>
      </w:pPr>
      <w:r>
        <w:rPr>
          <w:rFonts w:ascii="Courier New" w:cs="Courier New" w:eastAsia="Courier New" w:hAnsi="Courier New"/>
          <w:sz w:val="18"/>
          <w:szCs w:val="18"/>
          <w:color w:val="auto"/>
        </w:rPr>
        <w:t>Item 7: 3,802,670</w:t>
      </w:r>
    </w:p>
    <w:p>
      <w:pPr>
        <w:spacing w:after="0"/>
        <w:rPr>
          <w:sz w:val="20"/>
          <w:szCs w:val="20"/>
          <w:color w:val="auto"/>
        </w:rPr>
      </w:pPr>
      <w:r>
        <w:rPr>
          <w:rFonts w:ascii="Courier New" w:cs="Courier New" w:eastAsia="Courier New" w:hAnsi="Courier New"/>
          <w:sz w:val="18"/>
          <w:szCs w:val="18"/>
          <w:color w:val="auto"/>
        </w:rPr>
        <w:t>Item 8: None</w:t>
      </w:r>
    </w:p>
    <w:p>
      <w:pPr>
        <w:spacing w:after="0" w:line="238" w:lineRule="auto"/>
        <w:rPr>
          <w:sz w:val="20"/>
          <w:szCs w:val="20"/>
          <w:color w:val="auto"/>
        </w:rPr>
      </w:pPr>
      <w:r>
        <w:rPr>
          <w:rFonts w:ascii="Courier New" w:cs="Courier New" w:eastAsia="Courier New" w:hAnsi="Courier New"/>
          <w:sz w:val="18"/>
          <w:szCs w:val="18"/>
          <w:color w:val="auto"/>
        </w:rPr>
        <w:t>Item 9: 3,802,670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9.44%</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75" w:lineRule="exact"/>
        <w:rPr>
          <w:sz w:val="24"/>
          <w:szCs w:val="24"/>
          <w:color w:val="auto"/>
        </w:rPr>
      </w:pPr>
    </w:p>
    <w:p>
      <w:pPr>
        <w:sectPr>
          <w:pgSz w:w="11900" w:h="16838" w:orient="portrait"/>
          <w:cols w:equalWidth="0" w:num="2">
            <w:col w:w="4960" w:space="200"/>
            <w:col w:w="5059"/>
          </w:cols>
          <w:pgMar w:left="240" w:top="623" w:right="1440" w:bottom="0" w:gutter="0" w:footer="0" w:header="0"/>
          <w:type w:val="continuous"/>
        </w:sect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595112103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Edward C. Johnson 3d - (Tax ID: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8" w:lineRule="auto"/>
        <w:rPr>
          <w:sz w:val="20"/>
          <w:szCs w:val="20"/>
          <w:color w:val="auto"/>
        </w:rPr>
      </w:pPr>
      <w:r>
        <w:rPr>
          <w:rFonts w:ascii="Courier New" w:cs="Courier New" w:eastAsia="Courier New" w:hAnsi="Courier New"/>
          <w:sz w:val="18"/>
          <w:szCs w:val="18"/>
          <w:color w:val="auto"/>
        </w:rPr>
        <w:t>Item 7: 3,802,670</w:t>
      </w:r>
    </w:p>
    <w:p>
      <w:pPr>
        <w:spacing w:after="0"/>
        <w:rPr>
          <w:sz w:val="20"/>
          <w:szCs w:val="20"/>
          <w:color w:val="auto"/>
        </w:rPr>
      </w:pPr>
      <w:r>
        <w:rPr>
          <w:rFonts w:ascii="Courier New" w:cs="Courier New" w:eastAsia="Courier New" w:hAnsi="Courier New"/>
          <w:sz w:val="18"/>
          <w:szCs w:val="18"/>
          <w:color w:val="auto"/>
        </w:rPr>
        <w:t>Item 8: None</w:t>
      </w:r>
    </w:p>
    <w:p>
      <w:pPr>
        <w:spacing w:after="0" w:line="238" w:lineRule="auto"/>
        <w:rPr>
          <w:sz w:val="20"/>
          <w:szCs w:val="20"/>
          <w:color w:val="auto"/>
        </w:rPr>
      </w:pPr>
      <w:r>
        <w:rPr>
          <w:rFonts w:ascii="Courier New" w:cs="Courier New" w:eastAsia="Courier New" w:hAnsi="Courier New"/>
          <w:sz w:val="18"/>
          <w:szCs w:val="18"/>
          <w:color w:val="auto"/>
        </w:rPr>
        <w:t>Item 9: 3,802,670</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1"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1" w:lineRule="exact"/>
              <w:rPr>
                <w:sz w:val="20"/>
                <w:szCs w:val="20"/>
                <w:color w:val="auto"/>
              </w:rPr>
            </w:pPr>
            <w:r>
              <w:rPr>
                <w:rFonts w:ascii="Courier New" w:cs="Courier New" w:eastAsia="Courier New" w:hAnsi="Courier New"/>
                <w:sz w:val="18"/>
                <w:szCs w:val="18"/>
                <w:color w:val="auto"/>
              </w:rPr>
              <w:t>11:</w:t>
            </w:r>
          </w:p>
        </w:tc>
        <w:tc>
          <w:tcPr>
            <w:tcW w:w="940" w:type="dxa"/>
            <w:vAlign w:val="bottom"/>
          </w:tcPr>
          <w:p>
            <w:pPr>
              <w:ind w:left="420"/>
              <w:spacing w:after="0" w:line="171" w:lineRule="exact"/>
              <w:rPr>
                <w:sz w:val="20"/>
                <w:szCs w:val="20"/>
                <w:color w:val="auto"/>
              </w:rPr>
            </w:pPr>
            <w:r>
              <w:rPr>
                <w:rFonts w:ascii="Courier New" w:cs="Courier New" w:eastAsia="Courier New" w:hAnsi="Courier New"/>
                <w:sz w:val="18"/>
                <w:szCs w:val="18"/>
                <w:color w:val="auto"/>
                <w:w w:val="92"/>
              </w:rPr>
              <w:t>9.44%</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940" w:type="dxa"/>
            <w:vAlign w:val="bottom"/>
          </w:tcPr>
          <w:p>
            <w:pPr>
              <w:ind w:left="420"/>
              <w:spacing w:after="0"/>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37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2805 East Columbia Road</w:t>
      </w:r>
    </w:p>
    <w:p>
      <w:pPr>
        <w:spacing w:after="0" w:line="31" w:lineRule="exact"/>
        <w:rPr>
          <w:sz w:val="24"/>
          <w:szCs w:val="24"/>
          <w:color w:val="auto"/>
        </w:rPr>
      </w:pP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83706</w:t>
      </w:r>
    </w:p>
    <w:p>
      <w:pPr>
        <w:spacing w:after="0" w:line="16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18"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1" w:lineRule="exact"/>
        <w:rPr>
          <w:sz w:val="24"/>
          <w:szCs w:val="24"/>
          <w:color w:val="auto"/>
        </w:rPr>
      </w:pPr>
    </w:p>
    <w:p>
      <w:pPr>
        <w:ind w:right="3359"/>
        <w:spacing w:after="0" w:line="257"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w:t>
      </w:r>
    </w:p>
    <w:p>
      <w:pPr>
        <w:ind w:right="4839"/>
        <w:spacing w:after="0" w:line="309" w:lineRule="auto"/>
        <w:rPr>
          <w:sz w:val="20"/>
          <w:szCs w:val="20"/>
          <w:color w:val="auto"/>
        </w:rPr>
      </w:pPr>
      <w:r>
        <w:rPr>
          <w:rFonts w:ascii="Courier New" w:cs="Courier New" w:eastAsia="Courier New" w:hAnsi="Courier New"/>
          <w:sz w:val="18"/>
          <w:szCs w:val="18"/>
          <w:color w:val="auto"/>
        </w:rPr>
        <w:t>holding company in accordance with Section 240.13d-1(b)(ii)(G). (Note: See Item 7).</w:t>
      </w:r>
    </w:p>
    <w:p>
      <w:pPr>
        <w:spacing w:after="0" w:line="5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623" w:right="1440" w:bottom="0" w:gutter="0" w:footer="0" w:header="0"/>
          <w:type w:val="continuous"/>
        </w:sectPr>
      </w:pPr>
    </w:p>
    <w:bookmarkStart w:id="1" w:name="page2"/>
    <w:bookmarkEnd w:id="1"/>
    <w:p>
      <w:pPr>
        <w:ind w:left="860" w:right="5779" w:hanging="9"/>
        <w:spacing w:after="0" w:line="347"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3,802,670</w:t>
      </w:r>
    </w:p>
    <w:p>
      <w:pPr>
        <w:spacing w:after="0" w:line="1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9.44%</w:t>
      </w:r>
    </w:p>
    <w:p>
      <w:pPr>
        <w:spacing w:after="0" w:line="169"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224"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94,800</w:t>
      </w:r>
    </w:p>
    <w:p>
      <w:pPr>
        <w:spacing w:after="0" w:line="169"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169" w:lineRule="exact"/>
        <w:rPr>
          <w:rFonts w:ascii="Courier New" w:cs="Courier New" w:eastAsia="Courier New" w:hAnsi="Courier New"/>
          <w:sz w:val="18"/>
          <w:szCs w:val="18"/>
          <w:color w:val="auto"/>
        </w:rPr>
      </w:pPr>
    </w:p>
    <w:p>
      <w:pPr>
        <w:ind w:right="4519" w:firstLine="851"/>
        <w:spacing w:after="0" w:line="34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3,802,670</w:t>
      </w:r>
    </w:p>
    <w:p>
      <w:pPr>
        <w:spacing w:after="0" w:line="18" w:lineRule="exact"/>
        <w:rPr>
          <w:rFonts w:ascii="Courier New" w:cs="Courier New" w:eastAsia="Courier New" w:hAnsi="Courier New"/>
          <w:sz w:val="18"/>
          <w:szCs w:val="18"/>
          <w:color w:val="auto"/>
        </w:rPr>
      </w:pPr>
    </w:p>
    <w:p>
      <w:pPr>
        <w:ind w:right="4319" w:firstLine="851"/>
        <w:spacing w:after="0" w:line="34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431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right="4319" w:firstLine="843"/>
        <w:spacing w:after="0" w:line="25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w:t>
      </w:r>
    </w:p>
    <w:p>
      <w:pPr>
        <w:ind w:right="4939"/>
        <w:spacing w:after="0" w:line="256" w:lineRule="auto"/>
        <w:rPr>
          <w:sz w:val="20"/>
          <w:szCs w:val="20"/>
          <w:color w:val="auto"/>
        </w:rPr>
      </w:pPr>
      <w:r>
        <w:rPr>
          <w:rFonts w:ascii="Courier New" w:cs="Courier New" w:eastAsia="Courier New" w:hAnsi="Courier New"/>
          <w:sz w:val="18"/>
          <w:szCs w:val="18"/>
          <w:color w:val="auto"/>
        </w:rPr>
        <w:t>the proceeds from the sale of, the common stock of Micron Technology Incorporated. No one person's interest in the common stock of Micron Technology Incorporated is more than five percent of the total outstanding common stock.</w:t>
      </w:r>
    </w:p>
    <w:p>
      <w:pPr>
        <w:spacing w:after="0" w:line="96" w:lineRule="exact"/>
        <w:rPr>
          <w:sz w:val="20"/>
          <w:szCs w:val="20"/>
          <w:color w:val="auto"/>
        </w:rPr>
      </w:pPr>
    </w:p>
    <w:p>
      <w:pPr>
        <w:ind w:right="399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4099" w:firstLine="843"/>
        <w:spacing w:after="0" w:line="24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w:t>
      </w:r>
    </w:p>
    <w:p>
      <w:pPr>
        <w:spacing w:after="0" w:line="3" w:lineRule="exact"/>
        <w:rPr>
          <w:sz w:val="20"/>
          <w:szCs w:val="20"/>
          <w:color w:val="auto"/>
        </w:rPr>
      </w:pPr>
    </w:p>
    <w:p>
      <w:pPr>
        <w:ind w:right="4519"/>
        <w:spacing w:after="0" w:line="262" w:lineRule="auto"/>
        <w:rPr>
          <w:sz w:val="20"/>
          <w:szCs w:val="20"/>
          <w:color w:val="auto"/>
        </w:rPr>
      </w:pPr>
      <w:r>
        <w:rPr>
          <w:rFonts w:ascii="Courier New" w:cs="Courier New" w:eastAsia="Courier New" w:hAnsi="Courier New"/>
          <w:sz w:val="18"/>
          <w:szCs w:val="18"/>
          <w:color w:val="auto"/>
        </w:rPr>
        <w:t>the effect of changing or influencing the control of the issuer of such securities and were not acquired in connection with or as a participant in any transaction having such purpose or effect.</w:t>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4519" w:firstLine="843"/>
        <w:spacing w:after="0" w:line="274"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8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March 10, 1994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37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/s/Arthur S. Loring</w:t>
      </w:r>
    </w:p>
    <w:p>
      <w:pPr>
        <w:sectPr>
          <w:pgSz w:w="11900" w:h="16838" w:orient="portrait"/>
          <w:cols w:equalWidth="0" w:num="1">
            <w:col w:w="10219"/>
          </w:cols>
          <w:pgMar w:left="240" w:top="110" w:right="1440" w:bottom="0" w:gutter="0" w:footer="0" w:header="0"/>
          <w:type w:val="continuous"/>
        </w:sectPr>
      </w:pPr>
    </w:p>
    <w:bookmarkStart w:id="2" w:name="page3"/>
    <w:bookmarkEnd w:id="2"/>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169" w:lineRule="exact"/>
        <w:rPr>
          <w:sz w:val="20"/>
          <w:szCs w:val="20"/>
          <w:color w:val="auto"/>
        </w:rPr>
      </w:pPr>
    </w:p>
    <w:p>
      <w:pPr>
        <w:ind w:right="3579" w:firstLine="843"/>
        <w:spacing w:after="0" w:line="250"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3,652,070 shares or 9.07% of the common stock outstanding of Micron Technology Incorporated ("the Company") as a result of acting as investment adviser to several investment companies registered under Section 8 of the Investment Company Act of 1940.</w:t>
      </w:r>
    </w:p>
    <w:p>
      <w:pPr>
        <w:spacing w:after="0" w:line="104" w:lineRule="exact"/>
        <w:rPr>
          <w:sz w:val="20"/>
          <w:szCs w:val="20"/>
          <w:color w:val="auto"/>
        </w:rPr>
      </w:pPr>
    </w:p>
    <w:p>
      <w:pPr>
        <w:ind w:right="3579" w:firstLine="843"/>
        <w:spacing w:after="0" w:line="292"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3,652,070 shares owned by the Funds.</w:t>
      </w:r>
    </w:p>
    <w:p>
      <w:pPr>
        <w:spacing w:after="0" w:line="66" w:lineRule="exact"/>
        <w:rPr>
          <w:sz w:val="20"/>
          <w:szCs w:val="20"/>
          <w:color w:val="auto"/>
        </w:rPr>
      </w:pPr>
    </w:p>
    <w:p>
      <w:pPr>
        <w:ind w:right="3159" w:firstLine="843"/>
        <w:spacing w:after="0" w:line="250"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w:t>
      </w:r>
    </w:p>
    <w:p>
      <w:pPr>
        <w:spacing w:after="0" w:line="3"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8"/>
          <w:szCs w:val="18"/>
          <w:color w:val="auto"/>
        </w:rPr>
        <w:t>resides with the Funds' Boards of Trustees. Fidelity carries out the voting of the shares under written guidelines established by the Funds' Boards of Trustees.</w:t>
      </w:r>
    </w:p>
    <w:p>
      <w:pPr>
        <w:spacing w:after="0" w:line="82" w:lineRule="exact"/>
        <w:rPr>
          <w:sz w:val="20"/>
          <w:szCs w:val="20"/>
          <w:color w:val="auto"/>
        </w:rPr>
      </w:pPr>
    </w:p>
    <w:p>
      <w:pPr>
        <w:ind w:right="3459" w:firstLine="843"/>
        <w:spacing w:after="0" w:line="256"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64,500 shares or 0.16% of the common stock outstanding of the company as a result of its serving as investment manager of the institutional account(s).</w:t>
      </w:r>
    </w:p>
    <w:p>
      <w:pPr>
        <w:spacing w:after="0" w:line="98" w:lineRule="exact"/>
        <w:rPr>
          <w:sz w:val="20"/>
          <w:szCs w:val="20"/>
          <w:color w:val="auto"/>
        </w:rPr>
      </w:pPr>
    </w:p>
    <w:p>
      <w:pPr>
        <w:ind w:right="3159" w:firstLine="843"/>
        <w:spacing w:after="0" w:line="247" w:lineRule="auto"/>
        <w:rPr>
          <w:sz w:val="20"/>
          <w:szCs w:val="20"/>
          <w:color w:val="auto"/>
        </w:rPr>
      </w:pPr>
      <w:r>
        <w:rPr>
          <w:rFonts w:ascii="Courier New" w:cs="Courier New" w:eastAsia="Courier New" w:hAnsi="Courier New"/>
          <w:sz w:val="18"/>
          <w:szCs w:val="18"/>
          <w:color w:val="auto"/>
        </w:rPr>
        <w:t>FMR Corp., through its control of Fidelity Management Trust Company, has sole dispositive power over 64,500 shares and sole power to vote or to direct the voting of 8,700 shares, and no power to vote or to direct the voting of 55,800 Shares of</w:t>
      </w:r>
    </w:p>
    <w:p>
      <w:pPr>
        <w:spacing w:after="0" w:line="3" w:lineRule="exact"/>
        <w:rPr>
          <w:sz w:val="20"/>
          <w:szCs w:val="20"/>
          <w:color w:val="auto"/>
        </w:rPr>
      </w:pPr>
    </w:p>
    <w:p>
      <w:pPr>
        <w:ind w:right="3679"/>
        <w:spacing w:after="0" w:line="309" w:lineRule="auto"/>
        <w:rPr>
          <w:sz w:val="20"/>
          <w:szCs w:val="20"/>
          <w:color w:val="auto"/>
        </w:rPr>
      </w:pPr>
      <w:r>
        <w:rPr>
          <w:rFonts w:ascii="Courier New" w:cs="Courier New" w:eastAsia="Courier New" w:hAnsi="Courier New"/>
          <w:sz w:val="18"/>
          <w:szCs w:val="18"/>
          <w:color w:val="auto"/>
        </w:rPr>
        <w:t>common stock owned by the institutional account(s) as reported above.</w:t>
      </w:r>
    </w:p>
    <w:p>
      <w:pPr>
        <w:spacing w:after="0" w:line="51" w:lineRule="exact"/>
        <w:rPr>
          <w:sz w:val="20"/>
          <w:szCs w:val="20"/>
          <w:color w:val="auto"/>
        </w:rPr>
      </w:pPr>
    </w:p>
    <w:p>
      <w:pPr>
        <w:ind w:right="3359" w:firstLine="843"/>
        <w:spacing w:after="0" w:line="245" w:lineRule="auto"/>
        <w:rPr>
          <w:sz w:val="20"/>
          <w:szCs w:val="20"/>
          <w:color w:val="auto"/>
        </w:rPr>
      </w:pPr>
      <w:r>
        <w:rPr>
          <w:rFonts w:ascii="Courier New" w:cs="Courier New" w:eastAsia="Courier New" w:hAnsi="Courier New"/>
          <w:sz w:val="18"/>
          <w:szCs w:val="18"/>
          <w:color w:val="auto"/>
        </w:rPr>
        <w:t>Edward C. Johnson 3d owns 34.0% of the outstanding voting common stock of FMR Corp. Mr. Johnson 3d is Chairman of FMR Corp. Various Johnson family members and trusts for the benefit of Johnson family members own FMR Corp. voting common stock. These Johnson family members, through their ownership</w:t>
      </w:r>
    </w:p>
    <w:p>
      <w:pPr>
        <w:spacing w:after="0" w:line="4" w:lineRule="exact"/>
        <w:rPr>
          <w:sz w:val="20"/>
          <w:szCs w:val="20"/>
          <w:color w:val="auto"/>
        </w:rPr>
      </w:pPr>
    </w:p>
    <w:p>
      <w:pPr>
        <w:ind w:right="3779"/>
        <w:spacing w:after="0" w:line="309" w:lineRule="auto"/>
        <w:rPr>
          <w:sz w:val="20"/>
          <w:szCs w:val="20"/>
          <w:color w:val="auto"/>
        </w:rPr>
      </w:pPr>
      <w:r>
        <w:rPr>
          <w:rFonts w:ascii="Courier New" w:cs="Courier New" w:eastAsia="Courier New" w:hAnsi="Courier New"/>
          <w:sz w:val="18"/>
          <w:szCs w:val="18"/>
          <w:color w:val="auto"/>
        </w:rPr>
        <w:t>of voting common stock, form a controlling group with respect to FMR Corp.</w:t>
      </w:r>
    </w:p>
    <w:p>
      <w:pPr>
        <w:spacing w:after="0" w:line="51" w:lineRule="exact"/>
        <w:rPr>
          <w:sz w:val="20"/>
          <w:szCs w:val="20"/>
          <w:color w:val="auto"/>
        </w:rPr>
      </w:pPr>
    </w:p>
    <w:p>
      <w:pPr>
        <w:ind w:right="3159" w:firstLine="843"/>
        <w:spacing w:after="0" w:line="289"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w:t>
      </w:r>
    </w:p>
    <w:p>
      <w:pPr>
        <w:spacing w:after="0" w:line="1" w:lineRule="exact"/>
        <w:rPr>
          <w:sz w:val="20"/>
          <w:szCs w:val="20"/>
          <w:color w:val="auto"/>
        </w:rPr>
      </w:pPr>
    </w:p>
    <w:p>
      <w:pPr>
        <w:ind w:right="3579"/>
        <w:spacing w:after="0" w:line="286" w:lineRule="auto"/>
        <w:rPr>
          <w:sz w:val="20"/>
          <w:szCs w:val="20"/>
          <w:color w:val="auto"/>
        </w:rPr>
      </w:pPr>
      <w:r>
        <w:rPr>
          <w:rFonts w:ascii="Courier New" w:cs="Courier New" w:eastAsia="Courier New" w:hAnsi="Courier New"/>
          <w:sz w:val="16"/>
          <w:szCs w:val="16"/>
          <w:color w:val="auto"/>
        </w:rPr>
        <w:t>provide investment advisory and management services to a number of non-U.S. investment companies (the "International Funds") and certain institutional investors. Fidelity International Limited is the beneficial owner of 86,100 shares or 0.21% of the common stock outstanding of the company. Additional information with respect to the beneficial ownership of Fidelity International Limited is shown on Exhibit B, page 1.</w:t>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372" w:lineRule="exact"/>
        <w:rPr>
          <w:sz w:val="20"/>
          <w:szCs w:val="20"/>
          <w:color w:val="auto"/>
        </w:rPr>
      </w:pPr>
    </w:p>
    <w:p>
      <w:pPr>
        <w:ind w:right="3459" w:firstLine="843"/>
        <w:spacing w:after="0" w:line="293"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w:t>
      </w:r>
    </w:p>
    <w:p>
      <w:pPr>
        <w:sectPr>
          <w:pgSz w:w="11900" w:h="16850" w:orient="portrait"/>
          <w:cols w:equalWidth="0" w:num="1">
            <w:col w:w="10219"/>
          </w:cols>
          <w:pgMar w:left="240" w:top="110" w:right="1440" w:bottom="0" w:gutter="0" w:footer="0" w:header="0"/>
        </w:sectPr>
      </w:pPr>
    </w:p>
    <w:bookmarkStart w:id="3" w:name="page4"/>
    <w:bookmarkEnd w:id="3"/>
    <w:p>
      <w:pPr>
        <w:ind w:right="3679"/>
        <w:spacing w:after="0" w:line="347" w:lineRule="auto"/>
        <w:rPr>
          <w:sz w:val="20"/>
          <w:szCs w:val="20"/>
          <w:color w:val="auto"/>
        </w:rPr>
      </w:pPr>
      <w:r>
        <w:rPr>
          <w:rFonts w:ascii="Courier New" w:cs="Courier New" w:eastAsia="Courier New" w:hAnsi="Courier New"/>
          <w:sz w:val="18"/>
          <w:szCs w:val="18"/>
          <w:color w:val="auto"/>
        </w:rPr>
        <w:t>a beneficial owner of the 86,100 shares or 0.21% of the common stock outstanding of Micron Technology Incorporated.</w:t>
      </w:r>
    </w:p>
    <w:p>
      <w:pPr>
        <w:spacing w:after="0" w:line="18" w:lineRule="exact"/>
        <w:rPr>
          <w:sz w:val="20"/>
          <w:szCs w:val="20"/>
          <w:color w:val="auto"/>
        </w:rPr>
      </w:pPr>
    </w:p>
    <w:p>
      <w:pPr>
        <w:ind w:right="3159" w:firstLine="843"/>
        <w:spacing w:after="0" w:line="253"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104" w:lineRule="exact"/>
        <w:rPr>
          <w:sz w:val="20"/>
          <w:szCs w:val="20"/>
          <w:color w:val="auto"/>
        </w:rPr>
      </w:pPr>
    </w:p>
    <w:p>
      <w:pPr>
        <w:ind w:right="3579" w:firstLine="843"/>
        <w:spacing w:after="0" w:line="250"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48.879%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Their investment decisions are made independently, and their clients are different organizations.</w:t>
      </w:r>
    </w:p>
    <w:p>
      <w:pPr>
        <w:spacing w:after="0" w:line="104" w:lineRule="exact"/>
        <w:rPr>
          <w:sz w:val="20"/>
          <w:szCs w:val="20"/>
          <w:color w:val="auto"/>
        </w:rPr>
      </w:pPr>
    </w:p>
    <w:p>
      <w:pPr>
        <w:ind w:right="3259" w:firstLine="843"/>
        <w:spacing w:after="0" w:line="249"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104" w:lineRule="exact"/>
        <w:rPr>
          <w:sz w:val="20"/>
          <w:szCs w:val="20"/>
          <w:color w:val="auto"/>
        </w:rPr>
      </w:pPr>
    </w:p>
    <w:p>
      <w:pPr>
        <w:ind w:right="3359" w:firstLine="843"/>
        <w:spacing w:after="0" w:line="265"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90" w:lineRule="exact"/>
        <w:rPr>
          <w:sz w:val="20"/>
          <w:szCs w:val="20"/>
          <w:color w:val="auto"/>
        </w:rPr>
      </w:pPr>
    </w:p>
    <w:p>
      <w:pPr>
        <w:ind w:right="3359" w:firstLine="843"/>
        <w:spacing w:after="0" w:line="244"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w:t>
      </w:r>
    </w:p>
    <w:p>
      <w:pPr>
        <w:spacing w:after="0" w:line="4" w:lineRule="exact"/>
        <w:rPr>
          <w:sz w:val="20"/>
          <w:szCs w:val="20"/>
          <w:color w:val="auto"/>
        </w:rPr>
      </w:pPr>
    </w:p>
    <w:p>
      <w:pPr>
        <w:ind w:right="3579"/>
        <w:spacing w:after="0" w:line="262" w:lineRule="auto"/>
        <w:rPr>
          <w:sz w:val="20"/>
          <w:szCs w:val="20"/>
          <w:color w:val="auto"/>
        </w:rPr>
      </w:pPr>
      <w:r>
        <w:rPr>
          <w:rFonts w:ascii="Courier New" w:cs="Courier New" w:eastAsia="Courier New" w:hAnsi="Courier New"/>
          <w:sz w:val="18"/>
          <w:szCs w:val="18"/>
          <w:color w:val="auto"/>
        </w:rPr>
        <w:t>may determine to cease making additional purchases of shares or to increase or decrease the equity interest in the Company by acquiring additional shares, or by disposing of all or a portion of the shares.</w:t>
      </w:r>
    </w:p>
    <w:p>
      <w:pPr>
        <w:spacing w:after="0" w:line="90" w:lineRule="exact"/>
        <w:rPr>
          <w:sz w:val="20"/>
          <w:szCs w:val="20"/>
          <w:color w:val="auto"/>
        </w:rPr>
      </w:pPr>
    </w:p>
    <w:p>
      <w:pPr>
        <w:ind w:right="3259" w:firstLine="843"/>
        <w:spacing w:after="0" w:line="248"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05" w:lineRule="exact"/>
        <w:rPr>
          <w:sz w:val="20"/>
          <w:szCs w:val="20"/>
          <w:color w:val="auto"/>
        </w:rPr>
      </w:pPr>
    </w:p>
    <w:p>
      <w:pPr>
        <w:ind w:right="3899" w:firstLine="843"/>
        <w:spacing w:after="0" w:line="347" w:lineRule="auto"/>
        <w:rPr>
          <w:sz w:val="20"/>
          <w:szCs w:val="20"/>
          <w:color w:val="auto"/>
        </w:rPr>
      </w:pPr>
      <w:r>
        <w:rPr>
          <w:rFonts w:ascii="Courier New" w:cs="Courier New" w:eastAsia="Courier New" w:hAnsi="Courier New"/>
          <w:sz w:val="18"/>
          <w:szCs w:val="18"/>
          <w:color w:val="auto"/>
        </w:rPr>
        <w:t>FIL has the sole power to vote and the sole power to dispose of 86,100 shares.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1" w:lineRule="exact"/>
        <w:rPr>
          <w:sz w:val="20"/>
          <w:szCs w:val="20"/>
          <w:color w:val="auto"/>
        </w:rPr>
      </w:pPr>
    </w:p>
    <w:p>
      <w:pPr>
        <w:ind w:right="3779" w:firstLine="843"/>
        <w:spacing w:after="0" w:line="289" w:lineRule="auto"/>
        <w:rPr>
          <w:sz w:val="20"/>
          <w:szCs w:val="20"/>
          <w:color w:val="auto"/>
        </w:rPr>
      </w:pPr>
      <w:r>
        <w:rPr>
          <w:rFonts w:ascii="Courier New" w:cs="Courier New" w:eastAsia="Courier New" w:hAnsi="Courier New"/>
          <w:sz w:val="16"/>
          <w:szCs w:val="16"/>
          <w:color w:val="auto"/>
        </w:rPr>
        <w:t>The undersigned persons, on March 10, 1994, agree and consent to the joint filing on their behalf of this Schedule</w:t>
      </w:r>
    </w:p>
    <w:p>
      <w:pPr>
        <w:spacing w:after="0" w:line="1" w:lineRule="exact"/>
        <w:rPr>
          <w:sz w:val="20"/>
          <w:szCs w:val="20"/>
          <w:color w:val="auto"/>
        </w:rPr>
      </w:pPr>
    </w:p>
    <w:p>
      <w:pPr>
        <w:ind w:right="3579"/>
        <w:spacing w:after="0" w:line="378" w:lineRule="auto"/>
        <w:rPr>
          <w:sz w:val="20"/>
          <w:szCs w:val="20"/>
          <w:color w:val="auto"/>
        </w:rPr>
      </w:pPr>
      <w:r>
        <w:rPr>
          <w:rFonts w:ascii="Courier New" w:cs="Courier New" w:eastAsia="Courier New" w:hAnsi="Courier New"/>
          <w:sz w:val="16"/>
          <w:szCs w:val="16"/>
          <w:color w:val="auto"/>
        </w:rPr>
        <w:t>13G in connection with their beneficial ownership of the common stock of Micron Technology Incorporated at February 28, 1994.</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31"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ectPr>
          <w:pgSz w:w="11900" w:h="16838" w:orient="portrait"/>
          <w:cols w:equalWidth="0" w:num="1">
            <w:col w:w="10219"/>
          </w:cols>
          <w:pgMar w:left="24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Arthur S. Loring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 Legal</w:t>
      </w:r>
    </w:p>
    <w:tbl>
      <w:tblPr>
        <w:tblLayout w:type="fixed"/>
        <w:tblInd w:w="860" w:type="dxa"/>
        <w:tblCellMar>
          <w:top w:w="0" w:type="dxa"/>
          <w:left w:w="0" w:type="dxa"/>
          <w:bottom w:w="0" w:type="dxa"/>
          <w:right w:w="0" w:type="dxa"/>
        </w:tblCellMar>
      </w:tblPr>
      <w:tr>
        <w:trPr>
          <w:trHeight w:val="171"/>
        </w:trPr>
        <w:tc>
          <w:tcPr>
            <w:tcW w:w="520" w:type="dxa"/>
            <w:vAlign w:val="bottom"/>
            <w:vMerge w:val="restart"/>
          </w:tcPr>
          <w:p>
            <w:pPr>
              <w:spacing w:after="0"/>
              <w:rPr>
                <w:sz w:val="20"/>
                <w:szCs w:val="20"/>
                <w:color w:val="auto"/>
              </w:rPr>
            </w:pPr>
            <w:r>
              <w:rPr>
                <w:rFonts w:ascii="Courier New" w:cs="Courier New" w:eastAsia="Courier New" w:hAnsi="Courier New"/>
                <w:sz w:val="18"/>
                <w:szCs w:val="18"/>
                <w:color w:val="auto"/>
              </w:rPr>
              <w:t>By</w:t>
            </w:r>
          </w:p>
        </w:tc>
        <w:tc>
          <w:tcPr>
            <w:tcW w:w="1320" w:type="dxa"/>
            <w:vAlign w:val="bottom"/>
          </w:tcPr>
          <w:p>
            <w:pPr>
              <w:ind w:left="320"/>
              <w:spacing w:after="0" w:line="170" w:lineRule="exact"/>
              <w:rPr>
                <w:sz w:val="20"/>
                <w:szCs w:val="20"/>
                <w:color w:val="auto"/>
              </w:rPr>
            </w:pPr>
            <w:r>
              <w:rPr>
                <w:rFonts w:ascii="Courier New" w:cs="Courier New" w:eastAsia="Courier New" w:hAnsi="Courier New"/>
                <w:sz w:val="18"/>
                <w:szCs w:val="18"/>
                <w:color w:val="auto"/>
              </w:rPr>
              <w:t>Edward C.</w:t>
            </w:r>
          </w:p>
        </w:tc>
        <w:tc>
          <w:tcPr>
            <w:tcW w:w="1100" w:type="dxa"/>
            <w:vAlign w:val="bottom"/>
          </w:tcPr>
          <w:p>
            <w:pPr>
              <w:ind w:left="40"/>
              <w:spacing w:after="0" w:line="170" w:lineRule="exact"/>
              <w:rPr>
                <w:sz w:val="20"/>
                <w:szCs w:val="20"/>
                <w:color w:val="auto"/>
              </w:rPr>
            </w:pPr>
            <w:r>
              <w:rPr>
                <w:rFonts w:ascii="Courier New" w:cs="Courier New" w:eastAsia="Courier New" w:hAnsi="Courier New"/>
                <w:sz w:val="18"/>
                <w:szCs w:val="18"/>
                <w:color w:val="auto"/>
                <w:w w:val="96"/>
              </w:rPr>
              <w:t>Johnson 3d</w:t>
            </w:r>
          </w:p>
        </w:tc>
        <w:tc>
          <w:tcPr>
            <w:tcW w:w="0" w:type="dxa"/>
            <w:vAlign w:val="bottom"/>
          </w:tcPr>
          <w:p>
            <w:pPr>
              <w:spacing w:after="0"/>
              <w:rPr>
                <w:sz w:val="1"/>
                <w:szCs w:val="1"/>
                <w:color w:val="auto"/>
              </w:rPr>
            </w:pPr>
          </w:p>
        </w:tc>
      </w:tr>
      <w:tr>
        <w:trPr>
          <w:trHeight w:val="235"/>
        </w:trPr>
        <w:tc>
          <w:tcPr>
            <w:tcW w:w="520" w:type="dxa"/>
            <w:vAlign w:val="bottom"/>
            <w:vMerge w:val="continue"/>
          </w:tcPr>
          <w:p>
            <w:pPr>
              <w:spacing w:after="0"/>
              <w:rPr>
                <w:sz w:val="20"/>
                <w:szCs w:val="20"/>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/s/Arthur</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S. Loring</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w:t>
      </w:r>
    </w:p>
    <w:p>
      <w:pPr>
        <w:spacing w:after="0" w:line="238" w:lineRule="auto"/>
        <w:rPr>
          <w:sz w:val="20"/>
          <w:szCs w:val="20"/>
          <w:color w:val="auto"/>
        </w:rPr>
      </w:pPr>
      <w:r>
        <w:rPr>
          <w:rFonts w:ascii="Courier New" w:cs="Courier New" w:eastAsia="Courier New" w:hAnsi="Courier New"/>
          <w:sz w:val="18"/>
          <w:szCs w:val="18"/>
          <w:color w:val="auto"/>
        </w:rPr>
        <w:t>dated 5/17/89</w:t>
      </w:r>
    </w:p>
    <w:p>
      <w:pPr>
        <w:spacing w:after="0"/>
        <w:rPr>
          <w:sz w:val="20"/>
          <w:szCs w:val="20"/>
          <w:color w:val="auto"/>
        </w:rPr>
      </w:pPr>
      <w:r>
        <w:rPr>
          <w:rFonts w:ascii="Courier New" w:cs="Courier New" w:eastAsia="Courier New" w:hAnsi="Courier New"/>
          <w:sz w:val="18"/>
          <w:szCs w:val="18"/>
          <w:color w:val="auto"/>
        </w:rPr>
        <w:t>On File with Schedule</w:t>
      </w:r>
    </w:p>
    <w:p>
      <w:pPr>
        <w:spacing w:after="0" w:line="238" w:lineRule="auto"/>
        <w:rPr>
          <w:sz w:val="20"/>
          <w:szCs w:val="20"/>
          <w:color w:val="auto"/>
        </w:rPr>
      </w:pPr>
      <w:r>
        <w:rPr>
          <w:rFonts w:ascii="Courier New" w:cs="Courier New" w:eastAsia="Courier New" w:hAnsi="Courier New"/>
          <w:sz w:val="18"/>
          <w:szCs w:val="18"/>
          <w:color w:val="auto"/>
        </w:rPr>
        <w:t>13G for</w:t>
      </w:r>
    </w:p>
    <w:p>
      <w:pPr>
        <w:spacing w:after="0"/>
        <w:rPr>
          <w:sz w:val="20"/>
          <w:szCs w:val="20"/>
          <w:color w:val="auto"/>
        </w:rPr>
      </w:pPr>
      <w:r>
        <w:rPr>
          <w:rFonts w:ascii="Courier New" w:cs="Courier New" w:eastAsia="Courier New" w:hAnsi="Courier New"/>
          <w:sz w:val="18"/>
          <w:szCs w:val="18"/>
          <w:color w:val="auto"/>
        </w:rPr>
        <w:t>Airborne Freight Corp.</w:t>
      </w:r>
    </w:p>
    <w:p>
      <w:pPr>
        <w:spacing w:after="0" w:line="238" w:lineRule="auto"/>
        <w:rPr>
          <w:sz w:val="20"/>
          <w:szCs w:val="20"/>
          <w:color w:val="auto"/>
        </w:rPr>
      </w:pPr>
      <w:r>
        <w:rPr>
          <w:rFonts w:ascii="Courier New" w:cs="Courier New" w:eastAsia="Courier New" w:hAnsi="Courier New"/>
          <w:sz w:val="18"/>
          <w:szCs w:val="18"/>
          <w:color w:val="auto"/>
        </w:rPr>
        <w:t>9/10/91</w:t>
      </w:r>
    </w:p>
    <w:p>
      <w:pPr>
        <w:jc w:val="right"/>
        <w:ind w:right="6199"/>
        <w:spacing w:after="0"/>
        <w:rPr>
          <w:sz w:val="20"/>
          <w:szCs w:val="20"/>
          <w:color w:val="auto"/>
        </w:rPr>
      </w:pPr>
      <w:r>
        <w:rPr>
          <w:rFonts w:ascii="Courier New" w:cs="Courier New" w:eastAsia="Courier New" w:hAnsi="Courier New"/>
          <w:sz w:val="18"/>
          <w:szCs w:val="18"/>
          <w:color w:val="auto"/>
        </w:rPr>
        <w:t>Fidelity Management &amp; Research</w:t>
      </w: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line="170" w:lineRule="exact"/>
              <w:rPr>
                <w:sz w:val="20"/>
                <w:szCs w:val="20"/>
                <w:color w:val="auto"/>
              </w:rPr>
            </w:pPr>
            <w:r>
              <w:rPr>
                <w:rFonts w:ascii="Courier New" w:cs="Courier New" w:eastAsia="Courier New" w:hAnsi="Courier New"/>
                <w:sz w:val="18"/>
                <w:szCs w:val="18"/>
                <w:color w:val="auto"/>
              </w:rPr>
              <w:t>Company</w:t>
            </w:r>
          </w:p>
        </w:tc>
        <w:tc>
          <w:tcPr>
            <w:tcW w:w="23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w w:val="96"/>
              </w:rPr>
              <w:t>/s/Arthur S. Loring</w:t>
            </w:r>
          </w:p>
        </w:tc>
        <w:tc>
          <w:tcPr>
            <w:tcW w:w="0" w:type="dxa"/>
            <w:vAlign w:val="bottom"/>
          </w:tcPr>
          <w:p>
            <w:pPr>
              <w:spacing w:after="0"/>
              <w:rPr>
                <w:sz w:val="1"/>
                <w:szCs w:val="1"/>
                <w:color w:val="auto"/>
              </w:rPr>
            </w:pPr>
          </w:p>
        </w:tc>
      </w:tr>
      <w:tr>
        <w:trPr>
          <w:trHeight w:val="235"/>
        </w:trPr>
        <w:tc>
          <w:tcPr>
            <w:tcW w:w="1380" w:type="dxa"/>
            <w:vAlign w:val="bottom"/>
          </w:tcPr>
          <w:p>
            <w:pPr>
              <w:ind w:left="860"/>
              <w:spacing w:after="0"/>
              <w:rPr>
                <w:sz w:val="20"/>
                <w:szCs w:val="20"/>
                <w:color w:val="auto"/>
              </w:rPr>
            </w:pPr>
            <w:r>
              <w:rPr>
                <w:rFonts w:ascii="Courier New" w:cs="Courier New" w:eastAsia="Courier New" w:hAnsi="Courier New"/>
                <w:sz w:val="18"/>
                <w:szCs w:val="18"/>
                <w:color w:val="auto"/>
              </w:rPr>
              <w:t>By</w:t>
            </w: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w:t>
      </w:r>
    </w:p>
    <w:p>
      <w:pPr>
        <w:spacing w:after="0"/>
        <w:rPr>
          <w:sz w:val="20"/>
          <w:szCs w:val="20"/>
          <w:color w:val="auto"/>
        </w:rPr>
      </w:pPr>
      <w:r>
        <w:rPr>
          <w:rFonts w:ascii="Courier New" w:cs="Courier New" w:eastAsia="Courier New" w:hAnsi="Courier New"/>
          <w:sz w:val="18"/>
          <w:szCs w:val="18"/>
          <w:color w:val="auto"/>
        </w:rPr>
        <w:t>Counsel</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2019-12-13T13:08:49Z</dcterms:created>
  <dcterms:modified xsi:type="dcterms:W3CDTF">2019-12-13T13:08:49Z</dcterms:modified>
</cp:coreProperties>
</file>