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166370</wp:posOffset>
            </wp:positionV>
            <wp:extent cx="180848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220" w:type="dxa"/>
        <w:tblCellMar>
          <w:top w:w="0" w:type="dxa"/>
          <w:left w:w="0" w:type="dxa"/>
          <w:bottom w:w="0" w:type="dxa"/>
          <w:right w:w="0" w:type="dxa"/>
        </w:tblCellMar>
      </w:tblPr>
      <w:tr>
        <w:trPr>
          <w:trHeight w:val="235"/>
        </w:trPr>
        <w:tc>
          <w:tcPr>
            <w:tcW w:w="4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right"/>
              <w:ind w:right="990"/>
              <w:spacing w:after="0"/>
              <w:rPr>
                <w:sz w:val="20"/>
                <w:szCs w:val="20"/>
                <w:color w:val="auto"/>
              </w:rPr>
            </w:pPr>
            <w:r>
              <w:rPr>
                <w:rFonts w:ascii="Arial" w:cs="Arial" w:eastAsia="Arial" w:hAnsi="Arial"/>
                <w:sz w:val="18"/>
                <w:szCs w:val="18"/>
                <w:b w:val="1"/>
                <w:bCs w:val="1"/>
                <w:color w:val="auto"/>
              </w:rPr>
              <w:t>1-10658</w:t>
            </w:r>
          </w:p>
        </w:tc>
        <w:tc>
          <w:tcPr>
            <w:tcW w:w="3200" w:type="dxa"/>
            <w:vAlign w:val="bottom"/>
          </w:tcPr>
          <w:p>
            <w:pPr>
              <w:jc w:val="right"/>
              <w:ind w:right="910"/>
              <w:spacing w:after="0"/>
              <w:rPr>
                <w:sz w:val="20"/>
                <w:szCs w:val="20"/>
                <w:color w:val="auto"/>
              </w:rPr>
            </w:pPr>
            <w:r>
              <w:rPr>
                <w:rFonts w:ascii="Arial" w:cs="Arial" w:eastAsia="Arial" w:hAnsi="Arial"/>
                <w:sz w:val="18"/>
                <w:szCs w:val="18"/>
                <w:b w:val="1"/>
                <w:bCs w:val="1"/>
                <w:color w:val="auto"/>
              </w:rPr>
              <w:t>75-1618004</w:t>
            </w:r>
          </w:p>
        </w:tc>
      </w:tr>
      <w:tr>
        <w:trPr>
          <w:trHeight w:val="169"/>
        </w:trPr>
        <w:tc>
          <w:tcPr>
            <w:tcW w:w="45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(State or other jurisdiction of incorporation or</w:t>
            </w:r>
          </w:p>
        </w:tc>
        <w:tc>
          <w:tcPr>
            <w:tcW w:w="140" w:type="dxa"/>
            <w:vAlign w:val="bottom"/>
          </w:tcPr>
          <w:p>
            <w:pPr>
              <w:spacing w:after="0"/>
              <w:rPr>
                <w:sz w:val="14"/>
                <w:szCs w:val="14"/>
                <w:color w:val="auto"/>
              </w:rPr>
            </w:pPr>
          </w:p>
        </w:tc>
        <w:tc>
          <w:tcPr>
            <w:tcW w:w="2920" w:type="dxa"/>
            <w:vAlign w:val="bottom"/>
            <w:tcBorders>
              <w:top w:val="single" w:sz="8" w:color="auto"/>
            </w:tcBorders>
          </w:tcPr>
          <w:p>
            <w:pPr>
              <w:jc w:val="center"/>
              <w:ind w:left="10"/>
              <w:spacing w:after="0" w:line="169" w:lineRule="exact"/>
              <w:rPr>
                <w:sz w:val="20"/>
                <w:szCs w:val="20"/>
                <w:color w:val="auto"/>
              </w:rPr>
            </w:pPr>
            <w:r>
              <w:rPr>
                <w:rFonts w:ascii="Arial" w:cs="Arial" w:eastAsia="Arial" w:hAnsi="Arial"/>
                <w:sz w:val="18"/>
                <w:szCs w:val="18"/>
                <w:color w:val="auto"/>
                <w:w w:val="99"/>
              </w:rPr>
              <w:t>(Commission File Number)</w:t>
            </w:r>
          </w:p>
        </w:tc>
        <w:tc>
          <w:tcPr>
            <w:tcW w:w="3200" w:type="dxa"/>
            <w:vAlign w:val="bottom"/>
            <w:tcBorders>
              <w:top w:val="single" w:sz="8" w:color="auto"/>
            </w:tcBorders>
          </w:tcPr>
          <w:p>
            <w:pPr>
              <w:jc w:val="center"/>
              <w:ind w:left="170"/>
              <w:spacing w:after="0" w:line="169" w:lineRule="exact"/>
              <w:rPr>
                <w:sz w:val="20"/>
                <w:szCs w:val="20"/>
                <w:color w:val="auto"/>
              </w:rPr>
            </w:pPr>
            <w:r>
              <w:rPr>
                <w:rFonts w:ascii="Arial" w:cs="Arial" w:eastAsia="Arial" w:hAnsi="Arial"/>
                <w:sz w:val="18"/>
                <w:szCs w:val="18"/>
                <w:color w:val="auto"/>
              </w:rPr>
              <w:t>(I.R.S. Employer Identification No.)</w:t>
            </w:r>
          </w:p>
        </w:tc>
      </w:tr>
      <w:tr>
        <w:trPr>
          <w:trHeight w:val="239"/>
        </w:trPr>
        <w:tc>
          <w:tcPr>
            <w:tcW w:w="47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organization)</w:t>
            </w:r>
          </w:p>
        </w:tc>
        <w:tc>
          <w:tcPr>
            <w:tcW w:w="292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20"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1470660</wp:posOffset>
            </wp:positionH>
            <wp:positionV relativeFrom="paragraph">
              <wp:posOffset>6985</wp:posOffset>
            </wp:positionV>
            <wp:extent cx="420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Mark Murphy</w:t>
      </w:r>
    </w:p>
    <w:p>
      <w:pPr>
        <w:jc w:val="center"/>
        <w:spacing w:after="0" w:line="203" w:lineRule="auto"/>
        <w:rPr>
          <w:sz w:val="20"/>
          <w:szCs w:val="20"/>
          <w:color w:val="auto"/>
        </w:rPr>
      </w:pPr>
      <w:r>
        <w:rPr>
          <w:rFonts w:ascii="Arial" w:cs="Arial" w:eastAsia="Arial" w:hAnsi="Arial"/>
          <w:sz w:val="18"/>
          <w:szCs w:val="18"/>
          <w:b w:val="1"/>
          <w:bCs w:val="1"/>
          <w:color w:val="auto"/>
        </w:rPr>
        <w:t>Executive Vice President and Chief Financial Officer</w:t>
      </w: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6350</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w:t>
      </w:r>
    </w:p>
    <w:p>
      <w:pPr>
        <w:jc w:val="center"/>
        <w:spacing w:after="0"/>
        <w:rPr>
          <w:sz w:val="20"/>
          <w:szCs w:val="20"/>
          <w:color w:val="auto"/>
        </w:rPr>
      </w:pPr>
      <w:r>
        <w:rPr>
          <w:rFonts w:ascii="Arial" w:cs="Arial" w:eastAsia="Arial" w:hAnsi="Arial"/>
          <w:sz w:val="18"/>
          <w:szCs w:val="18"/>
          <w:color w:val="auto"/>
        </w:rPr>
        <w:t>connection with this report.)</w:t>
      </w:r>
    </w:p>
    <w:p>
      <w:pPr>
        <w:spacing w:after="0" w:line="32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to indicate the rule pursuant to which this Form is being submitted, and provide the period to which the information in this Form applies:</w:t>
      </w:r>
    </w:p>
    <w:p>
      <w:pPr>
        <w:spacing w:after="0" w:line="18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600"/>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Rule 13p-1 under the Securities Exchange Act of 1934, as amended (the “Rule”), we conducted a reasonable country of origin inquiry (“RCOI”) to assess whether conflict minerals necessary to the functionality or production of products we manufactured or contracted to manufacture in calendar year 2025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2025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 copy of this Form SD and the Conflict Minerals Report for the calendar year ended December 31, 2025 are available on our website at https://investors.micron.com/sec-filings. The content of any website referred to in this Form SD is included for general information only and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incorporated by reference in this Form SD</w:t>
      </w:r>
      <w:r>
        <w:rPr>
          <w:rFonts w:ascii="Arial" w:cs="Arial" w:eastAsia="Arial" w:hAnsi="Arial"/>
          <w:sz w:val="21"/>
          <w:szCs w:val="21"/>
          <w:color w:val="008080"/>
        </w:rPr>
        <w:t>.</w:t>
      </w:r>
    </w:p>
    <w:p>
      <w:pPr>
        <w:spacing w:after="0" w:line="27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2025 described in Item 1.01 is filed as Exhibit 1.01 hereto.</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3 - Exhibits</w:t>
      </w:r>
    </w:p>
    <w:p>
      <w:pPr>
        <w:spacing w:after="0" w:line="21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8"/>
          <w:szCs w:val="18"/>
          <w:b w:val="1"/>
          <w:bCs w:val="1"/>
          <w:color w:val="auto"/>
        </w:rPr>
        <w:t>Exhibits.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SD.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FF"/>
        </w:rPr>
        <w:t>Conflict Minerals Report</w:t>
      </w:r>
      <w:r>
        <w:rPr>
          <w:rFonts w:ascii="Arial" w:cs="Arial" w:eastAsia="Arial" w:hAnsi="Arial"/>
          <w:sz w:val="18"/>
          <w:szCs w:val="18"/>
          <w:color w:val="auto"/>
        </w:rPr>
        <w:t xml:space="preserve"> as required by Items 1.01 and 1.02 of this Form SD.</w:t>
      </w:r>
    </w:p>
    <w:p>
      <w:pPr>
        <w:sectPr>
          <w:pgSz w:w="11900" w:h="16838" w:orient="portrait"/>
          <w:cols w:equalWidth="0" w:num="1">
            <w:col w:w="11180"/>
          </w:cols>
          <w:pgMar w:left="320" w:top="142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20" w:type="dxa"/>
            <w:vAlign w:val="bottom"/>
          </w:tcPr>
          <w:p>
            <w:pPr>
              <w:spacing w:after="0"/>
              <w:rPr>
                <w:sz w:val="21"/>
                <w:szCs w:val="21"/>
                <w:color w:val="auto"/>
              </w:rPr>
            </w:pPr>
          </w:p>
        </w:tc>
        <w:tc>
          <w:tcPr>
            <w:tcW w:w="740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820" w:type="dxa"/>
            <w:vAlign w:val="bottom"/>
          </w:tcPr>
          <w:p>
            <w:pPr>
              <w:spacing w:after="0"/>
              <w:rPr>
                <w:sz w:val="20"/>
                <w:szCs w:val="20"/>
                <w:color w:val="auto"/>
              </w:rPr>
            </w:pPr>
            <w:r>
              <w:rPr>
                <w:rFonts w:ascii="Arial" w:cs="Arial" w:eastAsia="Arial" w:hAnsi="Arial"/>
                <w:sz w:val="18"/>
                <w:szCs w:val="18"/>
                <w:color w:val="auto"/>
                <w:w w:val="98"/>
              </w:rPr>
              <w:t>Date:May 20, 2026</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820" w:type="dxa"/>
            <w:vAlign w:val="bottom"/>
          </w:tcPr>
          <w:p>
            <w:pPr>
              <w:spacing w:after="0"/>
              <w:rPr>
                <w:sz w:val="18"/>
                <w:szCs w:val="18"/>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Mark Murphy</w:t>
            </w:r>
          </w:p>
        </w:tc>
      </w:tr>
      <w:tr>
        <w:trPr>
          <w:trHeight w:val="239"/>
        </w:trPr>
        <w:tc>
          <w:tcPr>
            <w:tcW w:w="3820" w:type="dxa"/>
            <w:vAlign w:val="bottom"/>
          </w:tcPr>
          <w:p>
            <w:pPr>
              <w:spacing w:after="0"/>
              <w:rPr>
                <w:sz w:val="20"/>
                <w:szCs w:val="20"/>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auto"/>
        </w:rPr>
        <w:t>Conflict Minerals Report</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Calendar Year 2025</w:t>
      </w:r>
    </w:p>
    <w:p>
      <w:pPr>
        <w:spacing w:after="0" w:line="23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prepared this Conflict Minerals Report (</w:t>
      </w:r>
      <w:r>
        <w:rPr>
          <w:rFonts w:ascii="Arial" w:cs="Arial" w:eastAsia="Arial" w:hAnsi="Arial"/>
          <w:sz w:val="18"/>
          <w:szCs w:val="18"/>
          <w:b w:val="1"/>
          <w:bCs w:val="1"/>
          <w:color w:val="auto"/>
        </w:rPr>
        <w:t>“CMR”</w:t>
      </w:r>
      <w:r>
        <w:rPr>
          <w:rFonts w:ascii="Arial" w:cs="Arial" w:eastAsia="Arial" w:hAnsi="Arial"/>
          <w:sz w:val="18"/>
          <w:szCs w:val="18"/>
          <w:color w:val="auto"/>
        </w:rPr>
        <w:t xml:space="preserve">) pursuant to Rule 13p-1 under the Securities Exchange Act of 1934, as amended (the </w:t>
      </w:r>
      <w:r>
        <w:rPr>
          <w:rFonts w:ascii="Arial" w:cs="Arial" w:eastAsia="Arial" w:hAnsi="Arial"/>
          <w:sz w:val="18"/>
          <w:szCs w:val="18"/>
          <w:b w:val="1"/>
          <w:bCs w:val="1"/>
          <w:color w:val="auto"/>
        </w:rPr>
        <w:t>“Rule”</w:t>
      </w:r>
      <w:r>
        <w:rPr>
          <w:rFonts w:ascii="Arial" w:cs="Arial" w:eastAsia="Arial" w:hAnsi="Arial"/>
          <w:sz w:val="18"/>
          <w:szCs w:val="18"/>
          <w:color w:val="auto"/>
        </w:rPr>
        <w:t>). This CMR covers the calendar year reporting period ended December 31, 2025</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filed as an exhibit to our Form SD. This</w:t>
      </w:r>
      <w:r>
        <w:rPr>
          <w:rFonts w:ascii="Arial" w:cs="Arial" w:eastAsia="Arial" w:hAnsi="Arial"/>
          <w:sz w:val="18"/>
          <w:szCs w:val="18"/>
          <w:b w:val="1"/>
          <w:bCs w:val="1"/>
          <w:color w:val="auto"/>
        </w:rPr>
        <w:t xml:space="preserve"> </w:t>
      </w:r>
      <w:r>
        <w:rPr>
          <w:rFonts w:ascii="Arial" w:cs="Arial" w:eastAsia="Arial" w:hAnsi="Arial"/>
          <w:sz w:val="18"/>
          <w:szCs w:val="18"/>
          <w:color w:val="auto"/>
        </w:rPr>
        <w:t>CMR includes a description of the measures we have taken to exercise due diligence on the source and chain of custody of conflict minerals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(specifically gold, cassiterite, columbite-tantalite and wolframite and their derivatives tin, tantalum, and tungsten (collectively </w:t>
      </w:r>
      <w:r>
        <w:rPr>
          <w:rFonts w:ascii="Arial" w:cs="Arial" w:eastAsia="Arial" w:hAnsi="Arial"/>
          <w:sz w:val="18"/>
          <w:szCs w:val="18"/>
          <w:b w:val="1"/>
          <w:bCs w:val="1"/>
          <w:color w:val="auto"/>
        </w:rPr>
        <w:t>“3TG”</w:t>
      </w:r>
      <w:r>
        <w:rPr>
          <w:rFonts w:ascii="Arial" w:cs="Arial" w:eastAsia="Arial" w:hAnsi="Arial"/>
          <w:sz w:val="18"/>
          <w:szCs w:val="18"/>
          <w:color w:val="auto"/>
        </w:rPr>
        <w:t xml:space="preserve"> or </w:t>
      </w:r>
      <w:r>
        <w:rPr>
          <w:rFonts w:ascii="Arial" w:cs="Arial" w:eastAsia="Arial" w:hAnsi="Arial"/>
          <w:sz w:val="18"/>
          <w:szCs w:val="18"/>
          <w:b w:val="1"/>
          <w:bCs w:val="1"/>
          <w:color w:val="auto"/>
        </w:rPr>
        <w:t>“conflict minerals”</w:t>
      </w:r>
      <w:r>
        <w:rPr>
          <w:rFonts w:ascii="Arial" w:cs="Arial" w:eastAsia="Arial" w:hAnsi="Arial"/>
          <w:sz w:val="18"/>
          <w:szCs w:val="18"/>
          <w:color w:val="auto"/>
        </w:rPr>
        <w:t>)) necessary to the functionality or production of our memory and storage products manufactured during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2025.</w:t>
      </w: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Our Commitment to Responsible Sourcing:</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or adjoining countries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 are not used in the manufacture of Micron products. We also believe that responsible sourcing means continuing to support stable economic development in the Covered Countries (rather than a Covered Country embargo), and accordingly we do not prohibit our suppliers from using 3TG metals sourced from the Covered Countries, provided that the metal sources are compliant with our program requirements. Our conflict mineral supply chain monitoring program is consistent with the Organisation for Economic Co-operation and Development Due Diligence Guidance for Responsible Supply Chains of Minerals from Conflict-Affected and High-Risk Areas (Third Edition) (the “</w:t>
      </w:r>
      <w:r>
        <w:rPr>
          <w:rFonts w:ascii="Arial" w:cs="Arial" w:eastAsia="Arial" w:hAnsi="Arial"/>
          <w:sz w:val="18"/>
          <w:szCs w:val="18"/>
          <w:b w:val="1"/>
          <w:bCs w:val="1"/>
          <w:color w:val="auto"/>
        </w:rPr>
        <w:t>OECD Guidance</w:t>
      </w:r>
      <w:r>
        <w:rPr>
          <w:rFonts w:ascii="Arial" w:cs="Arial" w:eastAsia="Arial" w:hAnsi="Arial"/>
          <w:sz w:val="18"/>
          <w:szCs w:val="18"/>
          <w:color w:val="auto"/>
        </w:rPr>
        <w:t>”) and integrates tools developed by the Responsible Minerals Initiative (</w:t>
      </w:r>
      <w:r>
        <w:rPr>
          <w:rFonts w:ascii="Arial" w:cs="Arial" w:eastAsia="Arial" w:hAnsi="Arial"/>
          <w:sz w:val="18"/>
          <w:szCs w:val="18"/>
          <w:b w:val="1"/>
          <w:bCs w:val="1"/>
          <w:color w:val="auto"/>
        </w:rPr>
        <w:t>“RMI”</w:t>
      </w:r>
      <w:r>
        <w:rPr>
          <w:rFonts w:ascii="Arial" w:cs="Arial" w:eastAsia="Arial" w:hAnsi="Arial"/>
          <w:sz w:val="18"/>
          <w:szCs w:val="18"/>
          <w:color w:val="auto"/>
        </w:rPr>
        <w:t>).</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Micron is a founding member of RMI (member ID MICR). We continue to support RMI and its Responsible Minerals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third-party auditing program,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 as part of our commitment to drive ethical sourcing of 3TG metals throughout our supply chain. In 2025, we continued working with RMI and provided leadership through multiple RMI leadership working groups, including the RMI Smelter Engagement Team (</w:t>
      </w:r>
      <w:r>
        <w:rPr>
          <w:rFonts w:ascii="Arial" w:cs="Arial" w:eastAsia="Arial" w:hAnsi="Arial"/>
          <w:sz w:val="18"/>
          <w:szCs w:val="18"/>
          <w:b w:val="1"/>
          <w:bCs w:val="1"/>
          <w:color w:val="auto"/>
        </w:rPr>
        <w:t>“RMI-SET”</w:t>
      </w:r>
      <w:r>
        <w:rPr>
          <w:rFonts w:ascii="Arial" w:cs="Arial" w:eastAsia="Arial" w:hAnsi="Arial"/>
          <w:sz w:val="18"/>
          <w:szCs w:val="18"/>
          <w:color w:val="auto"/>
        </w:rPr>
        <w:t>) Onboard, RMI-SET Retain, RMI-SET Leaders, Multi-Stakeholder, Gold, Due Diligence Practices, Mineral Reporting Templates, and RMI Plenary Working Groups. To learn more about RMI’s initiatives to help companies achieve a responsible minerals supply chain and the RMAP visit www.responsiblemineralsinitiative.org.</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Micron’s Conflict Minerals Policy is published at </w:t>
      </w:r>
      <w:r>
        <w:rPr>
          <w:rFonts w:ascii="Arial" w:cs="Arial" w:eastAsia="Arial" w:hAnsi="Arial"/>
          <w:sz w:val="18"/>
          <w:szCs w:val="18"/>
          <w:u w:val="single" w:color="auto"/>
          <w:color w:val="auto"/>
        </w:rPr>
        <w:t>https://www.micron.com/about/sustainability/sustainability-resources/conflict-minerals-policy.</w:t>
      </w:r>
      <w:r>
        <w:rPr>
          <w:rFonts w:ascii="Arial" w:cs="Arial" w:eastAsia="Arial" w:hAnsi="Arial"/>
          <w:sz w:val="18"/>
          <w:szCs w:val="18"/>
          <w:color w:val="auto"/>
        </w:rPr>
        <w:t xml:space="preserve"> For our responsible minerals supplier requirements, see our Micron Supplier Requirements Standard (</w:t>
      </w:r>
      <w:r>
        <w:rPr>
          <w:rFonts w:ascii="Arial" w:cs="Arial" w:eastAsia="Arial" w:hAnsi="Arial"/>
          <w:sz w:val="18"/>
          <w:szCs w:val="18"/>
          <w:b w:val="1"/>
          <w:bCs w:val="1"/>
          <w:color w:val="auto"/>
        </w:rPr>
        <w:t>“SRS”</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https://www.micron.com/about/company/suppliers</w:t>
      </w:r>
      <w:r>
        <w:rPr>
          <w:rFonts w:ascii="Arial" w:cs="Arial" w:eastAsia="Arial" w:hAnsi="Arial"/>
          <w:sz w:val="18"/>
          <w:szCs w:val="18"/>
          <w:color w:val="auto"/>
        </w:rPr>
        <w:t>. The content of any website referred to in this CMR is included for general information only and is not incorporated by reference in this 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hanging="652"/>
        <w:spacing w:after="0" w:line="218" w:lineRule="auto"/>
        <w:tabs>
          <w:tab w:leader="none" w:pos="277"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 and its subsidiaries.</w:t>
      </w:r>
    </w:p>
    <w:p>
      <w:pPr>
        <w:ind w:left="280" w:hanging="272"/>
        <w:spacing w:after="0" w:line="196" w:lineRule="auto"/>
        <w:tabs>
          <w:tab w:leader="none" w:pos="28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Unless otherwise noted, any designation of years refers to calendar years.</w:t>
      </w:r>
    </w:p>
    <w:p>
      <w:pPr>
        <w:ind w:left="280" w:hanging="272"/>
        <w:spacing w:after="0" w:line="196" w:lineRule="auto"/>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w:t>
      </w:r>
    </w:p>
    <w:p>
      <w:pPr>
        <w:spacing w:after="0" w:line="11" w:lineRule="exact"/>
        <w:rPr>
          <w:sz w:val="20"/>
          <w:szCs w:val="20"/>
          <w:color w:val="auto"/>
        </w:rPr>
      </w:pPr>
    </w:p>
    <w:p>
      <w:pPr>
        <w:ind w:left="660" w:right="40" w:hanging="652"/>
        <w:spacing w:after="0" w:line="223" w:lineRule="auto"/>
        <w:tabs>
          <w:tab w:leader="none" w:pos="277"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The term “responsible minerals” as used herein refers to a process to verify that relevant smelters or refiners are Conformant with the RMI’s RMAP or an equivalent third-party auditing program.</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Overview of Micron’s Responsible Minerals Program:</w:t>
      </w:r>
    </w:p>
    <w:p>
      <w:pPr>
        <w:spacing w:after="0" w:line="25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3TG metals from smelters and refiners validated as Conformant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responsible minerals 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Jewellery Council (</w:t>
      </w:r>
      <w:r>
        <w:rPr>
          <w:rFonts w:ascii="Arial" w:cs="Arial" w:eastAsia="Arial" w:hAnsi="Arial"/>
          <w:sz w:val="18"/>
          <w:szCs w:val="18"/>
          <w:b w:val="1"/>
          <w:bCs w:val="1"/>
          <w:color w:val="auto"/>
        </w:rPr>
        <w:t>“RJC”</w:t>
      </w:r>
      <w:r>
        <w:rPr>
          <w:rFonts w:ascii="Arial" w:cs="Arial" w:eastAsia="Arial" w:hAnsi="Arial"/>
          <w:sz w:val="18"/>
          <w:szCs w:val="18"/>
          <w:color w:val="auto"/>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consistent with the OECD Guidance; encourage suppliers to adopt responsible sourcing practices; and collaborate with industry stakeholders through our leadership in RMI. To further transparency in the conflict mineral supply chain, in addition to publicly reporting the results of our due diligence efforts annually, we share our due diligence results directly with our customers.</w:t>
      </w:r>
    </w:p>
    <w:p>
      <w:pPr>
        <w:spacing w:after="0" w:line="208"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In 2025, we requested that all new suppliers take a Supplier Compliance Training, which helped increase awareness of and focus on our requirement that Micron suppliers may only use Conformant smelters and refiners. All of our applicable suppliers for 2025 provided CMRT responses and the associated supply chain data. As a result of our supplier engagement efforts during 2025, and for the ninth consecutive year, based on the information provided by our suppliers, no supplier within our memory and storage products supply chain reported any smelters or refiners that had a Non-Conformant status with RMI as of December 31, 2025. Only one of our smelters and refiners was listed as Active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by RMI as of December 31, 2025. We monitor Active smelters and refiners in our supply chain while they progress through the RMI assessment or re-assessment process. We also continued to implement our resolution process to quickly identify and work toward removal of smelters and refiners from our supply chain either (a) when they drop out of the RMI, LBMA, or RJC programs and thus become Non-Conformant or (b) when their Conformant status with RMI is no longer valid.</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Based on the information provided by our suppliers and our due diligence efforts through December 31, 2025, we identified a total of 191 smelters and refiners we believe were in our memory and storage products supply chain at any point during the year ended December 31, 2025, none of which had a Non-Conformant status with RMI at the time they entered our supply chain. 27 smelters and refiners that were reported by our suppliers to be in our memory and storage products supply chain during 2025 were subsequently determined, on or prior to December 31, 2025, to be inoperative or removed. We determined that 164 smelters and refiners were in our memory and storage products supply chain as of December 31, 2025, of which 163 were validated as Conformant and one was listed as Active with RMI.</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Our Outreach to Suppliers and Reasonable Country of Origin Inquiry</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collect information at least annually utilizing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from applicable suppliers regarding their supply chains, including the names and locations of smelters and refiners of 3TG and whether any 3TG are sourced from Covered Countries or from conflict-affected and high-risk areas. We then ask that suppliers review and acknowledge our Conflict Minerals Policy and our SRS, which outlines our expectations that all smelters and refiners in our supply chain are, and remain, validated as Conformant.</w:t>
      </w:r>
    </w:p>
    <w:p>
      <w:pPr>
        <w:spacing w:after="0" w:line="206" w:lineRule="exact"/>
        <w:rPr>
          <w:sz w:val="20"/>
          <w:szCs w:val="20"/>
          <w:color w:val="auto"/>
        </w:rPr>
      </w:pPr>
    </w:p>
    <w:p>
      <w:pPr>
        <w:ind w:right="1020"/>
        <w:spacing w:after="0" w:line="271" w:lineRule="auto"/>
        <w:rPr>
          <w:sz w:val="20"/>
          <w:szCs w:val="20"/>
          <w:color w:val="auto"/>
        </w:rPr>
      </w:pPr>
      <w:r>
        <w:rPr>
          <w:rFonts w:ascii="Arial" w:cs="Arial" w:eastAsia="Arial" w:hAnsi="Arial"/>
          <w:sz w:val="18"/>
          <w:szCs w:val="18"/>
          <w:color w:val="auto"/>
        </w:rPr>
        <w:t>In addition, we required that new suppliers in our memory and storage products supply chain participate in our Supplier Lifecycle Performance Management process as they were added to our memory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660" w:right="220" w:hanging="652"/>
        <w:spacing w:after="0" w:line="226" w:lineRule="auto"/>
        <w:tabs>
          <w:tab w:leader="none" w:pos="277"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 are necessary to the function or manufacture of our memory and storage products. The term “supplier(s)” does not include suppliers and manufacturers to the extent that they supply us with equipment or tools used in manufacturing our products.</w:t>
      </w:r>
    </w:p>
    <w:p>
      <w:pPr>
        <w:ind w:left="280" w:hanging="272"/>
        <w:spacing w:after="0" w:line="194" w:lineRule="auto"/>
        <w:tabs>
          <w:tab w:leader="none" w:pos="28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The term “Conformant” means that a smelter or refiner is verified as Conformant with the RMI’s RMAP or an equivalent third-party auditing program.</w:t>
      </w:r>
    </w:p>
    <w:p>
      <w:pPr>
        <w:spacing w:after="0" w:line="1" w:lineRule="exact"/>
        <w:rPr>
          <w:sz w:val="20"/>
          <w:szCs w:val="20"/>
          <w:color w:val="auto"/>
        </w:rPr>
      </w:pPr>
    </w:p>
    <w:p>
      <w:pPr>
        <w:ind w:left="660" w:right="620" w:hanging="652"/>
        <w:spacing w:after="0" w:line="227" w:lineRule="auto"/>
        <w:tabs>
          <w:tab w:leader="none" w:pos="29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term “Active,” with respect to RMI, means that a smelter or refiner has committed to undergo an RMAP assessment, completed the relevant documents, and scheduled an on-site assessment.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9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storage products supply chain throughout the year, and we requested that they complete our formal Supplier Compliance Training program.</w:t>
      </w:r>
    </w:p>
    <w:p>
      <w:pPr>
        <w:spacing w:after="0" w:line="23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 Throughout 2025, we worked with our suppliers to help raise awareness of our expectations, provide ongoing education concerning our requirements, and provide training through our risk mitigation and escalation process.</w:t>
      </w:r>
    </w:p>
    <w:p>
      <w:pPr>
        <w:spacing w:after="0" w:line="2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Our outreach to suppliers, which included our reasonable country of origin inquiry, provided us with aggregated country of origin information on the origin of 3TG from smelters and refiners reported to be in our memory and storage products supply chain in 2025. Although we were unable to determine mine-specific country of origin information, we had reason to believe that at least some sourcing was from the DRC and adjoining countries. Accordingly, we conducted due diligence on the chain and custody of 3TG and prepared this CMR.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Our Conflict Minerals Due Diligence Program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Our Conflict Minerals Due Diligence Program Design</w:t>
      </w:r>
    </w:p>
    <w:p>
      <w:pPr>
        <w:spacing w:after="0" w:line="237" w:lineRule="exact"/>
        <w:rPr>
          <w:sz w:val="20"/>
          <w:szCs w:val="20"/>
          <w:color w:val="auto"/>
        </w:rPr>
      </w:pPr>
    </w:p>
    <w:p>
      <w:pPr>
        <w:jc w:val="both"/>
        <w:ind w:right="120"/>
        <w:spacing w:after="0" w:line="245" w:lineRule="auto"/>
        <w:rPr>
          <w:sz w:val="20"/>
          <w:szCs w:val="20"/>
          <w:color w:val="auto"/>
        </w:rPr>
      </w:pPr>
      <w:r>
        <w:rPr>
          <w:rFonts w:ascii="Arial" w:cs="Arial" w:eastAsia="Arial" w:hAnsi="Arial"/>
          <w:sz w:val="18"/>
          <w:szCs w:val="18"/>
          <w:color w:val="auto"/>
        </w:rPr>
        <w:t>We have designed our conflict minerals due diligence program in conformance, in all material respects, with the principles of the OECD Guidance and the supplements thereto as applied to downstream companies. As a downstream purchaser of 3TG metals, our due diligence</w:t>
      </w:r>
    </w:p>
    <w:p>
      <w:pPr>
        <w:spacing w:after="0" w:line="226" w:lineRule="auto"/>
        <w:rPr>
          <w:sz w:val="20"/>
          <w:szCs w:val="20"/>
          <w:color w:val="auto"/>
        </w:rPr>
      </w:pPr>
      <w:r>
        <w:rPr>
          <w:rFonts w:ascii="Arial" w:cs="Arial" w:eastAsia="Arial" w:hAnsi="Arial"/>
          <w:sz w:val="18"/>
          <w:szCs w:val="18"/>
          <w:color w:val="auto"/>
        </w:rPr>
        <w:t>program can provide only reasonable, not absolute, assurance regarding the source and chain of custody of the 3TG metals necessary to the functionality or production of our products. Our due diligence processes are based on the necessity of seeking data from our direct suppliers</w:t>
      </w:r>
    </w:p>
    <w:p>
      <w:pPr>
        <w:spacing w:after="0" w:line="2"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and those suppliers seeking similar information within their supply chains to identify the original sources of the 3TG metals contained in our memory and storage products. We also rely, to a large extent, on information collected and provided by RMI and other third-party auditing programs. Such sources of information may yield inaccurate, incomplete, or over-inclusive information and may be subject to fraud.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Our Conflict Minerals Due Diligence for 2025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2.2.1 Our Management Systems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year ended December 31, 2025, management of our responsible minerals program was provided by a cross-functional Responsible Minerals Steering Team (“</w:t>
      </w:r>
      <w:r>
        <w:rPr>
          <w:rFonts w:ascii="Arial" w:cs="Arial" w:eastAsia="Arial" w:hAnsi="Arial"/>
          <w:sz w:val="18"/>
          <w:szCs w:val="18"/>
          <w:b w:val="1"/>
          <w:bCs w:val="1"/>
          <w:color w:val="auto"/>
        </w:rPr>
        <w:t>Steering Team</w:t>
      </w:r>
      <w:r>
        <w:rPr>
          <w:rFonts w:ascii="Arial" w:cs="Arial" w:eastAsia="Arial" w:hAnsi="Arial"/>
          <w:sz w:val="18"/>
          <w:szCs w:val="18"/>
          <w:color w:val="auto"/>
        </w:rPr>
        <w:t>”), with representatives from Micron’s Procurement, Supply Chain, Finance, Sales, Sustainability, and Legal departments, headed by a senior procurement compliance manager. The Steering Team met at least monthly during the year ended December 31, 2025, to review progress towards maintaining our goal of a responsibly-sourced supply chain. Oversight of the Steering Team was provided by a cross-functional Responsible Minerals Executive Team (“</w:t>
      </w:r>
      <w:r>
        <w:rPr>
          <w:rFonts w:ascii="Arial" w:cs="Arial" w:eastAsia="Arial" w:hAnsi="Arial"/>
          <w:sz w:val="18"/>
          <w:szCs w:val="18"/>
          <w:b w:val="1"/>
          <w:bCs w:val="1"/>
          <w:color w:val="auto"/>
        </w:rPr>
        <w:t>Executive Team</w:t>
      </w:r>
      <w:r>
        <w:rPr>
          <w:rFonts w:ascii="Arial" w:cs="Arial" w:eastAsia="Arial" w:hAnsi="Arial"/>
          <w:sz w:val="18"/>
          <w:szCs w:val="18"/>
          <w:color w:val="auto"/>
        </w:rPr>
        <w:t>”) comprised of Vice President-level executives, and the Executive Team is charged with sponsoring and reviewing our responsible minerals program. In addition, our Global Supply Chain Compliance Council, which includes a subset of the Executive Team, is charged with direct oversight of our responsible sourcing program. During the year ended December 31, 2025, the Steering Team reported regularly to the Global Supply Chain Compliance Council to review our progress towards our goal of achieving a responsibly-sourced supply chain.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Micron’s Conflict Minerals Policy is published at </w:t>
      </w:r>
      <w:r>
        <w:rPr>
          <w:rFonts w:ascii="Arial" w:cs="Arial" w:eastAsia="Arial" w:hAnsi="Arial"/>
          <w:sz w:val="18"/>
          <w:szCs w:val="18"/>
          <w:u w:val="single" w:color="auto"/>
          <w:color w:val="auto"/>
        </w:rPr>
        <w:t>https://www.micron.com/about/sustainability/sustainability-resources/conflict-minerals-policy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79" w:right="339" w:bottom="1440" w:gutter="0" w:footer="0" w:header="0"/>
        </w:sectPr>
      </w:pPr>
    </w:p>
    <w:bookmarkStart w:id="6" w:name="page7"/>
    <w:bookmarkEnd w:id="6"/>
    <w:p>
      <w:pPr>
        <w:ind w:right="140"/>
        <w:spacing w:after="0" w:line="262" w:lineRule="auto"/>
        <w:rPr>
          <w:sz w:val="20"/>
          <w:szCs w:val="20"/>
          <w:color w:val="auto"/>
        </w:rPr>
      </w:pPr>
      <w:r>
        <w:rPr>
          <w:rFonts w:ascii="Arial" w:cs="Arial" w:eastAsia="Arial" w:hAnsi="Arial"/>
          <w:sz w:val="18"/>
          <w:szCs w:val="18"/>
          <w:color w:val="auto"/>
        </w:rPr>
        <w:t>We also continued to incorporate our responsible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helpline, which can be used to report issues relating to conflict minerals. Our program includes a sixteen-year record retention policy for our responsible minerals documents.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elements of our management systems are described in “Overview of Micron’s Responsible Minerals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2.2.2 Our Risk Assessment</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specific country of origin of some of the necessary 3TG metals contained in memory and storage products we manufactured and sold during the year ended December 31, 2025 and/or whether some of the memory and storage products we manufactured and sold during the year ended December 31, 2025 contained 3TG metals that may have directly or indirectly financed or benefited armed groups in the DRC or an adjoining country.</w:t>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our due diligence process, we collected, screened, and analyzed CMRTs from all applicable suppliers for the year ended December 31, 2025. We provided our suppliers with formal notification of Micron’s requirements to convey our expectations that they report to us any changes to their supply chains that would affect their CMRT status.</w:t>
      </w:r>
    </w:p>
    <w:p>
      <w:pPr>
        <w:spacing w:after="0" w:line="198"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reviewed all CMRT responses and updates received for the year ended December 31, 2025, and determined whether the disclosed smelters or refiners were recognized by RMI or equivalents as processors of 3TG metals, and if so, whether they had been validated as Conformant by these organizations. We reviewed supplier CMRTs for accuracy and overall adherence to our responsible minerals requirements, as delivered through our inquiry letter to suppliers, and we began our risk mitigation (and escalation processes, if necessary) set out in our responsible minerals procedures with suppliers having disclosed any smelters or refiners that were not Conformant.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elements of our risk assessment process are described in “Overview of Micron’s Responsible Minerals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2.2.3 Our Risk Management</w:t>
      </w:r>
    </w:p>
    <w:p>
      <w:pPr>
        <w:spacing w:after="0" w:line="23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If a supplier delivers a CMRT that includes smelters or refiners not listed as Conformant, we implement our risk mitigation procedures, beginning with direct outreach to the supplier and escalating discussions up through the management structure of our respective companies. We work with these suppliers throughout the risk mitigation process to provide awareness of Micron’s goal to only source from Conformant smelters or refiners. 27 smelters and refiners that were reported to be in our memory and storage products supply chain during 2025 were subsequently determined, on or prior to December 31, 2025, to be inoperative or removed. As of December 31, 2025, one of the smelters and refiners in our memory and storage products supply chain was listed as Active with RMI.</w:t>
      </w:r>
    </w:p>
    <w:p>
      <w:pPr>
        <w:spacing w:after="0" w:line="20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members of multiple RMI working groups, including the RMI-SET Onboard, RMI-SET Retain, RMI-SET Leaders, which are tasked with identifying and influencing smelters and refiners in the supply chains of RMI members to join the RMAP and become validated as responsibly sourced. Micron also has additional RMI formal representation and leadership positions on multiple RMI working groups, including the RMI-SET Onboard, RMI-SET Retain, RMI-SET Leaders, Multi-Stakeholder, Gold, Due Diligence Practices, Mineral Reporting Templates, and RMI Plenary Working Groups. Through our membership dues and audit fund contributions, we provide funding to DRC in-region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2.2.4 Smelter and Refiner Auditing</w:t>
      </w: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we do not source necessary 3TG metals directly from smelters or refiners, we rely on independent third-party auditing programs, such as the RMAP, LBMA, and RJC to coordinate audits of smelters and refiners in our memory and storage products supply chain.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2.2.5 Reporting</w:t>
      </w:r>
    </w:p>
    <w:p>
      <w:pPr>
        <w:spacing w:after="0" w:line="25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report our annual conflict minerals due diligence results of our responsible minerals program to the U.S. Securities and Exchange Commission through the Form SD and the CMR. We make the Form SD and CMR available on our company website.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Our Product Descriptions</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dynamic random access memory (“</w:t>
      </w:r>
      <w:r>
        <w:rPr>
          <w:rFonts w:ascii="Arial" w:cs="Arial" w:eastAsia="Arial" w:hAnsi="Arial"/>
          <w:sz w:val="18"/>
          <w:szCs w:val="18"/>
          <w:b w:val="1"/>
          <w:bCs w:val="1"/>
          <w:color w:val="auto"/>
        </w:rPr>
        <w:t>DRAM</w:t>
      </w:r>
      <w:r>
        <w:rPr>
          <w:rFonts w:ascii="Arial" w:cs="Arial" w:eastAsia="Arial" w:hAnsi="Arial"/>
          <w:sz w:val="18"/>
          <w:szCs w:val="18"/>
          <w:color w:val="auto"/>
        </w:rPr>
        <w:t>”), NAND, and NOR (both as described below). We sell our products through our business units into various markets in numerous forms, including: components, modules, solid state drives (“</w:t>
      </w:r>
      <w:r>
        <w:rPr>
          <w:rFonts w:ascii="Arial" w:cs="Arial" w:eastAsia="Arial" w:hAnsi="Arial"/>
          <w:sz w:val="18"/>
          <w:szCs w:val="18"/>
          <w:b w:val="1"/>
          <w:bCs w:val="1"/>
          <w:color w:val="auto"/>
        </w:rPr>
        <w:t>SSDs</w:t>
      </w:r>
      <w:r>
        <w:rPr>
          <w:rFonts w:ascii="Arial" w:cs="Arial" w:eastAsia="Arial" w:hAnsi="Arial"/>
          <w:sz w:val="18"/>
          <w:szCs w:val="18"/>
          <w:color w:val="auto"/>
        </w:rPr>
        <w:t>”), managed NAND, multi-chip packages, and wafers. Many of our system-level solutions combine NAND, a controller, firmware, and in some cases DRAM. During the year ended December 31, 2025, we manufactured or contracted to manufacture the following types of memory and storage products containing 3TG metals.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DRAM</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DRAM products are dynamic random access memory semiconductor devices with low latency that provide high-speed data retrieval with a variety of performance characteristics. DRAM products lose content when power is turned off (“</w:t>
      </w:r>
      <w:r>
        <w:rPr>
          <w:rFonts w:ascii="Arial" w:cs="Arial" w:eastAsia="Arial" w:hAnsi="Arial"/>
          <w:sz w:val="18"/>
          <w:szCs w:val="18"/>
          <w:b w:val="1"/>
          <w:bCs w:val="1"/>
          <w:color w:val="auto"/>
        </w:rPr>
        <w:t>volatile</w:t>
      </w:r>
      <w:r>
        <w:rPr>
          <w:rFonts w:ascii="Arial" w:cs="Arial" w:eastAsia="Arial" w:hAnsi="Arial"/>
          <w:sz w:val="18"/>
          <w:szCs w:val="18"/>
          <w:color w:val="auto"/>
        </w:rPr>
        <w:t>”) and are most commonly used in the data center, client PC, graphics, industrial, mobile, and automotive markets.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NAND</w:t>
      </w:r>
    </w:p>
    <w:p>
      <w:pPr>
        <w:spacing w:after="0" w:line="25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NAND products are non-volatile, re-writeable semiconductor storage devices that provide high-capacity, low-cost storage with a variety of performance characteristics. NAND is used in SSDs for the data center, client PC, consumer, and automotive markets and in removable storage markets. Managed NAND is used in smartphones and other mobile devices, and in the consumer, automotive, and embedded markets. Low-density NAND is ideal for applications like automotive, surveillance, machine-to-machine, automation, printer, and home networking.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w:t>
      </w:r>
    </w:p>
    <w:p>
      <w:pPr>
        <w:spacing w:after="0" w:line="2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Due Diligence Review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Reported Smelters and Refiners Used to Process 3TG Metals</w:t>
      </w:r>
    </w:p>
    <w:p>
      <w:pPr>
        <w:spacing w:after="0" w:line="23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Throughout 2025, we worked with our suppliers in an effort to source only from smelters and refiners that were validated as Conformant with a responsibly-sourced auditing program. Based on the responses of our suppliers, we identified 191 smelters and refiners that are recognized by RMI, LBMA, or RJC to be processors of 3TG metals and that we believe were potentially in our memory and storage products supply chain for the year ended December 31, 2025, none of which had a Non-Conformant status with RMI at the time they entered our supply chain. 27 smelters and refiners that were reported to be in our memory and storage products supply chain during 2025 were subsequently determined, on or prior to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095" w:right="37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December 31, 2025, to be inoperative or removed. Therefore, based on such information, we believe that 164 smelters and refiners were in our memory and storage products supply chain as of December 31, 2025, of which 163 were validated as Conformant and one was listed as Active with RMI.</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and locations of all of the potential smelters and refiners in our memory and storage products supply chain as reported by our suppliers for the year ended December 31,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Aggregated Countries of Origin of 3TG Metals</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due diligence efforts did not result in sufficient information to conclusively determine the countries of origin of all necessary 3TG metals in our products. Appendix B sets forth a list of potential countries of origin of 3TG metals that may be in our products based on information provided to us by our suppliers and RMI, all of which information is available to us (and is therefore being disclosed) on an aggregated basis only for RMAP Conformant smelters.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Mine or Location of Origin</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18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required the suppliers in our memory and storage products supply chain to complete the RMI CMRT. We reviewed the supplier responses as well as information available through RMI on the mine or location of origin of 3TG metals processed by these smelters and refiners collectively. Our suppliers’ responses and the RMI’s information did not provide sufficiently detailed information for us to determine the mine or location of origin of the necessary 3TG in our products for the calendar year 2025.</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2026 Due Diligence Improvement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2026 reporting year, Micron intends to:</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engage with and provide active participation and leadership in the various RMI working groups;</w:t>
      </w:r>
    </w:p>
    <w:p>
      <w:pPr>
        <w:spacing w:after="0" w:line="252"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proactively engage with all suppliers in an effort to accomplish our goal that all smelters and refiners in our supply chain are Conformant; and</w:t>
      </w:r>
    </w:p>
    <w:p>
      <w:pPr>
        <w:spacing w:after="0" w:line="179"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refine and improve our responsible minerals program to ensure quick remediation of any 3TG smelter or refiner that loses Conformant status.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right="60"/>
        <w:spacing w:after="0" w:line="371" w:lineRule="auto"/>
        <w:rPr>
          <w:sz w:val="20"/>
          <w:szCs w:val="20"/>
          <w:color w:val="auto"/>
        </w:rPr>
      </w:pPr>
      <w:r>
        <w:rPr>
          <w:rFonts w:ascii="Arial" w:cs="Arial" w:eastAsia="Arial" w:hAnsi="Arial"/>
          <w:sz w:val="18"/>
          <w:szCs w:val="18"/>
          <w:i w:val="1"/>
          <w:iCs w:val="1"/>
          <w:color w:val="auto"/>
        </w:rPr>
        <w:t>This Conflict Minerals Report contains forward looking statements related to our conflict minerals due diligence programs for 2026.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1079" w:right="419" w:bottom="1440" w:gutter="0" w:footer="0" w:header="0"/>
        </w:sectPr>
      </w:pPr>
    </w:p>
    <w:bookmarkStart w:id="9" w:name="page10"/>
    <w:bookmarkEnd w:id="9"/>
    <w:p>
      <w:pPr>
        <w:spacing w:after="0"/>
        <w:rPr>
          <w:sz w:val="20"/>
          <w:szCs w:val="20"/>
          <w:color w:val="auto"/>
        </w:rPr>
      </w:pPr>
      <w:r>
        <w:rPr>
          <w:rFonts w:ascii="Arial" w:cs="Arial" w:eastAsia="Arial" w:hAnsi="Arial"/>
          <w:sz w:val="40"/>
          <w:szCs w:val="40"/>
          <w:b w:val="1"/>
          <w:bCs w:val="1"/>
          <w:color w:val="auto"/>
        </w:rPr>
        <w:t>Appendix A</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Reported 3TG Smelters and Refiners List</w:t>
      </w:r>
    </w:p>
    <w:p>
      <w:pPr>
        <w:spacing w:after="0" w:line="2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table provides the names and locations of all of the potential 3TG smelters and refiners in our memory and storage products supply chain that were reported by our suppliers for the year ended December 31, 2025. This table reflects the (i) smelter or refiner’s Conformant or Active status as reflected in the RMI Smelter Database as of December 31, 2025 and (ii) names and locations of such smelters and refiners as listed in the RMI Smelter Database as of November 28, 2025. We cannot confirm which of the smelters and refiners in this table processed the necessary 3TG metals contained in our products, as many of our suppliers identified all smelters and refiners in their total supply chain rather than just those smelters and refiners associated with products sold to us.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5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5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Abington Reldan Metals, LLC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Advanced Chemical Company</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Agosi AG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Aida Chemical Industries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Almalyk Mining and Metallurgical Complex (AMMC)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Uzbekistan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AngloGold Ashanti Corrego do Sitio Mineracao</w:t>
            </w:r>
          </w:p>
        </w:tc>
        <w:tc>
          <w:tcPr>
            <w:tcW w:w="3560" w:type="dxa"/>
            <w:vAlign w:val="bottom"/>
          </w:tcPr>
          <w:p>
            <w:pPr>
              <w:ind w:left="600"/>
              <w:spacing w:after="0"/>
              <w:rPr>
                <w:sz w:val="20"/>
                <w:szCs w:val="20"/>
                <w:color w:val="auto"/>
              </w:rPr>
            </w:pPr>
            <w:r>
              <w:rPr>
                <w:rFonts w:ascii="Arial" w:cs="Arial" w:eastAsia="Arial" w:hAnsi="Arial"/>
                <w:sz w:val="18"/>
                <w:szCs w:val="18"/>
                <w:color w:val="auto"/>
              </w:rPr>
              <w:t>Brazil</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Argor-Heraeus S.A.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METALFINE, Inc.</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Asahi Refining Canada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Canada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Refining USA Inc.</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Aurubis AG, Hamburg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Bangalore Refinery</w:t>
            </w:r>
          </w:p>
        </w:tc>
        <w:tc>
          <w:tcPr>
            <w:tcW w:w="3560" w:type="dxa"/>
            <w:vAlign w:val="bottom"/>
          </w:tcPr>
          <w:p>
            <w:pPr>
              <w:ind w:left="60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Bangko Sentral ng Pilipinas (Central Bank of the Philippines)</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Philippines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Boliden Ronnskar</w:t>
            </w:r>
          </w:p>
        </w:tc>
        <w:tc>
          <w:tcPr>
            <w:tcW w:w="3560" w:type="dxa"/>
            <w:vAlign w:val="bottom"/>
          </w:tcPr>
          <w:p>
            <w:pPr>
              <w:ind w:left="600"/>
              <w:spacing w:after="0"/>
              <w:rPr>
                <w:sz w:val="20"/>
                <w:szCs w:val="20"/>
                <w:color w:val="auto"/>
              </w:rPr>
            </w:pPr>
            <w:r>
              <w:rPr>
                <w:rFonts w:ascii="Arial" w:cs="Arial" w:eastAsia="Arial" w:hAnsi="Arial"/>
                <w:sz w:val="18"/>
                <w:szCs w:val="18"/>
                <w:color w:val="auto"/>
              </w:rPr>
              <w:t>Sweden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 Hafner GmbH + Co. KG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CCR Refinery - Glencore Canada Corporation</w:t>
            </w:r>
          </w:p>
        </w:tc>
        <w:tc>
          <w:tcPr>
            <w:tcW w:w="3560" w:type="dxa"/>
            <w:vAlign w:val="bottom"/>
          </w:tcPr>
          <w:p>
            <w:pPr>
              <w:ind w:left="600"/>
              <w:spacing w:after="0"/>
              <w:rPr>
                <w:sz w:val="20"/>
                <w:szCs w:val="20"/>
                <w:color w:val="auto"/>
              </w:rPr>
            </w:pPr>
            <w:r>
              <w:rPr>
                <w:rFonts w:ascii="Arial" w:cs="Arial" w:eastAsia="Arial" w:hAnsi="Arial"/>
                <w:sz w:val="18"/>
                <w:szCs w:val="18"/>
                <w:color w:val="auto"/>
              </w:rPr>
              <w:t>Canada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Chimet S.p.A.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Chugai Mining</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Coimpa Industrial LTDA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Brazil</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Dowa</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GG Refinery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Tanzania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Gold by Gold Colombia</w:t>
            </w:r>
          </w:p>
        </w:tc>
        <w:tc>
          <w:tcPr>
            <w:tcW w:w="3560" w:type="dxa"/>
            <w:vAlign w:val="bottom"/>
          </w:tcPr>
          <w:p>
            <w:pPr>
              <w:ind w:left="600"/>
              <w:spacing w:after="0"/>
              <w:rPr>
                <w:sz w:val="20"/>
                <w:szCs w:val="20"/>
                <w:color w:val="auto"/>
              </w:rPr>
            </w:pPr>
            <w:r>
              <w:rPr>
                <w:rFonts w:ascii="Arial" w:cs="Arial" w:eastAsia="Arial" w:hAnsi="Arial"/>
                <w:sz w:val="18"/>
                <w:szCs w:val="18"/>
                <w:color w:val="auto"/>
              </w:rPr>
              <w:t>Colombia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Gold Corporation - The Perth Mint</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Australia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Gold Refinery of Zijin Mining Group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Heimerle + Meule GmbH</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Heraeus Germany GmbH Co. KG</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Heraeus Metals Hong Kong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Impala Platinum - Platinum Metals Refinery (PMR)</w:t>
            </w:r>
          </w:p>
        </w:tc>
        <w:tc>
          <w:tcPr>
            <w:tcW w:w="3560" w:type="dxa"/>
            <w:vAlign w:val="bottom"/>
          </w:tcPr>
          <w:p>
            <w:pPr>
              <w:ind w:left="60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Inner Mongolia Qiankun Gold and Silver Refinery Share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3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Ishifuku Metal Industry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15" w:right="339" w:bottom="1440" w:gutter="0" w:footer="0" w:header="0"/>
        </w:sectPr>
      </w:pPr>
    </w:p>
    <w:bookmarkStart w:id="10" w:name="page11"/>
    <w:bookmarkEnd w:id="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4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5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Istanbul Gold Refinery</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Turkey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Italpreziosi</w:t>
            </w:r>
          </w:p>
        </w:tc>
        <w:tc>
          <w:tcPr>
            <w:tcW w:w="3580" w:type="dxa"/>
            <w:vAlign w:val="bottom"/>
          </w:tcPr>
          <w:p>
            <w:pPr>
              <w:ind w:left="620"/>
              <w:spacing w:after="0"/>
              <w:rPr>
                <w:sz w:val="20"/>
                <w:szCs w:val="20"/>
                <w:color w:val="auto"/>
              </w:rPr>
            </w:pPr>
            <w:r>
              <w:rPr>
                <w:rFonts w:ascii="Arial" w:cs="Arial" w:eastAsia="Arial" w:hAnsi="Arial"/>
                <w:sz w:val="18"/>
                <w:szCs w:val="18"/>
                <w:color w:val="auto"/>
              </w:rPr>
              <w:t>Italy</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Japan Mint</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Jiangxi Copper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JX Advanced Metals Corporation</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Kazzinc</w:t>
            </w:r>
          </w:p>
        </w:tc>
        <w:tc>
          <w:tcPr>
            <w:tcW w:w="3580" w:type="dxa"/>
            <w:vAlign w:val="bottom"/>
          </w:tcPr>
          <w:p>
            <w:pPr>
              <w:ind w:left="620"/>
              <w:spacing w:after="0"/>
              <w:rPr>
                <w:sz w:val="20"/>
                <w:szCs w:val="20"/>
                <w:color w:val="auto"/>
              </w:rPr>
            </w:pPr>
            <w:r>
              <w:rPr>
                <w:rFonts w:ascii="Arial" w:cs="Arial" w:eastAsia="Arial" w:hAnsi="Arial"/>
                <w:sz w:val="18"/>
                <w:szCs w:val="18"/>
                <w:color w:val="auto"/>
              </w:rPr>
              <w:t>Kazakhstan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Kennecott Utah Copper LLC</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KGHM Polska Miedz Spolka Akcyjna</w:t>
            </w:r>
          </w:p>
        </w:tc>
        <w:tc>
          <w:tcPr>
            <w:tcW w:w="3580" w:type="dxa"/>
            <w:vAlign w:val="bottom"/>
          </w:tcPr>
          <w:p>
            <w:pPr>
              <w:ind w:left="620"/>
              <w:spacing w:after="0"/>
              <w:rPr>
                <w:sz w:val="20"/>
                <w:szCs w:val="20"/>
                <w:color w:val="auto"/>
              </w:rPr>
            </w:pPr>
            <w:r>
              <w:rPr>
                <w:rFonts w:ascii="Arial" w:cs="Arial" w:eastAsia="Arial" w:hAnsi="Arial"/>
                <w:sz w:val="18"/>
                <w:szCs w:val="18"/>
                <w:color w:val="auto"/>
              </w:rPr>
              <w:t>Poland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Korea Zinc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L'Orfebre S.A.*</w:t>
            </w:r>
          </w:p>
        </w:tc>
        <w:tc>
          <w:tcPr>
            <w:tcW w:w="3580" w:type="dxa"/>
            <w:vAlign w:val="bottom"/>
          </w:tcPr>
          <w:p>
            <w:pPr>
              <w:ind w:left="620"/>
              <w:spacing w:after="0"/>
              <w:rPr>
                <w:sz w:val="20"/>
                <w:szCs w:val="20"/>
                <w:color w:val="auto"/>
              </w:rPr>
            </w:pPr>
            <w:r>
              <w:rPr>
                <w:rFonts w:ascii="Arial" w:cs="Arial" w:eastAsia="Arial" w:hAnsi="Arial"/>
                <w:sz w:val="18"/>
                <w:szCs w:val="18"/>
                <w:color w:val="auto"/>
              </w:rPr>
              <w:t>Andorra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LS MnM Inc.</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Materion</w:t>
            </w:r>
          </w:p>
        </w:tc>
        <w:tc>
          <w:tcPr>
            <w:tcW w:w="3580" w:type="dxa"/>
            <w:vAlign w:val="bottom"/>
          </w:tcPr>
          <w:p>
            <w:pPr>
              <w:ind w:left="62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Matsuda Sangyo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Metal Concentrators SA (Pty) Ltd.</w:t>
            </w:r>
          </w:p>
        </w:tc>
        <w:tc>
          <w:tcPr>
            <w:tcW w:w="3580" w:type="dxa"/>
            <w:vAlign w:val="bottom"/>
          </w:tcPr>
          <w:p>
            <w:pPr>
              <w:ind w:left="62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(Hong Kong)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Metalor Technologies (Singapore) Pte., Ltd.</w:t>
            </w:r>
          </w:p>
        </w:tc>
        <w:tc>
          <w:tcPr>
            <w:tcW w:w="3580" w:type="dxa"/>
            <w:vAlign w:val="bottom"/>
          </w:tcPr>
          <w:p>
            <w:pPr>
              <w:ind w:left="620"/>
              <w:spacing w:after="0"/>
              <w:rPr>
                <w:sz w:val="20"/>
                <w:szCs w:val="20"/>
                <w:color w:val="auto"/>
              </w:rPr>
            </w:pPr>
            <w:r>
              <w:rPr>
                <w:rFonts w:ascii="Arial" w:cs="Arial" w:eastAsia="Arial" w:hAnsi="Arial"/>
                <w:sz w:val="18"/>
                <w:szCs w:val="18"/>
                <w:color w:val="auto"/>
              </w:rPr>
              <w:t>Singapore</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(Suzhou)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Metalor Technologies S.A.</w:t>
            </w:r>
          </w:p>
        </w:tc>
        <w:tc>
          <w:tcPr>
            <w:tcW w:w="3580" w:type="dxa"/>
            <w:vAlign w:val="bottom"/>
          </w:tcPr>
          <w:p>
            <w:pPr>
              <w:ind w:left="62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USA Refining Corporation</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Metalurgica Met-Mex Penoles S.A. De C.V.</w:t>
            </w:r>
          </w:p>
        </w:tc>
        <w:tc>
          <w:tcPr>
            <w:tcW w:w="3580" w:type="dxa"/>
            <w:vAlign w:val="bottom"/>
          </w:tcPr>
          <w:p>
            <w:pPr>
              <w:ind w:left="620"/>
              <w:spacing w:after="0"/>
              <w:rPr>
                <w:sz w:val="20"/>
                <w:szCs w:val="20"/>
                <w:color w:val="auto"/>
              </w:rPr>
            </w:pPr>
            <w:r>
              <w:rPr>
                <w:rFonts w:ascii="Arial" w:cs="Arial" w:eastAsia="Arial" w:hAnsi="Arial"/>
                <w:sz w:val="18"/>
                <w:szCs w:val="18"/>
                <w:color w:val="auto"/>
              </w:rPr>
              <w:t>Mexico</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Mitsubishi Materials Corporation</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Mitsui Mining and Smelting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MKS PAMP SA</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Switzerland</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MMTC-PAMP India Pvt., Ltd.</w:t>
            </w:r>
          </w:p>
        </w:tc>
        <w:tc>
          <w:tcPr>
            <w:tcW w:w="3580" w:type="dxa"/>
            <w:vAlign w:val="bottom"/>
          </w:tcPr>
          <w:p>
            <w:pPr>
              <w:ind w:left="62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Nadir Metal Rafineri San. Ve Tic. A.S.</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Turkey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Navoi Mining and Metallurgical Combinat</w:t>
            </w:r>
          </w:p>
        </w:tc>
        <w:tc>
          <w:tcPr>
            <w:tcW w:w="3580" w:type="dxa"/>
            <w:vAlign w:val="bottom"/>
          </w:tcPr>
          <w:p>
            <w:pPr>
              <w:ind w:left="620"/>
              <w:spacing w:after="0"/>
              <w:rPr>
                <w:sz w:val="20"/>
                <w:szCs w:val="20"/>
                <w:color w:val="auto"/>
              </w:rPr>
            </w:pPr>
            <w:r>
              <w:rPr>
                <w:rFonts w:ascii="Arial" w:cs="Arial" w:eastAsia="Arial" w:hAnsi="Arial"/>
                <w:sz w:val="18"/>
                <w:szCs w:val="18"/>
                <w:color w:val="auto"/>
              </w:rPr>
              <w:t>Uzbekistan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NH Recytech Company</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Nihon Material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Ogussa Osterreichische Gold- und Silber-Scheideanstalt GmbH*</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Austria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Ohura Precious Metal Industry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Planta Recuperadora de Metales SpA</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Chile</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PT Aneka Tambang (Persero) Tbk</w:t>
            </w:r>
          </w:p>
        </w:tc>
        <w:tc>
          <w:tcPr>
            <w:tcW w:w="3580" w:type="dxa"/>
            <w:vAlign w:val="bottom"/>
          </w:tcPr>
          <w:p>
            <w:pPr>
              <w:ind w:left="62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PX Precinox S.A.</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Switzerland</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Rand Refinery (Pty) Ltd.</w:t>
            </w:r>
          </w:p>
        </w:tc>
        <w:tc>
          <w:tcPr>
            <w:tcW w:w="3580" w:type="dxa"/>
            <w:vAlign w:val="bottom"/>
          </w:tcPr>
          <w:p>
            <w:pPr>
              <w:ind w:left="62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REMONDIS PMR B.V.</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Netherlands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Royal Canadian Mint</w:t>
            </w:r>
          </w:p>
        </w:tc>
        <w:tc>
          <w:tcPr>
            <w:tcW w:w="3580" w:type="dxa"/>
            <w:vAlign w:val="bottom"/>
          </w:tcPr>
          <w:p>
            <w:pPr>
              <w:ind w:left="620"/>
              <w:spacing w:after="0"/>
              <w:rPr>
                <w:sz w:val="20"/>
                <w:szCs w:val="20"/>
                <w:color w:val="auto"/>
              </w:rPr>
            </w:pPr>
            <w:r>
              <w:rPr>
                <w:rFonts w:ascii="Arial" w:cs="Arial" w:eastAsia="Arial" w:hAnsi="Arial"/>
                <w:sz w:val="18"/>
                <w:szCs w:val="18"/>
                <w:color w:val="auto"/>
              </w:rPr>
              <w:t>Canada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SAFINA A.S.</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Czechia (Czech Republic)</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SEMPSA Joyeria Plateria S.A.</w:t>
            </w:r>
          </w:p>
        </w:tc>
        <w:tc>
          <w:tcPr>
            <w:tcW w:w="3580" w:type="dxa"/>
            <w:vAlign w:val="bottom"/>
          </w:tcPr>
          <w:p>
            <w:pPr>
              <w:ind w:left="620"/>
              <w:spacing w:after="0"/>
              <w:rPr>
                <w:sz w:val="20"/>
                <w:szCs w:val="20"/>
                <w:color w:val="auto"/>
              </w:rPr>
            </w:pPr>
            <w:r>
              <w:rPr>
                <w:rFonts w:ascii="Arial" w:cs="Arial" w:eastAsia="Arial" w:hAnsi="Arial"/>
                <w:sz w:val="18"/>
                <w:szCs w:val="18"/>
                <w:color w:val="auto"/>
              </w:rPr>
              <w:t>Spain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Shandong Gold Smelting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80" w:type="dxa"/>
            <w:vAlign w:val="bottom"/>
          </w:tcPr>
          <w:p>
            <w:pPr>
              <w:ind w:left="700"/>
              <w:spacing w:after="0"/>
              <w:rPr>
                <w:sz w:val="20"/>
                <w:szCs w:val="20"/>
                <w:color w:val="auto"/>
              </w:rPr>
            </w:pPr>
            <w:r>
              <w:rPr>
                <w:rFonts w:ascii="Arial" w:cs="Arial" w:eastAsia="Arial" w:hAnsi="Arial"/>
                <w:sz w:val="18"/>
                <w:szCs w:val="18"/>
                <w:color w:val="auto"/>
              </w:rPr>
              <w:t>Shandong Zhaojin Gold &amp; Silver Refinery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8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Sichuan Tianze Precious Metals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0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8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r>
      <w:tr>
        <w:trPr>
          <w:trHeight w:val="263"/>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Solar Applied Materials Technology Corp.</w:t>
            </w:r>
          </w:p>
        </w:tc>
        <w:tc>
          <w:tcPr>
            <w:tcW w:w="3880" w:type="dxa"/>
            <w:vAlign w:val="bottom"/>
          </w:tcPr>
          <w:p>
            <w:pPr>
              <w:ind w:left="920"/>
              <w:spacing w:after="0"/>
              <w:rPr>
                <w:sz w:val="20"/>
                <w:szCs w:val="20"/>
                <w:color w:val="auto"/>
              </w:rPr>
            </w:pPr>
            <w:r>
              <w:rPr>
                <w:rFonts w:ascii="Arial" w:cs="Arial" w:eastAsia="Arial" w:hAnsi="Arial"/>
                <w:sz w:val="18"/>
                <w:szCs w:val="18"/>
                <w:color w:val="auto"/>
              </w:rPr>
              <w:t>Chinese Taipei (Taiwan)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Sumitomo Metal Mining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T.C.A S.p.A</w:t>
            </w:r>
          </w:p>
        </w:tc>
        <w:tc>
          <w:tcPr>
            <w:tcW w:w="3880" w:type="dxa"/>
            <w:vAlign w:val="bottom"/>
          </w:tcPr>
          <w:p>
            <w:pPr>
              <w:ind w:left="920"/>
              <w:spacing w:after="0"/>
              <w:rPr>
                <w:sz w:val="20"/>
                <w:szCs w:val="20"/>
                <w:color w:val="auto"/>
              </w:rPr>
            </w:pPr>
            <w:r>
              <w:rPr>
                <w:rFonts w:ascii="Arial" w:cs="Arial" w:eastAsia="Arial" w:hAnsi="Arial"/>
                <w:sz w:val="18"/>
                <w:szCs w:val="18"/>
                <w:color w:val="auto"/>
              </w:rPr>
              <w:t>Italy</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Tanaka Kikinzoku Kogyo K.K.</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Tokuriki Honten Co., Ltd.</w:t>
            </w:r>
          </w:p>
        </w:tc>
        <w:tc>
          <w:tcPr>
            <w:tcW w:w="3880" w:type="dxa"/>
            <w:vAlign w:val="bottom"/>
          </w:tcPr>
          <w:p>
            <w:pPr>
              <w:ind w:left="92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TOO Tau-Ken-Altyn</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Kazakhstan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Torecom*</w:t>
            </w:r>
          </w:p>
        </w:tc>
        <w:tc>
          <w:tcPr>
            <w:tcW w:w="3880" w:type="dxa"/>
            <w:vAlign w:val="bottom"/>
          </w:tcPr>
          <w:p>
            <w:pPr>
              <w:ind w:left="920"/>
              <w:spacing w:after="0"/>
              <w:rPr>
                <w:sz w:val="20"/>
                <w:szCs w:val="20"/>
                <w:color w:val="auto"/>
              </w:rPr>
            </w:pPr>
            <w:r>
              <w:rPr>
                <w:rFonts w:ascii="Arial" w:cs="Arial" w:eastAsia="Arial" w:hAnsi="Arial"/>
                <w:sz w:val="18"/>
                <w:szCs w:val="18"/>
                <w:color w:val="auto"/>
              </w:rPr>
              <w:t>South Korea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Umicore S.A. Business Unit Precious Metals Refining</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Belgium</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United Precious Metal Refining, Inc.</w:t>
            </w:r>
          </w:p>
        </w:tc>
        <w:tc>
          <w:tcPr>
            <w:tcW w:w="3880" w:type="dxa"/>
            <w:vAlign w:val="bottom"/>
          </w:tcPr>
          <w:p>
            <w:pPr>
              <w:ind w:left="9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Valcambi S.A.</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Switzerland</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WEEEREFINING*</w:t>
            </w:r>
          </w:p>
        </w:tc>
        <w:tc>
          <w:tcPr>
            <w:tcW w:w="3880" w:type="dxa"/>
            <w:vAlign w:val="bottom"/>
          </w:tcPr>
          <w:p>
            <w:pPr>
              <w:ind w:left="920"/>
              <w:spacing w:after="0"/>
              <w:rPr>
                <w:sz w:val="20"/>
                <w:szCs w:val="20"/>
                <w:color w:val="auto"/>
              </w:rPr>
            </w:pPr>
            <w:r>
              <w:rPr>
                <w:rFonts w:ascii="Arial" w:cs="Arial" w:eastAsia="Arial" w:hAnsi="Arial"/>
                <w:sz w:val="18"/>
                <w:szCs w:val="18"/>
                <w:color w:val="auto"/>
              </w:rPr>
              <w:t>France</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WIELAND Edelmetalle GmbH</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40" w:type="dxa"/>
            <w:vAlign w:val="bottom"/>
          </w:tcPr>
          <w:p>
            <w:pPr>
              <w:ind w:left="560"/>
              <w:spacing w:after="0"/>
              <w:rPr>
                <w:sz w:val="20"/>
                <w:szCs w:val="20"/>
                <w:color w:val="auto"/>
              </w:rPr>
            </w:pPr>
            <w:r>
              <w:rPr>
                <w:rFonts w:ascii="Arial" w:cs="Arial" w:eastAsia="Arial" w:hAnsi="Arial"/>
                <w:sz w:val="18"/>
                <w:szCs w:val="18"/>
                <w:color w:val="auto"/>
              </w:rPr>
              <w:t>Zhongyuan Gold Smelter of Zhongjin Gold Corporation</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AMG Brasil</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D Block Metals, LLC</w:t>
            </w:r>
          </w:p>
        </w:tc>
        <w:tc>
          <w:tcPr>
            <w:tcW w:w="3880" w:type="dxa"/>
            <w:vAlign w:val="bottom"/>
          </w:tcPr>
          <w:p>
            <w:pPr>
              <w:ind w:left="92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F&amp;X Electro-Materials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FIR Metals &amp; Resource Ltd.*</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Advanced Metals Aizu</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Global Advanced Metals Boyertown</w:t>
            </w:r>
          </w:p>
        </w:tc>
        <w:tc>
          <w:tcPr>
            <w:tcW w:w="3880" w:type="dxa"/>
            <w:vAlign w:val="bottom"/>
          </w:tcPr>
          <w:p>
            <w:pPr>
              <w:ind w:left="9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Guangdong Rising Rare Metals-EO Materials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Hengyang King Xing Lifeng New Materials Co., Ltd.</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Dinghai Tantalum &amp; Niobium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Jiangxi Tuohong New Raw Material</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JinXin Nonferrous Metals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Jiujiang Tanbre Co., Ltd.</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Zhongao Tantalum &amp; Niobium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Materion Newton Inc.</w:t>
            </w:r>
          </w:p>
        </w:tc>
        <w:tc>
          <w:tcPr>
            <w:tcW w:w="3880" w:type="dxa"/>
            <w:vAlign w:val="bottom"/>
          </w:tcPr>
          <w:p>
            <w:pPr>
              <w:ind w:left="92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Metallurgical Products India Pvt.,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India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Mineracao Taboca S.A.</w:t>
            </w:r>
          </w:p>
        </w:tc>
        <w:tc>
          <w:tcPr>
            <w:tcW w:w="3880" w:type="dxa"/>
            <w:vAlign w:val="bottom"/>
          </w:tcPr>
          <w:p>
            <w:pPr>
              <w:ind w:left="9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Mitsui Mining and Smelting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Ningxia Orient Tantalum Industry Co., Ltd.</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NPM Silmet AS</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Estonia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PowerX Ltd.</w:t>
            </w:r>
          </w:p>
        </w:tc>
        <w:tc>
          <w:tcPr>
            <w:tcW w:w="3880" w:type="dxa"/>
            <w:vAlign w:val="bottom"/>
          </w:tcPr>
          <w:p>
            <w:pPr>
              <w:ind w:left="920"/>
              <w:spacing w:after="0"/>
              <w:rPr>
                <w:sz w:val="20"/>
                <w:szCs w:val="20"/>
                <w:color w:val="auto"/>
              </w:rPr>
            </w:pPr>
            <w:r>
              <w:rPr>
                <w:rFonts w:ascii="Arial" w:cs="Arial" w:eastAsia="Arial" w:hAnsi="Arial"/>
                <w:sz w:val="18"/>
                <w:szCs w:val="18"/>
                <w:color w:val="auto"/>
              </w:rPr>
              <w:t>Rwanda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Resind Industria e Comercio Ltda.</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RFH Yancheng Jinye New Material Technology Co., Ltd.*</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Thailand</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TANIOBIS GmbH</w:t>
            </w:r>
          </w:p>
        </w:tc>
        <w:tc>
          <w:tcPr>
            <w:tcW w:w="3880" w:type="dxa"/>
            <w:vAlign w:val="bottom"/>
          </w:tcPr>
          <w:p>
            <w:pPr>
              <w:ind w:left="920"/>
              <w:spacing w:after="0"/>
              <w:rPr>
                <w:sz w:val="20"/>
                <w:szCs w:val="20"/>
                <w:color w:val="auto"/>
              </w:rPr>
            </w:pPr>
            <w:r>
              <w:rPr>
                <w:rFonts w:ascii="Arial" w:cs="Arial" w:eastAsia="Arial" w:hAnsi="Arial"/>
                <w:sz w:val="18"/>
                <w:szCs w:val="18"/>
                <w:color w:val="auto"/>
              </w:rPr>
              <w:t>Germany</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Japan Co., Ltd.*</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TANIOBIS Smelting GmbH &amp; Co. KG</w:t>
            </w:r>
          </w:p>
        </w:tc>
        <w:tc>
          <w:tcPr>
            <w:tcW w:w="3880" w:type="dxa"/>
            <w:vAlign w:val="bottom"/>
          </w:tcPr>
          <w:p>
            <w:pPr>
              <w:ind w:left="92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Ulba Metallurgical Plant JSC</w:t>
            </w:r>
          </w:p>
        </w:tc>
        <w:tc>
          <w:tcPr>
            <w:tcW w:w="3880" w:type="dxa"/>
            <w:vAlign w:val="bottom"/>
            <w:shd w:val="clear" w:color="auto" w:fill="DBDBDB"/>
          </w:tcPr>
          <w:p>
            <w:pPr>
              <w:ind w:left="920"/>
              <w:spacing w:after="0"/>
              <w:rPr>
                <w:sz w:val="20"/>
                <w:szCs w:val="20"/>
                <w:color w:val="auto"/>
              </w:rPr>
            </w:pPr>
            <w:r>
              <w:rPr>
                <w:rFonts w:ascii="Arial" w:cs="Arial" w:eastAsia="Arial" w:hAnsi="Arial"/>
                <w:sz w:val="18"/>
                <w:szCs w:val="18"/>
                <w:color w:val="auto"/>
              </w:rPr>
              <w:t>Kazakhstan</w:t>
            </w:r>
          </w:p>
        </w:tc>
      </w:tr>
      <w:tr>
        <w:trPr>
          <w:trHeight w:val="23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40" w:type="dxa"/>
            <w:vAlign w:val="bottom"/>
          </w:tcPr>
          <w:p>
            <w:pPr>
              <w:ind w:left="560"/>
              <w:spacing w:after="0"/>
              <w:rPr>
                <w:sz w:val="20"/>
                <w:szCs w:val="20"/>
                <w:color w:val="auto"/>
              </w:rPr>
            </w:pPr>
            <w:r>
              <w:rPr>
                <w:rFonts w:ascii="Arial" w:cs="Arial" w:eastAsia="Arial" w:hAnsi="Arial"/>
                <w:sz w:val="18"/>
                <w:szCs w:val="18"/>
                <w:color w:val="auto"/>
              </w:rPr>
              <w:t>XIMEI RESOURCES (GUANGDONG) LIMITED</w:t>
            </w:r>
          </w:p>
        </w:tc>
        <w:tc>
          <w:tcPr>
            <w:tcW w:w="3880" w:type="dxa"/>
            <w:vAlign w:val="bottom"/>
          </w:tcPr>
          <w:p>
            <w:pPr>
              <w:ind w:left="92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9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34"/>
        </w:trPr>
        <w:tc>
          <w:tcPr>
            <w:tcW w:w="13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XinXing HaoRong Electronic Material Co., Ltd.*</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900" w:type="dxa"/>
            <w:vAlign w:val="bottom"/>
          </w:tcPr>
          <w:p>
            <w:pPr>
              <w:ind w:left="560"/>
              <w:spacing w:after="0"/>
              <w:rPr>
                <w:sz w:val="20"/>
                <w:szCs w:val="20"/>
                <w:color w:val="auto"/>
              </w:rPr>
            </w:pPr>
            <w:r>
              <w:rPr>
                <w:rFonts w:ascii="Arial" w:cs="Arial" w:eastAsia="Arial" w:hAnsi="Arial"/>
                <w:sz w:val="18"/>
                <w:szCs w:val="18"/>
                <w:color w:val="auto"/>
              </w:rPr>
              <w:t>Yanling Jincheng Tantalum &amp; Niobium Co., Ltd.</w:t>
            </w:r>
          </w:p>
        </w:tc>
        <w:tc>
          <w:tcPr>
            <w:tcW w:w="3020" w:type="dxa"/>
            <w:vAlign w:val="bottom"/>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Alpha Assembly Solutions Inc</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Aurubis Berango*</w:t>
            </w:r>
          </w:p>
        </w:tc>
        <w:tc>
          <w:tcPr>
            <w:tcW w:w="3020" w:type="dxa"/>
            <w:vAlign w:val="bottom"/>
          </w:tcPr>
          <w:p>
            <w:pPr>
              <w:ind w:left="6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Chenzhou Yunxiang Mining and Metallurgy Co., Ltd.</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Chifeng Dajingzi Tin Industry Co., Ltd.</w:t>
            </w:r>
          </w:p>
        </w:tc>
        <w:tc>
          <w:tcPr>
            <w:tcW w:w="3020" w:type="dxa"/>
            <w:vAlign w:val="bottom"/>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China Tin Group Co., Ltd.</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line="176" w:lineRule="exact"/>
              <w:rPr>
                <w:sz w:val="20"/>
                <w:szCs w:val="20"/>
                <w:color w:val="auto"/>
              </w:rPr>
            </w:pPr>
            <w:r>
              <w:rPr>
                <w:rFonts w:ascii="Arial" w:cs="Arial" w:eastAsia="Arial" w:hAnsi="Arial"/>
                <w:sz w:val="18"/>
                <w:szCs w:val="18"/>
                <w:color w:val="auto"/>
              </w:rPr>
              <w:t>CRM Fundicao De Metais E Comercio De Equipamentos Eletronicos Do Brasil</w:t>
            </w:r>
          </w:p>
        </w:tc>
        <w:tc>
          <w:tcPr>
            <w:tcW w:w="3020" w:type="dxa"/>
            <w:vAlign w:val="bottom"/>
            <w:vMerge w:val="restart"/>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6900" w:type="dxa"/>
            <w:vAlign w:val="bottom"/>
          </w:tcPr>
          <w:p>
            <w:pPr>
              <w:ind w:left="560"/>
              <w:spacing w:after="0"/>
              <w:rPr>
                <w:sz w:val="20"/>
                <w:szCs w:val="20"/>
                <w:color w:val="auto"/>
              </w:rPr>
            </w:pPr>
            <w:r>
              <w:rPr>
                <w:rFonts w:ascii="Arial" w:cs="Arial" w:eastAsia="Arial" w:hAnsi="Arial"/>
                <w:sz w:val="18"/>
                <w:szCs w:val="18"/>
                <w:color w:val="auto"/>
              </w:rPr>
              <w:t>Ltda*</w:t>
            </w:r>
          </w:p>
        </w:tc>
        <w:tc>
          <w:tcPr>
            <w:tcW w:w="3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CV Ayi Jaya*</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Dongguan Best Alloys Co., Ltd.</w:t>
            </w:r>
          </w:p>
        </w:tc>
        <w:tc>
          <w:tcPr>
            <w:tcW w:w="3020" w:type="dxa"/>
            <w:vAlign w:val="bottom"/>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EM Vinto</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Bolivia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Estanho de Rondonia S.A.</w:t>
            </w:r>
          </w:p>
        </w:tc>
        <w:tc>
          <w:tcPr>
            <w:tcW w:w="3020" w:type="dxa"/>
            <w:vAlign w:val="bottom"/>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Fabrica Auricchio Industria e Comercio Ltda.**</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Gejiu Non-Ferrous Metal Processing Co., Ltd.</w:t>
            </w:r>
          </w:p>
        </w:tc>
        <w:tc>
          <w:tcPr>
            <w:tcW w:w="3020" w:type="dxa"/>
            <w:vAlign w:val="bottom"/>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Advanced Metals Greenbushes Pty Ltd.</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Guangdong Hanhe Non-Ferrous Metal Co., Ltd.</w:t>
            </w:r>
          </w:p>
        </w:tc>
        <w:tc>
          <w:tcPr>
            <w:tcW w:w="3020" w:type="dxa"/>
            <w:vAlign w:val="bottom"/>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HuiChang Hill Tin Industry Co., Ltd.*</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Jiangxi New Nanshan Technology Ltd.*</w:t>
            </w:r>
          </w:p>
        </w:tc>
        <w:tc>
          <w:tcPr>
            <w:tcW w:w="3020" w:type="dxa"/>
            <w:vAlign w:val="bottom"/>
          </w:tcPr>
          <w:p>
            <w:pPr>
              <w:ind w:lef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Luna Smelter, Ltd.</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Rwanda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Magnu's Minerais Metais e Ligas Ltda.</w:t>
            </w:r>
          </w:p>
        </w:tc>
        <w:tc>
          <w:tcPr>
            <w:tcW w:w="3020" w:type="dxa"/>
            <w:vAlign w:val="bottom"/>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Malaysia Smelting Corporation (MSC)</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Malaysia Smelting Corporation Berhad (Port Klang)</w:t>
            </w:r>
          </w:p>
        </w:tc>
        <w:tc>
          <w:tcPr>
            <w:tcW w:w="3020" w:type="dxa"/>
            <w:vAlign w:val="bottom"/>
          </w:tcPr>
          <w:p>
            <w:pPr>
              <w:ind w:left="6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Metallic Resources, Inc.*</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Mineracao Taboca S.A.</w:t>
            </w:r>
          </w:p>
        </w:tc>
        <w:tc>
          <w:tcPr>
            <w:tcW w:w="3020" w:type="dxa"/>
            <w:vAlign w:val="bottom"/>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Mining Minerals Resources SARL</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Democratic Republic of the Congo</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Minsur</w:t>
            </w:r>
          </w:p>
        </w:tc>
        <w:tc>
          <w:tcPr>
            <w:tcW w:w="3020" w:type="dxa"/>
            <w:vAlign w:val="bottom"/>
          </w:tcPr>
          <w:p>
            <w:pPr>
              <w:ind w:left="60"/>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Operaciones Metalurgicas S.A.</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Bolivia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Precious Minerals and Smelting Limited*</w:t>
            </w:r>
          </w:p>
        </w:tc>
        <w:tc>
          <w:tcPr>
            <w:tcW w:w="3020" w:type="dxa"/>
            <w:vAlign w:val="bottom"/>
          </w:tcPr>
          <w:p>
            <w:pPr>
              <w:ind w:left="6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Arsed Indonesia*</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PT ATD Makmur Mandiri Jaya</w:t>
            </w:r>
          </w:p>
        </w:tc>
        <w:tc>
          <w:tcPr>
            <w:tcW w:w="3020" w:type="dxa"/>
            <w:vAlign w:val="bottom"/>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Bangka Prima Tin*</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PT Cipta Persada Mulia</w:t>
            </w:r>
          </w:p>
        </w:tc>
        <w:tc>
          <w:tcPr>
            <w:tcW w:w="3020" w:type="dxa"/>
            <w:vAlign w:val="bottom"/>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Mitra Stania Prima</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PT Mitra Sukses Globalindo</w:t>
            </w:r>
          </w:p>
        </w:tc>
        <w:tc>
          <w:tcPr>
            <w:tcW w:w="3020" w:type="dxa"/>
            <w:vAlign w:val="bottom"/>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Premium Tin Indonesia*</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PT Prima Timah Utama</w:t>
            </w:r>
          </w:p>
        </w:tc>
        <w:tc>
          <w:tcPr>
            <w:tcW w:w="3020" w:type="dxa"/>
            <w:vAlign w:val="bottom"/>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Putera Sarana Shakti (PT PSS)</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PT Rajehan Ariq</w:t>
            </w:r>
          </w:p>
        </w:tc>
        <w:tc>
          <w:tcPr>
            <w:tcW w:w="3020" w:type="dxa"/>
            <w:vAlign w:val="bottom"/>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9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Timah Tbk Kundur</w:t>
            </w:r>
          </w:p>
        </w:tc>
        <w:tc>
          <w:tcPr>
            <w:tcW w:w="3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900" w:type="dxa"/>
            <w:vAlign w:val="bottom"/>
          </w:tcPr>
          <w:p>
            <w:pPr>
              <w:ind w:left="560"/>
              <w:spacing w:after="0"/>
              <w:rPr>
                <w:sz w:val="20"/>
                <w:szCs w:val="20"/>
                <w:color w:val="auto"/>
              </w:rPr>
            </w:pPr>
            <w:r>
              <w:rPr>
                <w:rFonts w:ascii="Arial" w:cs="Arial" w:eastAsia="Arial" w:hAnsi="Arial"/>
                <w:sz w:val="18"/>
                <w:szCs w:val="18"/>
                <w:color w:val="auto"/>
              </w:rPr>
              <w:t>PT Timah Tbk Mentok</w:t>
            </w:r>
          </w:p>
        </w:tc>
        <w:tc>
          <w:tcPr>
            <w:tcW w:w="3020" w:type="dxa"/>
            <w:vAlign w:val="bottom"/>
          </w:tcPr>
          <w:p>
            <w:pPr>
              <w:ind w:left="6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34"/>
        </w:trPr>
        <w:tc>
          <w:tcPr>
            <w:tcW w:w="13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Resind Industria e Comercio Ltda.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Rui Da Hung</w:t>
            </w:r>
          </w:p>
        </w:tc>
        <w:tc>
          <w:tcPr>
            <w:tcW w:w="3060" w:type="dxa"/>
            <w:vAlign w:val="bottom"/>
          </w:tcPr>
          <w:p>
            <w:pPr>
              <w:ind w:left="100"/>
              <w:spacing w:after="0"/>
              <w:rPr>
                <w:sz w:val="20"/>
                <w:szCs w:val="20"/>
                <w:color w:val="auto"/>
              </w:rPr>
            </w:pPr>
            <w:r>
              <w:rPr>
                <w:rFonts w:ascii="Arial" w:cs="Arial" w:eastAsia="Arial" w:hAnsi="Arial"/>
                <w:sz w:val="18"/>
                <w:szCs w:val="18"/>
                <w:color w:val="auto"/>
              </w:rPr>
              <w:t>Chinese Taipei (Taiwan)</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Super Ligas</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6"/>
        </w:trPr>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line="176" w:lineRule="exact"/>
              <w:rPr>
                <w:sz w:val="20"/>
                <w:szCs w:val="20"/>
                <w:color w:val="auto"/>
              </w:rPr>
            </w:pPr>
            <w:r>
              <w:rPr>
                <w:rFonts w:ascii="Arial" w:cs="Arial" w:eastAsia="Arial" w:hAnsi="Arial"/>
                <w:sz w:val="18"/>
                <w:szCs w:val="18"/>
                <w:color w:val="auto"/>
              </w:rPr>
              <w:t>Takehara PVD Materials Plant / PVD Materials Division of MITSUI MINING &amp;</w:t>
            </w:r>
          </w:p>
        </w:tc>
        <w:tc>
          <w:tcPr>
            <w:tcW w:w="3060" w:type="dxa"/>
            <w:vAlign w:val="bottom"/>
            <w:vMerge w:val="restart"/>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6860" w:type="dxa"/>
            <w:vAlign w:val="bottom"/>
          </w:tcPr>
          <w:p>
            <w:pPr>
              <w:ind w:left="560"/>
              <w:spacing w:after="0"/>
              <w:rPr>
                <w:sz w:val="20"/>
                <w:szCs w:val="20"/>
                <w:color w:val="auto"/>
              </w:rPr>
            </w:pPr>
            <w:r>
              <w:rPr>
                <w:rFonts w:ascii="Arial" w:cs="Arial" w:eastAsia="Arial" w:hAnsi="Arial"/>
                <w:sz w:val="18"/>
                <w:szCs w:val="18"/>
                <w:color w:val="auto"/>
              </w:rPr>
              <w:t>SMELTING CO., LTD.*</w:t>
            </w:r>
          </w:p>
        </w:tc>
        <w:tc>
          <w:tcPr>
            <w:tcW w:w="3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Thaisarco</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Tin Smelting Branch of Yunnan Tin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White Solder Metalurgia e Mineracao Ltda.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Woodcross Smelting Company Limited</w:t>
            </w:r>
          </w:p>
        </w:tc>
        <w:tc>
          <w:tcPr>
            <w:tcW w:w="3060" w:type="dxa"/>
            <w:vAlign w:val="bottom"/>
          </w:tcPr>
          <w:p>
            <w:pPr>
              <w:ind w:left="100"/>
              <w:spacing w:after="0"/>
              <w:rPr>
                <w:sz w:val="20"/>
                <w:szCs w:val="20"/>
                <w:color w:val="auto"/>
              </w:rPr>
            </w:pPr>
            <w:r>
              <w:rPr>
                <w:rFonts w:ascii="Arial" w:cs="Arial" w:eastAsia="Arial" w:hAnsi="Arial"/>
                <w:sz w:val="18"/>
                <w:szCs w:val="18"/>
                <w:color w:val="auto"/>
              </w:rPr>
              <w:t>Uganda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Yunnan Chengfeng Non-ferrous Metals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Yunnan Yunfan Non-ferrous Metals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A.L.M.T. Corp.*</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Asia Tungsten Products Vietnam Ltd.</w:t>
            </w:r>
          </w:p>
        </w:tc>
        <w:tc>
          <w:tcPr>
            <w:tcW w:w="3060" w:type="dxa"/>
            <w:vAlign w:val="bottom"/>
          </w:tcPr>
          <w:p>
            <w:pPr>
              <w:ind w:left="10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China Molybdenum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Chongyi Zhangyuan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Cronimet Brasil Ltda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Fujian Xinlu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Ganzhou Jiangwu Ferrotungsten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Ganzhou Seadragon W &amp; Mo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Tungsten &amp; Powders LLC</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Guangdong Xianglu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6"/>
        </w:trPr>
        <w:tc>
          <w:tcPr>
            <w:tcW w:w="132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line="176" w:lineRule="exact"/>
              <w:rPr>
                <w:sz w:val="20"/>
                <w:szCs w:val="20"/>
                <w:color w:val="auto"/>
              </w:rPr>
            </w:pPr>
            <w:r>
              <w:rPr>
                <w:rFonts w:ascii="Arial" w:cs="Arial" w:eastAsia="Arial" w:hAnsi="Arial"/>
                <w:sz w:val="18"/>
                <w:szCs w:val="18"/>
                <w:color w:val="auto"/>
              </w:rPr>
              <w:t>Hunan Shizhuyuan Nonferrous Metals Co., Ltd. Chenzhou Tungsten Products</w:t>
            </w:r>
          </w:p>
        </w:tc>
        <w:tc>
          <w:tcPr>
            <w:tcW w:w="3060" w:type="dxa"/>
            <w:vAlign w:val="bottom"/>
            <w:vMerge w:val="restart"/>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1320" w:type="dxa"/>
            <w:vAlign w:val="bottom"/>
            <w:vMerge w:val="continue"/>
            <w:shd w:val="clear" w:color="auto" w:fill="DBDBDB"/>
          </w:tcPr>
          <w:p>
            <w:pPr>
              <w:spacing w:after="0"/>
              <w:rPr>
                <w:sz w:val="21"/>
                <w:szCs w:val="21"/>
                <w:color w:val="auto"/>
              </w:rPr>
            </w:pP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Branch*</w:t>
            </w:r>
          </w:p>
        </w:tc>
        <w:tc>
          <w:tcPr>
            <w:tcW w:w="30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Japan New Metals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Jiangwu H.C. Starck Tungsten Products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Jiangxi Gan Bei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Tonggu Non-ferrous Metallurgical &amp; Chemical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Jiangxi Xinsheng Tungsten Industry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Yaosheng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Kennametal Fallon</w:t>
            </w:r>
          </w:p>
        </w:tc>
        <w:tc>
          <w:tcPr>
            <w:tcW w:w="30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Kennametal Huntsville</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Malipo Haiyu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Masan High-Tech Materials</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Niagara Refining LLC</w:t>
            </w:r>
          </w:p>
        </w:tc>
        <w:tc>
          <w:tcPr>
            <w:tcW w:w="30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Philippine Chuangxin Industrial Co., Inc.*</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Shinwon Tungsten (Fujian Shanghang)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Smelting GmbH &amp; Co. KG</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Tungsten Vietnam Joint Stock Company</w:t>
            </w:r>
          </w:p>
        </w:tc>
        <w:tc>
          <w:tcPr>
            <w:tcW w:w="3060" w:type="dxa"/>
            <w:vAlign w:val="bottom"/>
          </w:tcPr>
          <w:p>
            <w:pPr>
              <w:ind w:left="10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Wolfram Bergbau und Hutten AG</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Xiamen Tungsten (H.C.)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Xiamen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14" w:name="page15"/>
    <w:bookmarkEnd w:id="14"/>
    <w:p>
      <w:pPr>
        <w:ind w:left="272" w:hanging="272"/>
        <w:spacing w:after="0"/>
        <w:tabs>
          <w:tab w:leader="none" w:pos="27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smelter/refiner was reported to be in our memory and storage products supply chain during 2025 and was subsequently determined,</w:t>
      </w:r>
    </w:p>
    <w:p>
      <w:pPr>
        <w:spacing w:after="0" w:line="38" w:lineRule="exact"/>
        <w:rPr>
          <w:rFonts w:ascii="Arial" w:cs="Arial" w:eastAsia="Arial" w:hAnsi="Arial"/>
          <w:sz w:val="17"/>
          <w:szCs w:val="17"/>
          <w:color w:val="auto"/>
        </w:rPr>
      </w:pPr>
    </w:p>
    <w:p>
      <w:pPr>
        <w:ind w:left="652" w:right="380"/>
        <w:spacing w:after="0" w:line="266" w:lineRule="auto"/>
        <w:rPr>
          <w:rFonts w:ascii="Arial" w:cs="Arial" w:eastAsia="Arial" w:hAnsi="Arial"/>
          <w:sz w:val="17"/>
          <w:szCs w:val="17"/>
          <w:color w:val="auto"/>
        </w:rPr>
      </w:pPr>
      <w:r>
        <w:rPr>
          <w:rFonts w:ascii="Arial" w:cs="Arial" w:eastAsia="Arial" w:hAnsi="Arial"/>
          <w:sz w:val="18"/>
          <w:szCs w:val="18"/>
          <w:color w:val="auto"/>
        </w:rPr>
        <w:t>on or prior to December 31, 2025, to be inoperative or removed. Up-to-date information on the validation status of smelters and refiners participating in the RMAP is available at https://www.responsiblemineralsinitiative.org/facilities-lists.</w:t>
      </w:r>
    </w:p>
    <w:p>
      <w:pPr>
        <w:spacing w:after="0" w:line="185" w:lineRule="exact"/>
        <w:rPr>
          <w:sz w:val="20"/>
          <w:szCs w:val="20"/>
          <w:color w:val="auto"/>
        </w:rPr>
      </w:pPr>
    </w:p>
    <w:p>
      <w:pPr>
        <w:ind w:left="652" w:right="60" w:hanging="652"/>
        <w:spacing w:after="0" w:line="271" w:lineRule="auto"/>
        <w:tabs>
          <w:tab w:leader="none" w:pos="3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smelter or refiner was listed as Active with RMI as of December 31, 2025. The smelter/refiner became Conformant after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32"/>
          </w:cols>
          <w:pgMar w:left="328" w:top="1417" w:right="439" w:bottom="1440" w:gutter="0" w:footer="0" w:header="0"/>
        </w:sectPr>
      </w:pPr>
    </w:p>
    <w:bookmarkStart w:id="15" w:name="page16"/>
    <w:bookmarkEnd w:id="15"/>
    <w:p>
      <w:pPr>
        <w:spacing w:after="0"/>
        <w:rPr>
          <w:sz w:val="20"/>
          <w:szCs w:val="20"/>
          <w:color w:val="auto"/>
        </w:rPr>
      </w:pPr>
      <w:r>
        <w:rPr>
          <w:rFonts w:ascii="Arial" w:cs="Arial" w:eastAsia="Arial" w:hAnsi="Arial"/>
          <w:sz w:val="40"/>
          <w:szCs w:val="40"/>
          <w:b w:val="1"/>
          <w:bCs w:val="1"/>
          <w:color w:val="auto"/>
        </w:rPr>
        <w:t>Appendix B</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Aggregated Countries of Origin List</w:t>
      </w:r>
    </w:p>
    <w:p>
      <w:pPr>
        <w:spacing w:after="0" w:line="2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table sets forth an aggregated list of countries (or regions)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Albania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Denmark</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Latvia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Saint Kitts and Nevis</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Algeria</w:t>
            </w:r>
          </w:p>
        </w:tc>
        <w:tc>
          <w:tcPr>
            <w:tcW w:w="2620" w:type="dxa"/>
            <w:vAlign w:val="bottom"/>
          </w:tcPr>
          <w:p>
            <w:pPr>
              <w:ind w:left="420"/>
              <w:spacing w:after="0"/>
              <w:rPr>
                <w:sz w:val="20"/>
                <w:szCs w:val="20"/>
                <w:color w:val="auto"/>
              </w:rPr>
            </w:pPr>
            <w:r>
              <w:rPr>
                <w:rFonts w:ascii="Arial" w:cs="Arial" w:eastAsia="Arial" w:hAnsi="Arial"/>
                <w:sz w:val="18"/>
                <w:szCs w:val="18"/>
                <w:color w:val="auto"/>
              </w:rPr>
              <w:t>Dominica</w:t>
            </w:r>
          </w:p>
        </w:tc>
        <w:tc>
          <w:tcPr>
            <w:tcW w:w="2780" w:type="dxa"/>
            <w:vAlign w:val="bottom"/>
          </w:tcPr>
          <w:p>
            <w:pPr>
              <w:ind w:left="600"/>
              <w:spacing w:after="0"/>
              <w:rPr>
                <w:sz w:val="20"/>
                <w:szCs w:val="20"/>
                <w:color w:val="auto"/>
              </w:rPr>
            </w:pPr>
            <w:r>
              <w:rPr>
                <w:rFonts w:ascii="Arial" w:cs="Arial" w:eastAsia="Arial" w:hAnsi="Arial"/>
                <w:sz w:val="18"/>
                <w:szCs w:val="18"/>
                <w:color w:val="auto"/>
              </w:rPr>
              <w:t>Lebanon</w:t>
            </w:r>
          </w:p>
        </w:tc>
        <w:tc>
          <w:tcPr>
            <w:tcW w:w="3420" w:type="dxa"/>
            <w:vAlign w:val="bottom"/>
          </w:tcPr>
          <w:p>
            <w:pPr>
              <w:ind w:left="640"/>
              <w:spacing w:after="0"/>
              <w:rPr>
                <w:sz w:val="20"/>
                <w:szCs w:val="20"/>
                <w:color w:val="auto"/>
              </w:rPr>
            </w:pPr>
            <w:r>
              <w:rPr>
                <w:rFonts w:ascii="Arial" w:cs="Arial" w:eastAsia="Arial" w:hAnsi="Arial"/>
                <w:sz w:val="18"/>
                <w:szCs w:val="18"/>
                <w:color w:val="auto"/>
              </w:rPr>
              <w:t>Saint Vincent and Grenadines</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Andorra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Dominican Republic</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Liberia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Saudi Arabia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Angola</w:t>
            </w:r>
          </w:p>
        </w:tc>
        <w:tc>
          <w:tcPr>
            <w:tcW w:w="2620" w:type="dxa"/>
            <w:vAlign w:val="bottom"/>
          </w:tcPr>
          <w:p>
            <w:pPr>
              <w:ind w:left="420"/>
              <w:spacing w:after="0"/>
              <w:rPr>
                <w:sz w:val="20"/>
                <w:szCs w:val="20"/>
                <w:color w:val="auto"/>
              </w:rPr>
            </w:pPr>
            <w:r>
              <w:rPr>
                <w:rFonts w:ascii="Arial" w:cs="Arial" w:eastAsia="Arial" w:hAnsi="Arial"/>
                <w:sz w:val="18"/>
                <w:szCs w:val="18"/>
                <w:color w:val="auto"/>
              </w:rPr>
              <w:t>Ecuador</w:t>
            </w:r>
          </w:p>
        </w:tc>
        <w:tc>
          <w:tcPr>
            <w:tcW w:w="2780" w:type="dxa"/>
            <w:vAlign w:val="bottom"/>
          </w:tcPr>
          <w:p>
            <w:pPr>
              <w:ind w:left="600"/>
              <w:spacing w:after="0"/>
              <w:rPr>
                <w:sz w:val="20"/>
                <w:szCs w:val="20"/>
                <w:color w:val="auto"/>
              </w:rPr>
            </w:pPr>
            <w:r>
              <w:rPr>
                <w:rFonts w:ascii="Arial" w:cs="Arial" w:eastAsia="Arial" w:hAnsi="Arial"/>
                <w:sz w:val="18"/>
                <w:szCs w:val="18"/>
                <w:color w:val="auto"/>
              </w:rPr>
              <w:t>Liechtenstein</w:t>
            </w:r>
          </w:p>
        </w:tc>
        <w:tc>
          <w:tcPr>
            <w:tcW w:w="3420" w:type="dxa"/>
            <w:vAlign w:val="bottom"/>
          </w:tcPr>
          <w:p>
            <w:pPr>
              <w:ind w:left="640"/>
              <w:spacing w:after="0"/>
              <w:rPr>
                <w:sz w:val="20"/>
                <w:szCs w:val="20"/>
                <w:color w:val="auto"/>
              </w:rPr>
            </w:pPr>
            <w:r>
              <w:rPr>
                <w:rFonts w:ascii="Arial" w:cs="Arial" w:eastAsia="Arial" w:hAnsi="Arial"/>
                <w:sz w:val="18"/>
                <w:szCs w:val="18"/>
                <w:color w:val="auto"/>
              </w:rPr>
              <w:t>Senegal</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Anguilla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Egypt</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Lithuania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Serbia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Antigua and Barbuda</w:t>
            </w:r>
          </w:p>
        </w:tc>
        <w:tc>
          <w:tcPr>
            <w:tcW w:w="2620" w:type="dxa"/>
            <w:vAlign w:val="bottom"/>
          </w:tcPr>
          <w:p>
            <w:pPr>
              <w:ind w:left="420"/>
              <w:spacing w:after="0"/>
              <w:rPr>
                <w:sz w:val="20"/>
                <w:szCs w:val="20"/>
                <w:color w:val="auto"/>
              </w:rPr>
            </w:pPr>
            <w:r>
              <w:rPr>
                <w:rFonts w:ascii="Arial" w:cs="Arial" w:eastAsia="Arial" w:hAnsi="Arial"/>
                <w:sz w:val="18"/>
                <w:szCs w:val="18"/>
                <w:color w:val="auto"/>
              </w:rPr>
              <w:t>El Salvador</w:t>
            </w:r>
          </w:p>
        </w:tc>
        <w:tc>
          <w:tcPr>
            <w:tcW w:w="2780" w:type="dxa"/>
            <w:vAlign w:val="bottom"/>
          </w:tcPr>
          <w:p>
            <w:pPr>
              <w:ind w:left="600"/>
              <w:spacing w:after="0"/>
              <w:rPr>
                <w:sz w:val="20"/>
                <w:szCs w:val="20"/>
                <w:color w:val="auto"/>
              </w:rPr>
            </w:pPr>
            <w:r>
              <w:rPr>
                <w:rFonts w:ascii="Arial" w:cs="Arial" w:eastAsia="Arial" w:hAnsi="Arial"/>
                <w:sz w:val="18"/>
                <w:szCs w:val="18"/>
                <w:color w:val="auto"/>
              </w:rPr>
              <w:t>Luxembourg</w:t>
            </w:r>
          </w:p>
        </w:tc>
        <w:tc>
          <w:tcPr>
            <w:tcW w:w="3420" w:type="dxa"/>
            <w:vAlign w:val="bottom"/>
          </w:tcPr>
          <w:p>
            <w:pPr>
              <w:ind w:left="640"/>
              <w:spacing w:after="0"/>
              <w:rPr>
                <w:sz w:val="20"/>
                <w:szCs w:val="20"/>
                <w:color w:val="auto"/>
              </w:rPr>
            </w:pPr>
            <w:r>
              <w:rPr>
                <w:rFonts w:ascii="Arial" w:cs="Arial" w:eastAsia="Arial" w:hAnsi="Arial"/>
                <w:sz w:val="18"/>
                <w:szCs w:val="18"/>
                <w:color w:val="auto"/>
              </w:rPr>
              <w:t>Sierra Leone</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Argentina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Estonia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Macau</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Singapore</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620" w:type="dxa"/>
            <w:vAlign w:val="bottom"/>
          </w:tcPr>
          <w:p>
            <w:pPr>
              <w:ind w:left="420"/>
              <w:spacing w:after="0"/>
              <w:rPr>
                <w:sz w:val="20"/>
                <w:szCs w:val="20"/>
                <w:color w:val="auto"/>
              </w:rPr>
            </w:pPr>
            <w:r>
              <w:rPr>
                <w:rFonts w:ascii="Arial" w:cs="Arial" w:eastAsia="Arial" w:hAnsi="Arial"/>
                <w:sz w:val="18"/>
                <w:szCs w:val="18"/>
                <w:color w:val="auto"/>
              </w:rPr>
              <w:t>Eswatini</w:t>
            </w:r>
          </w:p>
        </w:tc>
        <w:tc>
          <w:tcPr>
            <w:tcW w:w="2780" w:type="dxa"/>
            <w:vAlign w:val="bottom"/>
          </w:tcPr>
          <w:p>
            <w:pPr>
              <w:ind w:left="600"/>
              <w:spacing w:after="0"/>
              <w:rPr>
                <w:sz w:val="20"/>
                <w:szCs w:val="20"/>
                <w:color w:val="auto"/>
              </w:rPr>
            </w:pPr>
            <w:r>
              <w:rPr>
                <w:rFonts w:ascii="Arial" w:cs="Arial" w:eastAsia="Arial" w:hAnsi="Arial"/>
                <w:sz w:val="18"/>
                <w:szCs w:val="18"/>
                <w:color w:val="auto"/>
              </w:rPr>
              <w:t>Madagascar</w:t>
            </w:r>
          </w:p>
        </w:tc>
        <w:tc>
          <w:tcPr>
            <w:tcW w:w="3420" w:type="dxa"/>
            <w:vAlign w:val="bottom"/>
          </w:tcPr>
          <w:p>
            <w:pPr>
              <w:ind w:left="640"/>
              <w:spacing w:after="0"/>
              <w:rPr>
                <w:sz w:val="20"/>
                <w:szCs w:val="20"/>
                <w:color w:val="auto"/>
              </w:rPr>
            </w:pPr>
            <w:r>
              <w:rPr>
                <w:rFonts w:ascii="Arial" w:cs="Arial" w:eastAsia="Arial" w:hAnsi="Arial"/>
                <w:sz w:val="18"/>
                <w:szCs w:val="18"/>
                <w:color w:val="auto"/>
              </w:rPr>
              <w:t>Sint Maarten</w:t>
            </w:r>
          </w:p>
        </w:tc>
      </w:t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Austria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Ethiopia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Malaysia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Solomon Islands</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Azerbaijan</w:t>
            </w:r>
          </w:p>
        </w:tc>
        <w:tc>
          <w:tcPr>
            <w:tcW w:w="2620" w:type="dxa"/>
            <w:vAlign w:val="bottom"/>
          </w:tcPr>
          <w:p>
            <w:pPr>
              <w:ind w:left="420"/>
              <w:spacing w:after="0"/>
              <w:rPr>
                <w:sz w:val="20"/>
                <w:szCs w:val="20"/>
                <w:color w:val="auto"/>
              </w:rPr>
            </w:pPr>
            <w:r>
              <w:rPr>
                <w:rFonts w:ascii="Arial" w:cs="Arial" w:eastAsia="Arial" w:hAnsi="Arial"/>
                <w:sz w:val="18"/>
                <w:szCs w:val="18"/>
                <w:color w:val="auto"/>
              </w:rPr>
              <w:t>Finland</w:t>
            </w:r>
          </w:p>
        </w:tc>
        <w:tc>
          <w:tcPr>
            <w:tcW w:w="2780" w:type="dxa"/>
            <w:vAlign w:val="bottom"/>
          </w:tcPr>
          <w:p>
            <w:pPr>
              <w:ind w:left="600"/>
              <w:spacing w:after="0"/>
              <w:rPr>
                <w:sz w:val="20"/>
                <w:szCs w:val="20"/>
                <w:color w:val="auto"/>
              </w:rPr>
            </w:pPr>
            <w:r>
              <w:rPr>
                <w:rFonts w:ascii="Arial" w:cs="Arial" w:eastAsia="Arial" w:hAnsi="Arial"/>
                <w:sz w:val="18"/>
                <w:szCs w:val="18"/>
                <w:color w:val="auto"/>
              </w:rPr>
              <w:t>Mali</w:t>
            </w:r>
          </w:p>
        </w:tc>
        <w:tc>
          <w:tcPr>
            <w:tcW w:w="3420" w:type="dxa"/>
            <w:vAlign w:val="bottom"/>
          </w:tcPr>
          <w:p>
            <w:pPr>
              <w:ind w:left="640"/>
              <w:spacing w:after="0"/>
              <w:rPr>
                <w:sz w:val="20"/>
                <w:szCs w:val="20"/>
                <w:color w:val="auto"/>
              </w:rPr>
            </w:pPr>
            <w:r>
              <w:rPr>
                <w:rFonts w:ascii="Arial" w:cs="Arial" w:eastAsia="Arial" w:hAnsi="Arial"/>
                <w:sz w:val="18"/>
                <w:szCs w:val="18"/>
                <w:color w:val="auto"/>
              </w:rPr>
              <w:t>Slovakia</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Bahamas</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France</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Malta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Slovenia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2620" w:type="dxa"/>
            <w:vAlign w:val="bottom"/>
          </w:tcPr>
          <w:p>
            <w:pPr>
              <w:ind w:left="420"/>
              <w:spacing w:after="0"/>
              <w:rPr>
                <w:sz w:val="20"/>
                <w:szCs w:val="20"/>
                <w:color w:val="auto"/>
              </w:rPr>
            </w:pPr>
            <w:r>
              <w:rPr>
                <w:rFonts w:ascii="Arial" w:cs="Arial" w:eastAsia="Arial" w:hAnsi="Arial"/>
                <w:sz w:val="18"/>
                <w:szCs w:val="18"/>
                <w:color w:val="auto"/>
              </w:rPr>
              <w:t>French Guiana</w:t>
            </w:r>
          </w:p>
        </w:tc>
        <w:tc>
          <w:tcPr>
            <w:tcW w:w="2780" w:type="dxa"/>
            <w:vAlign w:val="bottom"/>
          </w:tcPr>
          <w:p>
            <w:pPr>
              <w:ind w:left="600"/>
              <w:spacing w:after="0"/>
              <w:rPr>
                <w:sz w:val="20"/>
                <w:szCs w:val="20"/>
                <w:color w:val="auto"/>
              </w:rPr>
            </w:pPr>
            <w:r>
              <w:rPr>
                <w:rFonts w:ascii="Arial" w:cs="Arial" w:eastAsia="Arial" w:hAnsi="Arial"/>
                <w:sz w:val="18"/>
                <w:szCs w:val="18"/>
                <w:color w:val="auto"/>
              </w:rPr>
              <w:t>Mauritania</w:t>
            </w:r>
          </w:p>
        </w:tc>
        <w:tc>
          <w:tcPr>
            <w:tcW w:w="3420" w:type="dxa"/>
            <w:vAlign w:val="bottom"/>
          </w:tcPr>
          <w:p>
            <w:pPr>
              <w:ind w:left="640"/>
              <w:spacing w:after="0"/>
              <w:rPr>
                <w:sz w:val="20"/>
                <w:szCs w:val="20"/>
                <w:color w:val="auto"/>
              </w:rPr>
            </w:pPr>
            <w:r>
              <w:rPr>
                <w:rFonts w:ascii="Arial" w:cs="Arial" w:eastAsia="Arial" w:hAnsi="Arial"/>
                <w:sz w:val="18"/>
                <w:szCs w:val="18"/>
                <w:color w:val="auto"/>
              </w:rPr>
              <w:t>South Africa</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Barbados</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Georgia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Mexico</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South Korea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Belarus</w:t>
            </w:r>
          </w:p>
        </w:tc>
        <w:tc>
          <w:tcPr>
            <w:tcW w:w="2620" w:type="dxa"/>
            <w:vAlign w:val="bottom"/>
          </w:tcPr>
          <w:p>
            <w:pPr>
              <w:ind w:left="420"/>
              <w:spacing w:after="0"/>
              <w:rPr>
                <w:sz w:val="20"/>
                <w:szCs w:val="20"/>
                <w:color w:val="auto"/>
              </w:rPr>
            </w:pPr>
            <w:r>
              <w:rPr>
                <w:rFonts w:ascii="Arial" w:cs="Arial" w:eastAsia="Arial" w:hAnsi="Arial"/>
                <w:sz w:val="18"/>
                <w:szCs w:val="18"/>
                <w:color w:val="auto"/>
              </w:rPr>
              <w:t>Germany</w:t>
            </w:r>
          </w:p>
        </w:tc>
        <w:tc>
          <w:tcPr>
            <w:tcW w:w="2780" w:type="dxa"/>
            <w:vAlign w:val="bottom"/>
          </w:tcPr>
          <w:p>
            <w:pPr>
              <w:ind w:left="600"/>
              <w:spacing w:after="0"/>
              <w:rPr>
                <w:sz w:val="20"/>
                <w:szCs w:val="20"/>
                <w:color w:val="auto"/>
              </w:rPr>
            </w:pPr>
            <w:r>
              <w:rPr>
                <w:rFonts w:ascii="Arial" w:cs="Arial" w:eastAsia="Arial" w:hAnsi="Arial"/>
                <w:sz w:val="18"/>
                <w:szCs w:val="18"/>
                <w:color w:val="auto"/>
              </w:rPr>
              <w:t>Moldova</w:t>
            </w:r>
          </w:p>
        </w:tc>
        <w:tc>
          <w:tcPr>
            <w:tcW w:w="3420" w:type="dxa"/>
            <w:vAlign w:val="bottom"/>
          </w:tcPr>
          <w:p>
            <w:pPr>
              <w:ind w:left="640"/>
              <w:spacing w:after="0"/>
              <w:rPr>
                <w:sz w:val="20"/>
                <w:szCs w:val="20"/>
                <w:color w:val="auto"/>
              </w:rPr>
            </w:pPr>
            <w:r>
              <w:rPr>
                <w:rFonts w:ascii="Arial" w:cs="Arial" w:eastAsia="Arial" w:hAnsi="Arial"/>
                <w:sz w:val="18"/>
                <w:szCs w:val="18"/>
                <w:color w:val="auto"/>
              </w:rPr>
              <w:t>Spain</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Belgium</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Ghana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Monaco</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Sri Lanka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Benin</w:t>
            </w:r>
          </w:p>
        </w:tc>
        <w:tc>
          <w:tcPr>
            <w:tcW w:w="2620" w:type="dxa"/>
            <w:vAlign w:val="bottom"/>
          </w:tcPr>
          <w:p>
            <w:pPr>
              <w:ind w:left="420"/>
              <w:spacing w:after="0"/>
              <w:rPr>
                <w:sz w:val="20"/>
                <w:szCs w:val="20"/>
                <w:color w:val="auto"/>
              </w:rPr>
            </w:pPr>
            <w:r>
              <w:rPr>
                <w:rFonts w:ascii="Arial" w:cs="Arial" w:eastAsia="Arial" w:hAnsi="Arial"/>
                <w:sz w:val="18"/>
                <w:szCs w:val="18"/>
                <w:color w:val="auto"/>
              </w:rPr>
              <w:t>Greece</w:t>
            </w:r>
          </w:p>
        </w:tc>
        <w:tc>
          <w:tcPr>
            <w:tcW w:w="2780" w:type="dxa"/>
            <w:vAlign w:val="bottom"/>
          </w:tcPr>
          <w:p>
            <w:pPr>
              <w:ind w:left="600"/>
              <w:spacing w:after="0"/>
              <w:rPr>
                <w:sz w:val="20"/>
                <w:szCs w:val="20"/>
                <w:color w:val="auto"/>
              </w:rPr>
            </w:pPr>
            <w:r>
              <w:rPr>
                <w:rFonts w:ascii="Arial" w:cs="Arial" w:eastAsia="Arial" w:hAnsi="Arial"/>
                <w:sz w:val="18"/>
                <w:szCs w:val="18"/>
                <w:color w:val="auto"/>
              </w:rPr>
              <w:t>Mongolia</w:t>
            </w:r>
          </w:p>
        </w:tc>
        <w:tc>
          <w:tcPr>
            <w:tcW w:w="3420" w:type="dxa"/>
            <w:vAlign w:val="bottom"/>
          </w:tcPr>
          <w:p>
            <w:pPr>
              <w:ind w:left="640"/>
              <w:spacing w:after="0"/>
              <w:rPr>
                <w:sz w:val="20"/>
                <w:szCs w:val="20"/>
                <w:color w:val="auto"/>
              </w:rPr>
            </w:pPr>
            <w:r>
              <w:rPr>
                <w:rFonts w:ascii="Arial" w:cs="Arial" w:eastAsia="Arial" w:hAnsi="Arial"/>
                <w:sz w:val="18"/>
                <w:szCs w:val="18"/>
                <w:color w:val="auto"/>
              </w:rPr>
              <w:t>Sudan</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Bolivia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Grenada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Morocco</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Suriname</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Bosnia and Herzegovina</w:t>
            </w:r>
          </w:p>
        </w:tc>
        <w:tc>
          <w:tcPr>
            <w:tcW w:w="2620" w:type="dxa"/>
            <w:vAlign w:val="bottom"/>
          </w:tcPr>
          <w:p>
            <w:pPr>
              <w:ind w:left="420"/>
              <w:spacing w:after="0"/>
              <w:rPr>
                <w:sz w:val="20"/>
                <w:szCs w:val="20"/>
                <w:color w:val="auto"/>
              </w:rPr>
            </w:pPr>
            <w:r>
              <w:rPr>
                <w:rFonts w:ascii="Arial" w:cs="Arial" w:eastAsia="Arial" w:hAnsi="Arial"/>
                <w:sz w:val="18"/>
                <w:szCs w:val="18"/>
                <w:color w:val="auto"/>
              </w:rPr>
              <w:t>Guatemala</w:t>
            </w:r>
          </w:p>
        </w:tc>
        <w:tc>
          <w:tcPr>
            <w:tcW w:w="2780" w:type="dxa"/>
            <w:vAlign w:val="bottom"/>
          </w:tcPr>
          <w:p>
            <w:pPr>
              <w:ind w:left="600"/>
              <w:spacing w:after="0"/>
              <w:rPr>
                <w:sz w:val="20"/>
                <w:szCs w:val="20"/>
                <w:color w:val="auto"/>
              </w:rPr>
            </w:pPr>
            <w:r>
              <w:rPr>
                <w:rFonts w:ascii="Arial" w:cs="Arial" w:eastAsia="Arial" w:hAnsi="Arial"/>
                <w:sz w:val="18"/>
                <w:szCs w:val="18"/>
                <w:color w:val="auto"/>
              </w:rPr>
              <w:t>Mozambique</w:t>
            </w:r>
          </w:p>
        </w:tc>
        <w:tc>
          <w:tcPr>
            <w:tcW w:w="3420" w:type="dxa"/>
            <w:vAlign w:val="bottom"/>
          </w:tcPr>
          <w:p>
            <w:pPr>
              <w:ind w:left="640"/>
              <w:spacing w:after="0"/>
              <w:rPr>
                <w:sz w:val="20"/>
                <w:szCs w:val="20"/>
                <w:color w:val="auto"/>
              </w:rPr>
            </w:pPr>
            <w:r>
              <w:rPr>
                <w:rFonts w:ascii="Arial" w:cs="Arial" w:eastAsia="Arial" w:hAnsi="Arial"/>
                <w:sz w:val="18"/>
                <w:szCs w:val="18"/>
                <w:color w:val="auto"/>
              </w:rPr>
              <w:t>Sweden</w:t>
            </w:r>
          </w:p>
        </w:tc>
      </w:t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Botswana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Guinea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Myanmar</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Switzerland</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Brazil</w:t>
            </w:r>
          </w:p>
        </w:tc>
        <w:tc>
          <w:tcPr>
            <w:tcW w:w="2620" w:type="dxa"/>
            <w:vAlign w:val="bottom"/>
          </w:tcPr>
          <w:p>
            <w:pPr>
              <w:ind w:left="420"/>
              <w:spacing w:after="0"/>
              <w:rPr>
                <w:sz w:val="20"/>
                <w:szCs w:val="20"/>
                <w:color w:val="auto"/>
              </w:rPr>
            </w:pPr>
            <w:r>
              <w:rPr>
                <w:rFonts w:ascii="Arial" w:cs="Arial" w:eastAsia="Arial" w:hAnsi="Arial"/>
                <w:sz w:val="18"/>
                <w:szCs w:val="18"/>
                <w:color w:val="auto"/>
              </w:rPr>
              <w:t>Guyana</w:t>
            </w:r>
          </w:p>
        </w:tc>
        <w:tc>
          <w:tcPr>
            <w:tcW w:w="2780" w:type="dxa"/>
            <w:vAlign w:val="bottom"/>
          </w:tcPr>
          <w:p>
            <w:pPr>
              <w:ind w:left="600"/>
              <w:spacing w:after="0"/>
              <w:rPr>
                <w:sz w:val="20"/>
                <w:szCs w:val="20"/>
                <w:color w:val="auto"/>
              </w:rPr>
            </w:pPr>
            <w:r>
              <w:rPr>
                <w:rFonts w:ascii="Arial" w:cs="Arial" w:eastAsia="Arial" w:hAnsi="Arial"/>
                <w:sz w:val="18"/>
                <w:szCs w:val="18"/>
                <w:color w:val="auto"/>
              </w:rPr>
              <w:t>Namibia</w:t>
            </w:r>
          </w:p>
        </w:tc>
        <w:tc>
          <w:tcPr>
            <w:tcW w:w="3420" w:type="dxa"/>
            <w:vAlign w:val="bottom"/>
          </w:tcPr>
          <w:p>
            <w:pPr>
              <w:ind w:left="640"/>
              <w:spacing w:after="0"/>
              <w:rPr>
                <w:sz w:val="20"/>
                <w:szCs w:val="20"/>
                <w:color w:val="auto"/>
              </w:rPr>
            </w:pPr>
            <w:r>
              <w:rPr>
                <w:rFonts w:ascii="Arial" w:cs="Arial" w:eastAsia="Arial" w:hAnsi="Arial"/>
                <w:sz w:val="18"/>
                <w:szCs w:val="18"/>
                <w:color w:val="auto"/>
              </w:rPr>
              <w:t>Tajikistan</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Bulgaria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Honduras</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Netherlands</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Tanzania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Burkina Faso</w:t>
            </w:r>
          </w:p>
        </w:tc>
        <w:tc>
          <w:tcPr>
            <w:tcW w:w="2620" w:type="dxa"/>
            <w:vAlign w:val="bottom"/>
          </w:tcPr>
          <w:p>
            <w:pPr>
              <w:ind w:left="420"/>
              <w:spacing w:after="0"/>
              <w:rPr>
                <w:sz w:val="20"/>
                <w:szCs w:val="20"/>
                <w:color w:val="auto"/>
              </w:rPr>
            </w:pPr>
            <w:r>
              <w:rPr>
                <w:rFonts w:ascii="Arial" w:cs="Arial" w:eastAsia="Arial" w:hAnsi="Arial"/>
                <w:sz w:val="18"/>
                <w:szCs w:val="18"/>
                <w:color w:val="auto"/>
              </w:rPr>
              <w:t>Hong Kong</w:t>
            </w:r>
          </w:p>
        </w:tc>
        <w:tc>
          <w:tcPr>
            <w:tcW w:w="2780" w:type="dxa"/>
            <w:vAlign w:val="bottom"/>
          </w:tcPr>
          <w:p>
            <w:pPr>
              <w:ind w:left="600"/>
              <w:spacing w:after="0"/>
              <w:rPr>
                <w:sz w:val="20"/>
                <w:szCs w:val="20"/>
                <w:color w:val="auto"/>
              </w:rPr>
            </w:pPr>
            <w:r>
              <w:rPr>
                <w:rFonts w:ascii="Arial" w:cs="Arial" w:eastAsia="Arial" w:hAnsi="Arial"/>
                <w:sz w:val="18"/>
                <w:szCs w:val="18"/>
                <w:color w:val="auto"/>
              </w:rPr>
              <w:t>New Zealand</w:t>
            </w:r>
          </w:p>
        </w:tc>
        <w:tc>
          <w:tcPr>
            <w:tcW w:w="3420" w:type="dxa"/>
            <w:vAlign w:val="bottom"/>
          </w:tcPr>
          <w:p>
            <w:pPr>
              <w:ind w:left="640"/>
              <w:spacing w:after="0"/>
              <w:rPr>
                <w:sz w:val="20"/>
                <w:szCs w:val="20"/>
                <w:color w:val="auto"/>
              </w:rPr>
            </w:pPr>
            <w:r>
              <w:rPr>
                <w:rFonts w:ascii="Arial" w:cs="Arial" w:eastAsia="Arial" w:hAnsi="Arial"/>
                <w:sz w:val="18"/>
                <w:szCs w:val="18"/>
                <w:color w:val="auto"/>
              </w:rPr>
              <w:t>Thailand</w:t>
            </w:r>
          </w:p>
        </w:tc>
      </w:t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Burundi</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Hungary</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Nicaragua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Togo</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Cambodia</w:t>
            </w:r>
          </w:p>
        </w:tc>
        <w:tc>
          <w:tcPr>
            <w:tcW w:w="2620" w:type="dxa"/>
            <w:vAlign w:val="bottom"/>
          </w:tcPr>
          <w:p>
            <w:pPr>
              <w:ind w:left="420"/>
              <w:spacing w:after="0"/>
              <w:rPr>
                <w:sz w:val="20"/>
                <w:szCs w:val="20"/>
                <w:color w:val="auto"/>
              </w:rPr>
            </w:pPr>
            <w:r>
              <w:rPr>
                <w:rFonts w:ascii="Arial" w:cs="Arial" w:eastAsia="Arial" w:hAnsi="Arial"/>
                <w:sz w:val="18"/>
                <w:szCs w:val="18"/>
                <w:color w:val="auto"/>
              </w:rPr>
              <w:t>Iceland</w:t>
            </w:r>
          </w:p>
        </w:tc>
        <w:tc>
          <w:tcPr>
            <w:tcW w:w="2780" w:type="dxa"/>
            <w:vAlign w:val="bottom"/>
          </w:tcPr>
          <w:p>
            <w:pPr>
              <w:ind w:left="600"/>
              <w:spacing w:after="0"/>
              <w:rPr>
                <w:sz w:val="20"/>
                <w:szCs w:val="20"/>
                <w:color w:val="auto"/>
              </w:rPr>
            </w:pPr>
            <w:r>
              <w:rPr>
                <w:rFonts w:ascii="Arial" w:cs="Arial" w:eastAsia="Arial" w:hAnsi="Arial"/>
                <w:sz w:val="18"/>
                <w:szCs w:val="18"/>
                <w:color w:val="auto"/>
              </w:rPr>
              <w:t>Niger</w:t>
            </w:r>
          </w:p>
        </w:tc>
        <w:tc>
          <w:tcPr>
            <w:tcW w:w="3420" w:type="dxa"/>
            <w:vAlign w:val="bottom"/>
          </w:tcPr>
          <w:p>
            <w:pPr>
              <w:ind w:left="640"/>
              <w:spacing w:after="0"/>
              <w:rPr>
                <w:sz w:val="20"/>
                <w:szCs w:val="20"/>
                <w:color w:val="auto"/>
              </w:rPr>
            </w:pPr>
            <w:r>
              <w:rPr>
                <w:rFonts w:ascii="Arial" w:cs="Arial" w:eastAsia="Arial" w:hAnsi="Arial"/>
                <w:sz w:val="18"/>
                <w:szCs w:val="18"/>
                <w:color w:val="auto"/>
              </w:rPr>
              <w:t>Trinidad and Tobago</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Cameroon</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India</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Nigeria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Tunisia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Canada</w:t>
            </w:r>
          </w:p>
        </w:tc>
        <w:tc>
          <w:tcPr>
            <w:tcW w:w="2620" w:type="dxa"/>
            <w:vAlign w:val="bottom"/>
          </w:tcPr>
          <w:p>
            <w:pPr>
              <w:ind w:left="4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00"/>
              <w:spacing w:after="0"/>
              <w:rPr>
                <w:sz w:val="20"/>
                <w:szCs w:val="20"/>
                <w:color w:val="auto"/>
              </w:rPr>
            </w:pPr>
            <w:r>
              <w:rPr>
                <w:rFonts w:ascii="Arial" w:cs="Arial" w:eastAsia="Arial" w:hAnsi="Arial"/>
                <w:sz w:val="18"/>
                <w:szCs w:val="18"/>
                <w:color w:val="auto"/>
              </w:rPr>
              <w:t>Norway</w:t>
            </w:r>
          </w:p>
        </w:tc>
        <w:tc>
          <w:tcPr>
            <w:tcW w:w="3420" w:type="dxa"/>
            <w:vAlign w:val="bottom"/>
          </w:tcPr>
          <w:p>
            <w:pPr>
              <w:ind w:left="640"/>
              <w:spacing w:after="0"/>
              <w:rPr>
                <w:sz w:val="20"/>
                <w:szCs w:val="20"/>
                <w:color w:val="auto"/>
              </w:rPr>
            </w:pPr>
            <w:r>
              <w:rPr>
                <w:rFonts w:ascii="Arial" w:cs="Arial" w:eastAsia="Arial" w:hAnsi="Arial"/>
                <w:sz w:val="18"/>
                <w:szCs w:val="18"/>
                <w:color w:val="auto"/>
              </w:rPr>
              <w:t>Turkey</w:t>
            </w:r>
          </w:p>
        </w:tc>
      </w:t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Cayman Islands</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Ireland</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Oman</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Uganda</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Chile</w:t>
            </w:r>
          </w:p>
        </w:tc>
        <w:tc>
          <w:tcPr>
            <w:tcW w:w="2620" w:type="dxa"/>
            <w:vAlign w:val="bottom"/>
          </w:tcPr>
          <w:p>
            <w:pPr>
              <w:ind w:left="420"/>
              <w:spacing w:after="0"/>
              <w:rPr>
                <w:sz w:val="20"/>
                <w:szCs w:val="20"/>
                <w:color w:val="auto"/>
              </w:rPr>
            </w:pPr>
            <w:r>
              <w:rPr>
                <w:rFonts w:ascii="Arial" w:cs="Arial" w:eastAsia="Arial" w:hAnsi="Arial"/>
                <w:sz w:val="18"/>
                <w:szCs w:val="18"/>
                <w:color w:val="auto"/>
              </w:rPr>
              <w:t>Israel</w:t>
            </w:r>
          </w:p>
        </w:tc>
        <w:tc>
          <w:tcPr>
            <w:tcW w:w="2780" w:type="dxa"/>
            <w:vAlign w:val="bottom"/>
          </w:tcPr>
          <w:p>
            <w:pPr>
              <w:ind w:left="600"/>
              <w:spacing w:after="0"/>
              <w:rPr>
                <w:sz w:val="20"/>
                <w:szCs w:val="20"/>
                <w:color w:val="auto"/>
              </w:rPr>
            </w:pPr>
            <w:r>
              <w:rPr>
                <w:rFonts w:ascii="Arial" w:cs="Arial" w:eastAsia="Arial" w:hAnsi="Arial"/>
                <w:sz w:val="18"/>
                <w:szCs w:val="18"/>
                <w:color w:val="auto"/>
              </w:rPr>
              <w:t>Panama</w:t>
            </w:r>
          </w:p>
        </w:tc>
        <w:tc>
          <w:tcPr>
            <w:tcW w:w="3420" w:type="dxa"/>
            <w:vAlign w:val="bottom"/>
          </w:tcPr>
          <w:p>
            <w:pPr>
              <w:ind w:left="640"/>
              <w:spacing w:after="0"/>
              <w:rPr>
                <w:sz w:val="20"/>
                <w:szCs w:val="20"/>
                <w:color w:val="auto"/>
              </w:rPr>
            </w:pPr>
            <w:r>
              <w:rPr>
                <w:rFonts w:ascii="Arial" w:cs="Arial" w:eastAsia="Arial" w:hAnsi="Arial"/>
                <w:sz w:val="18"/>
                <w:szCs w:val="18"/>
                <w:color w:val="auto"/>
              </w:rPr>
              <w:t>Ukraine</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China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Italy</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Papua New Guinea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United Arab Emirates</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Chinese Taipei (Taiwan)</w:t>
            </w:r>
          </w:p>
        </w:tc>
        <w:tc>
          <w:tcPr>
            <w:tcW w:w="2620" w:type="dxa"/>
            <w:vAlign w:val="bottom"/>
          </w:tcPr>
          <w:p>
            <w:pPr>
              <w:ind w:left="420"/>
              <w:spacing w:after="0"/>
              <w:rPr>
                <w:sz w:val="20"/>
                <w:szCs w:val="20"/>
                <w:color w:val="auto"/>
              </w:rPr>
            </w:pPr>
            <w:r>
              <w:rPr>
                <w:rFonts w:ascii="Arial" w:cs="Arial" w:eastAsia="Arial" w:hAnsi="Arial"/>
                <w:sz w:val="18"/>
                <w:szCs w:val="18"/>
                <w:color w:val="auto"/>
              </w:rPr>
              <w:t>Jamaica</w:t>
            </w:r>
          </w:p>
        </w:tc>
        <w:tc>
          <w:tcPr>
            <w:tcW w:w="2780" w:type="dxa"/>
            <w:vAlign w:val="bottom"/>
          </w:tcPr>
          <w:p>
            <w:pPr>
              <w:ind w:left="600"/>
              <w:spacing w:after="0"/>
              <w:rPr>
                <w:sz w:val="20"/>
                <w:szCs w:val="20"/>
                <w:color w:val="auto"/>
              </w:rPr>
            </w:pPr>
            <w:r>
              <w:rPr>
                <w:rFonts w:ascii="Arial" w:cs="Arial" w:eastAsia="Arial" w:hAnsi="Arial"/>
                <w:sz w:val="18"/>
                <w:szCs w:val="18"/>
                <w:color w:val="auto"/>
              </w:rPr>
              <w:t>Peru</w:t>
            </w:r>
          </w:p>
        </w:tc>
        <w:tc>
          <w:tcPr>
            <w:tcW w:w="3420" w:type="dxa"/>
            <w:vAlign w:val="bottom"/>
          </w:tcPr>
          <w:p>
            <w:pPr>
              <w:ind w:left="640"/>
              <w:spacing w:after="0"/>
              <w:rPr>
                <w:sz w:val="20"/>
                <w:szCs w:val="20"/>
                <w:color w:val="auto"/>
              </w:rPr>
            </w:pPr>
            <w:r>
              <w:rPr>
                <w:rFonts w:ascii="Arial" w:cs="Arial" w:eastAsia="Arial" w:hAnsi="Arial"/>
                <w:sz w:val="18"/>
                <w:szCs w:val="18"/>
                <w:color w:val="auto"/>
              </w:rPr>
              <w:t>United Kingdom</w:t>
            </w:r>
          </w:p>
        </w:tc>
      </w:t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Colombia</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Japan</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Philippines</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United States</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Costa Rica</w:t>
            </w:r>
          </w:p>
        </w:tc>
        <w:tc>
          <w:tcPr>
            <w:tcW w:w="2620" w:type="dxa"/>
            <w:vAlign w:val="bottom"/>
          </w:tcPr>
          <w:p>
            <w:pPr>
              <w:ind w:left="420"/>
              <w:spacing w:after="0"/>
              <w:rPr>
                <w:sz w:val="20"/>
                <w:szCs w:val="20"/>
                <w:color w:val="auto"/>
              </w:rPr>
            </w:pPr>
            <w:r>
              <w:rPr>
                <w:rFonts w:ascii="Arial" w:cs="Arial" w:eastAsia="Arial" w:hAnsi="Arial"/>
                <w:sz w:val="18"/>
                <w:szCs w:val="18"/>
                <w:color w:val="auto"/>
              </w:rPr>
              <w:t>Jordan</w:t>
            </w:r>
          </w:p>
        </w:tc>
        <w:tc>
          <w:tcPr>
            <w:tcW w:w="2780" w:type="dxa"/>
            <w:vAlign w:val="bottom"/>
          </w:tcPr>
          <w:p>
            <w:pPr>
              <w:ind w:left="600"/>
              <w:spacing w:after="0"/>
              <w:rPr>
                <w:sz w:val="20"/>
                <w:szCs w:val="20"/>
                <w:color w:val="auto"/>
              </w:rPr>
            </w:pPr>
            <w:r>
              <w:rPr>
                <w:rFonts w:ascii="Arial" w:cs="Arial" w:eastAsia="Arial" w:hAnsi="Arial"/>
                <w:sz w:val="18"/>
                <w:szCs w:val="18"/>
                <w:color w:val="auto"/>
              </w:rPr>
              <w:t>Poland</w:t>
            </w:r>
          </w:p>
        </w:tc>
        <w:tc>
          <w:tcPr>
            <w:tcW w:w="3420" w:type="dxa"/>
            <w:vAlign w:val="bottom"/>
          </w:tcPr>
          <w:p>
            <w:pPr>
              <w:ind w:left="640"/>
              <w:spacing w:after="0"/>
              <w:rPr>
                <w:sz w:val="20"/>
                <w:szCs w:val="20"/>
                <w:color w:val="auto"/>
              </w:rPr>
            </w:pPr>
            <w:r>
              <w:rPr>
                <w:rFonts w:ascii="Arial" w:cs="Arial" w:eastAsia="Arial" w:hAnsi="Arial"/>
                <w:sz w:val="18"/>
                <w:szCs w:val="18"/>
                <w:color w:val="auto"/>
              </w:rPr>
              <w:t>Uruguay</w:t>
            </w:r>
          </w:p>
        </w:tc>
      </w:tr>
      <w:tr>
        <w:trPr>
          <w:trHeight w:val="229"/>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Côte d'Ivoire</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Kazakhstan</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Portugal</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Uzbekistan</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Croatia</w:t>
            </w:r>
          </w:p>
        </w:tc>
        <w:tc>
          <w:tcPr>
            <w:tcW w:w="2620" w:type="dxa"/>
            <w:vAlign w:val="bottom"/>
          </w:tcPr>
          <w:p>
            <w:pPr>
              <w:ind w:left="420"/>
              <w:spacing w:after="0"/>
              <w:rPr>
                <w:sz w:val="20"/>
                <w:szCs w:val="20"/>
                <w:color w:val="auto"/>
              </w:rPr>
            </w:pPr>
            <w:r>
              <w:rPr>
                <w:rFonts w:ascii="Arial" w:cs="Arial" w:eastAsia="Arial" w:hAnsi="Arial"/>
                <w:sz w:val="18"/>
                <w:szCs w:val="18"/>
                <w:color w:val="auto"/>
              </w:rPr>
              <w:t>Kenya</w:t>
            </w:r>
          </w:p>
        </w:tc>
        <w:tc>
          <w:tcPr>
            <w:tcW w:w="2780" w:type="dxa"/>
            <w:vAlign w:val="bottom"/>
          </w:tcPr>
          <w:p>
            <w:pPr>
              <w:ind w:left="600"/>
              <w:spacing w:after="0"/>
              <w:rPr>
                <w:sz w:val="20"/>
                <w:szCs w:val="20"/>
                <w:color w:val="auto"/>
              </w:rPr>
            </w:pPr>
            <w:r>
              <w:rPr>
                <w:rFonts w:ascii="Arial" w:cs="Arial" w:eastAsia="Arial" w:hAnsi="Arial"/>
                <w:sz w:val="18"/>
                <w:szCs w:val="18"/>
                <w:color w:val="auto"/>
              </w:rPr>
              <w:t>Puerto Rico</w:t>
            </w:r>
          </w:p>
        </w:tc>
        <w:tc>
          <w:tcPr>
            <w:tcW w:w="3420" w:type="dxa"/>
            <w:vAlign w:val="bottom"/>
          </w:tcPr>
          <w:p>
            <w:pPr>
              <w:ind w:left="640"/>
              <w:spacing w:after="0"/>
              <w:rPr>
                <w:sz w:val="20"/>
                <w:szCs w:val="20"/>
                <w:color w:val="auto"/>
              </w:rPr>
            </w:pPr>
            <w:r>
              <w:rPr>
                <w:rFonts w:ascii="Arial" w:cs="Arial" w:eastAsia="Arial" w:hAnsi="Arial"/>
                <w:sz w:val="18"/>
                <w:szCs w:val="18"/>
                <w:color w:val="auto"/>
              </w:rPr>
              <w:t>Venezuela</w:t>
            </w:r>
          </w:p>
        </w:tc>
      </w:tr>
      <w:tr>
        <w:trPr>
          <w:trHeight w:val="230"/>
        </w:trPr>
        <w:tc>
          <w:tcPr>
            <w:tcW w:w="2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Curacao</w:t>
            </w:r>
          </w:p>
        </w:tc>
        <w:tc>
          <w:tcPr>
            <w:tcW w:w="2620" w:type="dxa"/>
            <w:vAlign w:val="bottom"/>
            <w:shd w:val="clear" w:color="auto" w:fill="DBDBDB"/>
          </w:tcPr>
          <w:p>
            <w:pPr>
              <w:ind w:left="420"/>
              <w:spacing w:after="0"/>
              <w:rPr>
                <w:sz w:val="20"/>
                <w:szCs w:val="20"/>
                <w:color w:val="auto"/>
              </w:rPr>
            </w:pPr>
            <w:r>
              <w:rPr>
                <w:rFonts w:ascii="Arial" w:cs="Arial" w:eastAsia="Arial" w:hAnsi="Arial"/>
                <w:sz w:val="18"/>
                <w:szCs w:val="18"/>
                <w:color w:val="auto"/>
              </w:rPr>
              <w:t>Kuwait</w:t>
            </w:r>
          </w:p>
        </w:tc>
        <w:tc>
          <w:tcPr>
            <w:tcW w:w="2780" w:type="dxa"/>
            <w:vAlign w:val="bottom"/>
            <w:shd w:val="clear" w:color="auto" w:fill="DBDBDB"/>
          </w:tcPr>
          <w:p>
            <w:pPr>
              <w:ind w:left="600"/>
              <w:spacing w:after="0"/>
              <w:rPr>
                <w:sz w:val="20"/>
                <w:szCs w:val="20"/>
                <w:color w:val="auto"/>
              </w:rPr>
            </w:pPr>
            <w:r>
              <w:rPr>
                <w:rFonts w:ascii="Arial" w:cs="Arial" w:eastAsia="Arial" w:hAnsi="Arial"/>
                <w:sz w:val="18"/>
                <w:szCs w:val="18"/>
                <w:color w:val="auto"/>
              </w:rPr>
              <w:t>Romania</w:t>
            </w:r>
          </w:p>
        </w:tc>
        <w:tc>
          <w:tcPr>
            <w:tcW w:w="3420" w:type="dxa"/>
            <w:vAlign w:val="bottom"/>
            <w:shd w:val="clear" w:color="auto" w:fill="DBDBDB"/>
          </w:tcPr>
          <w:p>
            <w:pPr>
              <w:ind w:left="640"/>
              <w:spacing w:after="0"/>
              <w:rPr>
                <w:sz w:val="20"/>
                <w:szCs w:val="20"/>
                <w:color w:val="auto"/>
              </w:rPr>
            </w:pPr>
            <w:r>
              <w:rPr>
                <w:rFonts w:ascii="Arial" w:cs="Arial" w:eastAsia="Arial" w:hAnsi="Arial"/>
                <w:sz w:val="18"/>
                <w:szCs w:val="18"/>
                <w:color w:val="auto"/>
              </w:rPr>
              <w:t>Vietnam</w:t>
            </w:r>
          </w:p>
        </w:tc>
      </w:tr>
      <w:tr>
        <w:trPr>
          <w:trHeight w:val="239"/>
        </w:trPr>
        <w:tc>
          <w:tcPr>
            <w:tcW w:w="2420" w:type="dxa"/>
            <w:vAlign w:val="bottom"/>
          </w:tcPr>
          <w:p>
            <w:pPr>
              <w:ind w:left="20"/>
              <w:spacing w:after="0"/>
              <w:rPr>
                <w:sz w:val="20"/>
                <w:szCs w:val="20"/>
                <w:color w:val="auto"/>
              </w:rPr>
            </w:pPr>
            <w:r>
              <w:rPr>
                <w:rFonts w:ascii="Arial" w:cs="Arial" w:eastAsia="Arial" w:hAnsi="Arial"/>
                <w:sz w:val="18"/>
                <w:szCs w:val="18"/>
                <w:color w:val="auto"/>
              </w:rPr>
              <w:t>Cyprus</w:t>
            </w:r>
          </w:p>
        </w:tc>
        <w:tc>
          <w:tcPr>
            <w:tcW w:w="2620" w:type="dxa"/>
            <w:vAlign w:val="bottom"/>
          </w:tcPr>
          <w:p>
            <w:pPr>
              <w:ind w:left="420"/>
              <w:spacing w:after="0"/>
              <w:rPr>
                <w:sz w:val="20"/>
                <w:szCs w:val="20"/>
                <w:color w:val="auto"/>
              </w:rPr>
            </w:pPr>
            <w:r>
              <w:rPr>
                <w:rFonts w:ascii="Arial" w:cs="Arial" w:eastAsia="Arial" w:hAnsi="Arial"/>
                <w:sz w:val="18"/>
                <w:szCs w:val="18"/>
                <w:color w:val="auto"/>
              </w:rPr>
              <w:t>Kyrgyzstan</w:t>
            </w:r>
          </w:p>
        </w:tc>
        <w:tc>
          <w:tcPr>
            <w:tcW w:w="2780" w:type="dxa"/>
            <w:vAlign w:val="bottom"/>
          </w:tcPr>
          <w:p>
            <w:pPr>
              <w:ind w:left="600"/>
              <w:spacing w:after="0"/>
              <w:rPr>
                <w:sz w:val="20"/>
                <w:szCs w:val="20"/>
                <w:color w:val="auto"/>
              </w:rPr>
            </w:pPr>
            <w:r>
              <w:rPr>
                <w:rFonts w:ascii="Arial" w:cs="Arial" w:eastAsia="Arial" w:hAnsi="Arial"/>
                <w:sz w:val="18"/>
                <w:szCs w:val="18"/>
                <w:color w:val="auto"/>
              </w:rPr>
              <w:t>Russia</w:t>
            </w:r>
          </w:p>
        </w:tc>
        <w:tc>
          <w:tcPr>
            <w:tcW w:w="3420" w:type="dxa"/>
            <w:vAlign w:val="bottom"/>
          </w:tcPr>
          <w:p>
            <w:pPr>
              <w:ind w:left="640"/>
              <w:spacing w:after="0"/>
              <w:rPr>
                <w:sz w:val="20"/>
                <w:szCs w:val="20"/>
                <w:color w:val="auto"/>
              </w:rPr>
            </w:pPr>
            <w:r>
              <w:rPr>
                <w:rFonts w:ascii="Arial" w:cs="Arial" w:eastAsia="Arial" w:hAnsi="Arial"/>
                <w:sz w:val="18"/>
                <w:szCs w:val="18"/>
                <w:color w:val="auto"/>
              </w:rPr>
              <w:t>Zambia</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02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Czechia (Czech Republic)</w:t>
            </w:r>
          </w:p>
        </w:tc>
        <w:tc>
          <w:tcPr>
            <w:tcW w:w="1640" w:type="dxa"/>
            <w:vAlign w:val="bottom"/>
            <w:shd w:val="clear" w:color="auto" w:fill="DBDBDB"/>
          </w:tcPr>
          <w:p>
            <w:pPr>
              <w:ind w:left="40"/>
              <w:spacing w:after="0"/>
              <w:rPr>
                <w:sz w:val="20"/>
                <w:szCs w:val="20"/>
                <w:color w:val="auto"/>
              </w:rPr>
            </w:pPr>
            <w:r>
              <w:rPr>
                <w:rFonts w:ascii="Arial" w:cs="Arial" w:eastAsia="Arial" w:hAnsi="Arial"/>
                <w:sz w:val="18"/>
                <w:szCs w:val="18"/>
                <w:color w:val="auto"/>
              </w:rPr>
              <w:t>Laos</w:t>
            </w:r>
          </w:p>
        </w:tc>
        <w:tc>
          <w:tcPr>
            <w:tcW w:w="2940" w:type="dxa"/>
            <w:vAlign w:val="bottom"/>
            <w:shd w:val="clear" w:color="auto" w:fill="DBDBDB"/>
          </w:tcPr>
          <w:p>
            <w:pPr>
              <w:ind w:left="1200"/>
              <w:spacing w:after="0"/>
              <w:rPr>
                <w:sz w:val="20"/>
                <w:szCs w:val="20"/>
                <w:color w:val="auto"/>
              </w:rPr>
            </w:pPr>
            <w:r>
              <w:rPr>
                <w:rFonts w:ascii="Arial" w:cs="Arial" w:eastAsia="Arial" w:hAnsi="Arial"/>
                <w:sz w:val="18"/>
                <w:szCs w:val="18"/>
                <w:color w:val="auto"/>
              </w:rPr>
              <w:t>Rwanda</w:t>
            </w:r>
          </w:p>
        </w:tc>
        <w:tc>
          <w:tcPr>
            <w:tcW w:w="3860" w:type="dxa"/>
            <w:vAlign w:val="bottom"/>
            <w:shd w:val="clear" w:color="auto" w:fill="DBDBDB"/>
          </w:tcPr>
          <w:p>
            <w:pPr>
              <w:ind w:left="1080"/>
              <w:spacing w:after="0"/>
              <w:rPr>
                <w:sz w:val="20"/>
                <w:szCs w:val="20"/>
                <w:color w:val="auto"/>
              </w:rPr>
            </w:pPr>
            <w:r>
              <w:rPr>
                <w:rFonts w:ascii="Arial" w:cs="Arial" w:eastAsia="Arial" w:hAnsi="Arial"/>
                <w:sz w:val="18"/>
                <w:szCs w:val="18"/>
                <w:color w:val="auto"/>
              </w:rPr>
              <w:t>Zimbabwe</w:t>
            </w:r>
          </w:p>
        </w:tc>
      </w:tr>
      <w:tr>
        <w:trPr>
          <w:trHeight w:val="239"/>
        </w:trPr>
        <w:tc>
          <w:tcPr>
            <w:tcW w:w="2800" w:type="dxa"/>
            <w:vAlign w:val="bottom"/>
          </w:tcPr>
          <w:p>
            <w:pPr>
              <w:ind w:left="20"/>
              <w:spacing w:after="0"/>
              <w:rPr>
                <w:sz w:val="20"/>
                <w:szCs w:val="20"/>
                <w:color w:val="auto"/>
              </w:rPr>
            </w:pPr>
            <w:r>
              <w:rPr>
                <w:rFonts w:ascii="Arial" w:cs="Arial" w:eastAsia="Arial" w:hAnsi="Arial"/>
                <w:sz w:val="18"/>
                <w:szCs w:val="18"/>
                <w:color w:val="auto"/>
              </w:rPr>
              <w:t>Democratic Republic of the Congo</w:t>
            </w:r>
          </w:p>
        </w:tc>
        <w:tc>
          <w:tcPr>
            <w:tcW w:w="16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sectPr>
      <w:pgSz w:w="11900" w:h="16838" w:orient="portrait"/>
      <w:cols w:equalWidth="0" w:num="1">
        <w:col w:w="11240"/>
      </w:cols>
      <w:pgMar w:left="320" w:top="10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6"/>
      <w:numFmt w:val="bullet"/>
      <w:start w:val="1"/>
    </w:lvl>
  </w:abstractNum>
  <w:abstractNum w:abstractNumId="8">
    <w:nsid w:val="216231B"/>
    <w:multiLevelType w:val="hybridMultilevel"/>
    <w:lvl w:ilvl="0">
      <w:lvlJc w:val="left"/>
      <w:lvlText w:val="7"/>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2026-05-20T15:13:44Z</dcterms:created>
  <dcterms:modified xsi:type="dcterms:W3CDTF">2026-05-20T15:13:44Z</dcterms:modified>
</cp:coreProperties>
</file>