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FORM 10-K</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540" w:hanging="532"/>
        <w:spacing w:after="0" w:line="91" w:lineRule="auto"/>
        <w:tabs>
          <w:tab w:leader="none" w:pos="540" w:val="left"/>
        </w:tabs>
        <w:numPr>
          <w:ilvl w:val="0"/>
          <w:numId w:val="1"/>
        </w:numPr>
        <w:rPr>
          <w:rFonts w:ascii="Courier New" w:cs="Courier New" w:eastAsia="Courier New" w:hAnsi="Courier New"/>
          <w:sz w:val="1"/>
          <w:szCs w:val="1"/>
          <w:color w:val="auto"/>
        </w:rPr>
      </w:pPr>
      <w:r>
        <w:rPr>
          <w:rFonts w:ascii="Courier New" w:cs="Courier New" w:eastAsia="Courier New" w:hAnsi="Courier New"/>
          <w:sz w:val="1"/>
          <w:szCs w:val="1"/>
          <w:color w:val="auto"/>
        </w:rPr>
        <w:t>ANNUAL REPORT PURSUANT TO SECTION 13 OR 15(d) OF THE SECURITIES EXCHANGE</w:t>
      </w:r>
    </w:p>
    <w:p>
      <w:pPr>
        <w:spacing w:after="0" w:line="197" w:lineRule="exact"/>
        <w:rPr>
          <w:sz w:val="24"/>
          <w:szCs w:val="24"/>
          <w:color w:val="auto"/>
        </w:rPr>
      </w:pP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ACT OF 1934</w:t>
      </w:r>
      <w:r>
        <w:rPr>
          <w:sz w:val="20"/>
          <w:szCs w:val="20"/>
          <w:color w:val="auto"/>
        </w:rPr>
        <w:tab/>
      </w:r>
      <w:r>
        <w:rPr>
          <w:rFonts w:ascii="Courier New" w:cs="Courier New" w:eastAsia="Courier New" w:hAnsi="Courier New"/>
          <w:sz w:val="16"/>
          <w:szCs w:val="16"/>
          <w:color w:val="auto"/>
        </w:rPr>
        <w:t>[FEE REQUIRED]</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fiscal year ended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September 1, 1994</w:t>
      </w:r>
    </w:p>
    <w:p>
      <w:pPr>
        <w:spacing w:after="0" w:line="4"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640" w:space="0"/>
            <w:col w:w="7579"/>
          </w:cols>
          <w:pgMar w:left="240" w:top="244" w:right="1440" w:bottom="0" w:gutter="0" w:footer="0" w:header="0"/>
          <w:type w:val="continuous"/>
        </w:sectPr>
      </w:pPr>
    </w:p>
    <w:p>
      <w:pPr>
        <w:spacing w:after="0" w:line="24"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2619" w:hanging="210"/>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 [NO FEE REQUIRED]</w:t>
      </w:r>
    </w:p>
    <w:p>
      <w:pPr>
        <w:spacing w:after="0" w:line="200" w:lineRule="exact"/>
        <w:rPr>
          <w:sz w:val="24"/>
          <w:szCs w:val="24"/>
          <w:color w:val="auto"/>
        </w:rPr>
      </w:pPr>
    </w:p>
    <w:p>
      <w:pPr>
        <w:sectPr>
          <w:pgSz w:w="11900" w:h="16838" w:orient="portrait"/>
          <w:cols w:equalWidth="0" w:num="2">
            <w:col w:w="320" w:space="420"/>
            <w:col w:w="9479"/>
          </w:cols>
          <w:pgMar w:left="240" w:top="244" w:right="1440"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to</w:t>
      </w:r>
    </w:p>
    <w:p>
      <w:pPr>
        <w:spacing w:after="0" w:line="1" w:lineRule="exact"/>
        <w:rPr>
          <w:sz w:val="24"/>
          <w:szCs w:val="24"/>
          <w:color w:val="auto"/>
        </w:rPr>
      </w:pPr>
    </w:p>
    <w:p>
      <w:pPr>
        <w:sectPr>
          <w:pgSz w:w="11900" w:h="16838" w:orient="portrait"/>
          <w:cols w:equalWidth="0" w:num="2">
            <w:col w:w="4440" w:space="720"/>
            <w:col w:w="5059"/>
          </w:cols>
          <w:pgMar w:left="240" w:top="244" w:right="1440" w:bottom="0" w:gutter="0" w:footer="0" w:header="0"/>
          <w:type w:val="continuous"/>
        </w:sect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480"/>
        <w:spacing w:after="0"/>
        <w:rPr>
          <w:sz w:val="20"/>
          <w:szCs w:val="20"/>
          <w:color w:val="auto"/>
        </w:rPr>
      </w:pPr>
      <w:r>
        <w:rPr>
          <w:rFonts w:ascii="Courier New" w:cs="Courier New" w:eastAsia="Courier New" w:hAnsi="Courier New"/>
          <w:sz w:val="18"/>
          <w:szCs w:val="18"/>
          <w:color w:val="auto"/>
        </w:rPr>
        <w:t>1-10658</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320" w:space="0"/>
            <w:col w:w="7899"/>
          </w:cols>
          <w:pgMar w:left="240" w:top="244" w:right="1440" w:bottom="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ind w:left="1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660" w:space="720"/>
            <w:col w:w="4839"/>
          </w:cols>
          <w:pgMar w:left="240" w:top="244" w:right="1440" w:bottom="0" w:gutter="0" w:footer="0" w:header="0"/>
          <w:type w:val="continuous"/>
        </w:sectPr>
      </w:pPr>
    </w:p>
    <w:p>
      <w:pPr>
        <w:spacing w:after="0" w:line="7" w:lineRule="exact"/>
        <w:rPr>
          <w:sz w:val="24"/>
          <w:szCs w:val="24"/>
          <w:color w:val="auto"/>
        </w:rPr>
      </w:pPr>
    </w:p>
    <w:p>
      <w:pPr>
        <w:ind w:right="440"/>
        <w:spacing w:after="0" w:line="236" w:lineRule="auto"/>
        <w:rPr>
          <w:sz w:val="20"/>
          <w:szCs w:val="20"/>
          <w:color w:val="auto"/>
        </w:rPr>
      </w:pPr>
      <w:r>
        <w:rPr>
          <w:rFonts w:ascii="Courier New" w:cs="Courier New" w:eastAsia="Courier New" w:hAnsi="Courier New"/>
          <w:sz w:val="18"/>
          <w:szCs w:val="18"/>
          <w:color w:val="auto"/>
        </w:rPr>
        <w:t>2805 East Columbia Road, Boise, Idaho - - ----------------------------------------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83706-9698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080" w:space="720"/>
            <w:col w:w="441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ind w:left="640"/>
        <w:spacing w:after="0"/>
        <w:rPr>
          <w:sz w:val="20"/>
          <w:szCs w:val="20"/>
          <w:color w:val="auto"/>
        </w:rPr>
      </w:pPr>
      <w:r>
        <w:rPr>
          <w:rFonts w:ascii="Courier New" w:cs="Courier New" w:eastAsia="Courier New" w:hAnsi="Courier New"/>
          <w:sz w:val="18"/>
          <w:szCs w:val="18"/>
          <w:color w:val="auto"/>
        </w:rPr>
        <w:t>(208) 368-4000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ind w:left="740"/>
        <w:spacing w:after="0"/>
        <w:tabs>
          <w:tab w:leader="none" w:pos="410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 registered</w:t>
      </w:r>
    </w:p>
    <w:p>
      <w:pPr>
        <w:spacing w:after="0"/>
        <w:tabs>
          <w:tab w:leader="none" w:pos="4940" w:val="left"/>
        </w:tabs>
        <w:rPr>
          <w:sz w:val="20"/>
          <w:szCs w:val="20"/>
          <w:color w:val="auto"/>
        </w:rPr>
      </w:pPr>
      <w:r>
        <w:rPr>
          <w:rFonts w:ascii="Courier New" w:cs="Courier New" w:eastAsia="Courier New" w:hAnsi="Courier New"/>
          <w:sz w:val="18"/>
          <w:szCs w:val="18"/>
          <w:color w:val="auto"/>
        </w:rPr>
        <w:t>Common Stock, par value $.10 per share</w:t>
      </w:r>
      <w:r>
        <w:rPr>
          <w:sz w:val="20"/>
          <w:szCs w:val="20"/>
          <w:color w:val="auto"/>
        </w:rPr>
        <w:tab/>
      </w:r>
      <w:r>
        <w:rPr>
          <w:rFonts w:ascii="Courier New" w:cs="Courier New" w:eastAsia="Courier New" w:hAnsi="Courier New"/>
          <w:sz w:val="16"/>
          <w:szCs w:val="16"/>
          <w:color w:val="auto"/>
        </w:rPr>
        <w:t>New York Stock Exchange</w:t>
      </w:r>
    </w:p>
    <w:p>
      <w:pPr>
        <w:sectPr>
          <w:pgSz w:w="11900" w:h="16838" w:orient="portrait"/>
          <w:cols w:equalWidth="0" w:num="1">
            <w:col w:w="10219"/>
          </w:cols>
          <w:pgMar w:left="240" w:top="244"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ind w:left="3580"/>
        <w:spacing w:after="0" w:line="238" w:lineRule="auto"/>
        <w:rPr>
          <w:sz w:val="20"/>
          <w:szCs w:val="20"/>
          <w:color w:val="auto"/>
        </w:rPr>
      </w:pPr>
      <w:r>
        <w:rPr>
          <w:rFonts w:ascii="Courier New" w:cs="Courier New" w:eastAsia="Courier New" w:hAnsi="Courier New"/>
          <w:sz w:val="18"/>
          <w:szCs w:val="18"/>
          <w:color w:val="auto"/>
        </w:rPr>
        <w:t>None</w:t>
      </w:r>
    </w:p>
    <w:p>
      <w:pPr>
        <w:ind w:left="2640"/>
        <w:spacing w:after="0"/>
        <w:rPr>
          <w:sz w:val="20"/>
          <w:szCs w:val="20"/>
          <w:color w:val="auto"/>
        </w:rPr>
      </w:pPr>
      <w:r>
        <w:rPr>
          <w:rFonts w:ascii="Courier New" w:cs="Courier New" w:eastAsia="Courier New" w:hAnsi="Courier New"/>
          <w:sz w:val="18"/>
          <w:szCs w:val="18"/>
          <w:color w:val="auto"/>
        </w:rPr>
        <w:t>------------------------</w:t>
      </w:r>
    </w:p>
    <w:p>
      <w:pPr>
        <w:ind w:left="3160"/>
        <w:spacing w:after="0" w:line="237" w:lineRule="auto"/>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ind w:right="2619" w:firstLine="421"/>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w:t>
      </w:r>
    </w:p>
    <w:p>
      <w:pPr>
        <w:sectPr>
          <w:pgSz w:w="11900" w:h="16838" w:orient="portrait"/>
          <w:cols w:equalWidth="0" w:num="1">
            <w:col w:w="10219"/>
          </w:cols>
          <w:pgMar w:left="240" w:top="244"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has been subject to such filing requirements for the past 90 days. Yes X</w:t>
      </w:r>
    </w:p>
    <w:p>
      <w:pPr>
        <w:spacing w:after="0" w:line="20" w:lineRule="exact"/>
        <w:rPr>
          <w:sz w:val="24"/>
          <w:szCs w:val="24"/>
          <w:color w:val="auto"/>
        </w:rPr>
      </w:pPr>
      <w:r>
        <w:rPr>
          <w:sz w:val="24"/>
          <w:szCs w:val="24"/>
          <w:color w:val="auto"/>
        </w:rPr>
        <w:br w:type="column"/>
      </w:r>
    </w:p>
    <w:p>
      <w:pPr>
        <w:spacing w:after="0" w:line="234" w:lineRule="auto"/>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2">
            <w:col w:w="7600" w:space="200"/>
            <w:col w:w="2419"/>
          </w:cols>
          <w:pgMar w:left="240" w:top="244" w:right="1440" w:bottom="0" w:gutter="0" w:footer="0" w:header="0"/>
          <w:type w:val="continuous"/>
        </w:sect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7700" w:space="320"/>
            <w:col w:w="2199"/>
          </w:cols>
          <w:pgMar w:left="240" w:top="244" w:right="1440" w:bottom="0" w:gutter="0" w:footer="0" w:header="0"/>
          <w:type w:val="continuous"/>
        </w:sectPr>
      </w:pPr>
    </w:p>
    <w:p>
      <w:pPr>
        <w:spacing w:after="0" w:line="24" w:lineRule="exact"/>
        <w:rPr>
          <w:sz w:val="24"/>
          <w:szCs w:val="24"/>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ectPr>
          <w:pgSz w:w="11900" w:h="16838" w:orient="portrait"/>
          <w:cols w:equalWidth="0" w:num="1">
            <w:col w:w="10219"/>
          </w:cols>
          <w:pgMar w:left="240" w:top="244" w:right="1440" w:bottom="0" w:gutter="0" w:footer="0" w:header="0"/>
          <w:type w:val="continuous"/>
        </w:sectPr>
      </w:pPr>
    </w:p>
    <w:p>
      <w:pPr>
        <w:spacing w:after="0" w:line="209" w:lineRule="exact"/>
        <w:rPr>
          <w:sz w:val="24"/>
          <w:szCs w:val="24"/>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based upon the closing price of such stock on September 1, 1994, as reported by the New York Stock Exchange, was approximately $3.1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212"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September 1, 1994, was 101,896,582.</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4" w:lineRule="exact"/>
        <w:rPr>
          <w:sz w:val="24"/>
          <w:szCs w:val="24"/>
          <w:color w:val="auto"/>
        </w:rPr>
      </w:pPr>
    </w:p>
    <w:p>
      <w:pPr>
        <w:ind w:right="2619" w:firstLine="421"/>
        <w:spacing w:after="0" w:line="279" w:lineRule="auto"/>
        <w:rPr>
          <w:sz w:val="20"/>
          <w:szCs w:val="20"/>
          <w:color w:val="auto"/>
        </w:rPr>
      </w:pPr>
      <w:r>
        <w:rPr>
          <w:rFonts w:ascii="Courier New" w:cs="Courier New" w:eastAsia="Courier New" w:hAnsi="Courier New"/>
          <w:sz w:val="16"/>
          <w:szCs w:val="16"/>
          <w:color w:val="auto"/>
        </w:rPr>
        <w:t>Portions of the Proxy Statement for registrant's 1994 Annual Meeting of Shareholders to be held on January 30, 1995, are incorporated by reference to Part III of this Annual Report on Form 10-K.</w:t>
      </w:r>
    </w:p>
    <w:p>
      <w:pPr>
        <w:spacing w:after="0" w:line="200" w:lineRule="exact"/>
        <w:rPr>
          <w:sz w:val="24"/>
          <w:szCs w:val="24"/>
          <w:color w:val="auto"/>
        </w:rPr>
      </w:pPr>
    </w:p>
    <w:p>
      <w:pPr>
        <w:spacing w:after="0" w:line="35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PART I</w:t>
      </w:r>
    </w:p>
    <w:p>
      <w:pPr>
        <w:spacing w:after="0" w:line="238" w:lineRule="auto"/>
        <w:rPr>
          <w:sz w:val="20"/>
          <w:szCs w:val="20"/>
          <w:color w:val="auto"/>
        </w:rPr>
      </w:pPr>
      <w:r>
        <w:rPr>
          <w:rFonts w:ascii="Courier New" w:cs="Courier New" w:eastAsia="Courier New" w:hAnsi="Courier New"/>
          <w:sz w:val="18"/>
          <w:szCs w:val="18"/>
          <w:color w:val="auto"/>
        </w:rPr>
        <w:t>Item 1. Business</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Micron Technology, Inc., is a Delaware holding company with the following principal operating subsidiaries: Micron Semiconductor, Inc., Micron Custom Manufacturing Services, Inc., and Micron Computer, Inc. These subsidiaries' operations principally serve the computer, telecommunications, and office automation industries. As used in this Annual report on Form 10-K, the term "company" means Micron Technology, Inc., and its subsidiaries.</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Micron Semiconductor, Inc. ("MSI"), the primary operating subsidiary of Micron Technology, Inc., designs, manufactures, and markets semiconductor memory components primarily for use in various computer applications. MSI's products include Dynamic Random Access Memories ("DRAM"s), Static RAMs ("SRAM"s), specialty DRAMs, and specialty SRAMs. Micron Custom Manufacturing Services, Inc., specializes in the custom manufacture of complex circuit board assemblies and the recovery and</w:t>
      </w:r>
    </w:p>
    <w:p>
      <w:pPr>
        <w:spacing w:after="0" w:line="9"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test of nonstandard semiconductor memory components. Micron Computer, Inc., develops, assembles, and markets high-performance, memory-intensive personal computers.</w:t>
      </w:r>
    </w:p>
    <w:p>
      <w:pPr>
        <w:spacing w:after="0" w:line="209"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Additional subsidiaries include: Micron Communications, Inc., which is engaged in research and development of technologies related to radio frequency identification products; Micron Construction, Inc., which provides construction management services for facility owners and developers; Micron Display Technology, Inc., which is engaged in research and development of technologies related to flat panel field emission displays; Micron Investments, Inc., which makes investments in publicly held securities; Micron Quantum Devices, Inc., which is engaged in research and development of nonvolatile semiconductor memory devices; and Micron Systems Integration, Inc., which designs, manufactures, and markets semiconductor testing equipment, including AMBYX(registered) Intelligent Test and Burn-in systems, and high throughput device loading and unloading equipment.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2739" w:firstLine="527"/>
        <w:spacing w:after="0" w:line="275" w:lineRule="auto"/>
        <w:rPr>
          <w:sz w:val="20"/>
          <w:szCs w:val="20"/>
          <w:color w:val="auto"/>
        </w:rPr>
      </w:pPr>
      <w:r>
        <w:rPr>
          <w:rFonts w:ascii="Courier New" w:cs="Courier New" w:eastAsia="Courier New" w:hAnsi="Courier New"/>
          <w:sz w:val="16"/>
          <w:szCs w:val="16"/>
          <w:color w:val="auto"/>
        </w:rPr>
        <w:t>The company's product strategy is focused primarily on the design, development, and manufacture of semiconductor memory products for standard and custom memory applications, with various packaging and configuration options, architectures, and performance characteristics.</w:t>
      </w:r>
    </w:p>
    <w:p>
      <w:pPr>
        <w:spacing w:after="0" w:line="182" w:lineRule="exact"/>
        <w:rPr>
          <w:sz w:val="20"/>
          <w:szCs w:val="20"/>
          <w:color w:val="auto"/>
        </w:rPr>
      </w:pPr>
    </w:p>
    <w:p>
      <w:pPr>
        <w:ind w:right="2199" w:firstLine="535"/>
        <w:spacing w:after="0" w:line="236"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Dynamic Random Access Memory. DRAMs are semiconductor devices which store digital information in the form of bits and provide high speed storage and retrieval of data. Manufacture of the company's DRAM</w:t>
      </w:r>
    </w:p>
    <w:p>
      <w:pPr>
        <w:spacing w:after="0" w:line="6" w:lineRule="exact"/>
        <w:rPr>
          <w:rFonts w:ascii="Courier New" w:cs="Courier New" w:eastAsia="Courier New" w:hAnsi="Courier New"/>
          <w:sz w:val="18"/>
          <w:szCs w:val="18"/>
          <w:color w:val="auto"/>
        </w:rPr>
      </w:pPr>
    </w:p>
    <w:p>
      <w:pPr>
        <w:ind w:right="26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products utilizes proprietary advanced complimentary metal-oxide-silicon ("CMOS") process technologies. DRAMs are the highest density, lowest cost per bit, random access memory component available, and are the most widely used semiconductor memory components in most computer systems. Demand for the company's products has recently benefited primarily from strong market conditions for personal computers and increasingly memory-intensive software applications. The company's primary product during 1994 was the 4 Meg DRAM, which sells in multiple configurations, speeds,</w:t>
      </w:r>
    </w:p>
    <w:p>
      <w:pPr>
        <w:spacing w:after="0" w:line="1" w:lineRule="exact"/>
        <w:rPr>
          <w:rFonts w:ascii="Courier New" w:cs="Courier New" w:eastAsia="Courier New" w:hAnsi="Courier New"/>
          <w:sz w:val="18"/>
          <w:szCs w:val="18"/>
          <w:color w:val="auto"/>
        </w:rPr>
      </w:pPr>
    </w:p>
    <w:p>
      <w:pPr>
        <w:ind w:right="1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package types. The company is currently pursuing internal qualification of its 16 Meg DRAM in a 300 mil package, which is expected to be the preferred market package, and is beginning to transfer the 64 Meg DRAM from the pilot line to the manufacturing area. The 256 Meg DRAM is in the early stages</w:t>
      </w:r>
    </w:p>
    <w:p>
      <w:pPr>
        <w:ind w:right="273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development (see "Research and Development"). Efficient DRAM production requires utilization of advanced semiconductor manufacturing techniques. The company is engaged in an ongoing effort to enhance its production processes to reduce the die size of existing products and increase capacity utilization. Smaller die sizes and higher production yields reduce manufacturing costs. Development of Video RAMs beyond the company's current 2 Meg generation has been terminated, as the company pursues development of more cost-effective memory products for graphics applications. DRAM sales, including specialty DRAMs, represented approximately 73%, 72%, and 79% of total company net sales in fiscal 1994, 1993, and 1992, respectively.</w:t>
      </w:r>
    </w:p>
    <w:p>
      <w:pPr>
        <w:spacing w:after="0" w:line="391" w:lineRule="exact"/>
        <w:rPr>
          <w:rFonts w:ascii="Courier New" w:cs="Courier New" w:eastAsia="Courier New" w:hAnsi="Courier New"/>
          <w:sz w:val="18"/>
          <w:szCs w:val="18"/>
          <w:color w:val="auto"/>
        </w:rPr>
      </w:pPr>
    </w:p>
    <w:p>
      <w:pPr>
        <w:ind w:right="2099" w:firstLine="535"/>
        <w:spacing w:after="0" w:line="268" w:lineRule="auto"/>
        <w:tabs>
          <w:tab w:leader="none" w:pos="94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Static Random Access Memory. SRAMs perform memory functions much the same as DRAMs; however, unlike DRAMs, SRAM memory cells are not required</w:t>
      </w:r>
    </w:p>
    <w:p>
      <w:pPr>
        <w:ind w:right="273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be electronically refreshed, which generally increases the speed at which they operate and simplifies system designs. The company's SRAM family focuses on the high-performance sector of the SRAM market, which requires very high speed access to memory. SRAMs include more complex electronic circuitry than DRAMs, resulting in higher per bit production costs. The market for high-performance SRAMs has grown with the number of applications that require a "buffer" or "cache" of high speed memory between the central processing unit and the main DRAM-based memory. The company manufactures its current SRAM products utilizing CMOS process</w:t>
      </w:r>
    </w:p>
    <w:p>
      <w:pPr>
        <w:sectPr>
          <w:pgSz w:w="11900" w:h="16838" w:orient="portrait"/>
          <w:cols w:equalWidth="0" w:num="1">
            <w:col w:w="10219"/>
          </w:cols>
          <w:pgMar w:left="240" w:top="339" w:right="1440" w:bottom="0" w:gutter="0" w:footer="0" w:header="0"/>
        </w:sectPr>
      </w:pPr>
    </w:p>
    <w:bookmarkStart w:id="2" w:name="page3"/>
    <w:bookmarkEnd w:id="2"/>
    <w:p>
      <w:pPr>
        <w:ind w:right="2739"/>
        <w:spacing w:after="0" w:line="237" w:lineRule="auto"/>
        <w:rPr>
          <w:sz w:val="20"/>
          <w:szCs w:val="20"/>
          <w:color w:val="auto"/>
        </w:rPr>
      </w:pPr>
      <w:r>
        <w:rPr>
          <w:rFonts w:ascii="Courier New" w:cs="Courier New" w:eastAsia="Courier New" w:hAnsi="Courier New"/>
          <w:sz w:val="18"/>
          <w:szCs w:val="18"/>
          <w:color w:val="auto"/>
        </w:rPr>
        <w:t>technologies. The company currently sells 64K, 256K, and 1 Meg SRAMs in a variety of configurations, speeds, and package types, and has a 4 Meg SRAM under development. SRAM sales represented approximately 8%, 14%, and 18% of total company net sales in fiscal 1994, 1993, and 1992, respectively.</w:t>
      </w:r>
    </w:p>
    <w:p>
      <w:pPr>
        <w:jc w:val="right"/>
        <w:ind w:right="2199"/>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42" w:right="1440" w:bottom="1440" w:gutter="0" w:footer="0" w:header="0"/>
        </w:sectPr>
      </w:pPr>
    </w:p>
    <w:bookmarkStart w:id="3" w:name="page4"/>
    <w:bookmarkEnd w:id="3"/>
    <w:p>
      <w:pPr>
        <w:ind w:right="273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Board-level products. The company manufactures and markets a variety of memory-intensive module and complex printed circuit board products, all of which utilize semiconductor memory components. The company's custom manufacturing efforts are focused on providing a full range of turnkey manufacturing services, including design layout and product engineering, materials procurement, inventory management, quality assurance, and just-in-time delivery. The company's board-level products are assembled utilizing surface mount technology ("SMT") that can accommodate a high density of memory components. Revenue from sales of board-level products reached approximately 7% of consolidated net sales in fiscal 1994.</w:t>
      </w:r>
    </w:p>
    <w:p>
      <w:pPr>
        <w:spacing w:after="0" w:line="215" w:lineRule="exact"/>
        <w:rPr>
          <w:rFonts w:ascii="Courier New" w:cs="Courier New" w:eastAsia="Courier New" w:hAnsi="Courier New"/>
          <w:sz w:val="18"/>
          <w:szCs w:val="18"/>
          <w:color w:val="auto"/>
        </w:rPr>
      </w:pPr>
    </w:p>
    <w:p>
      <w:pPr>
        <w:ind w:right="261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Computers. The company established a personal computer manufacturing operation in fiscal 1992 focusing on high-performance, memory-intensive personal computer systems. Revenue from sales of personal computers constitute an increasing percentage of total net sales and comprised approximately 8% of consolidated net sales in fiscal 1994.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and Customers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circumstances historically have made the semiconductor industry highly cyclical, particularly in the market for DRAMs, which are the company's primary products.</w:t>
      </w:r>
    </w:p>
    <w:p>
      <w:pPr>
        <w:spacing w:after="0" w:line="210"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products are essentially interchangeable with, and have similar functionality to, products offered by the company's competition. Customers for the company's semiconductor memory products include most major domestic computer manufacturers and other customers in the computer, telecommunications, and office automation industries. The company markets products worldwide through independent sales representatives, distributors, and direct sales personnel.</w:t>
      </w:r>
    </w:p>
    <w:p>
      <w:pPr>
        <w:spacing w:after="0" w:line="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Sales representatives serve on a commission basis and obtain orders subject to final acceptance by the company. Shipments against accepted orders are made directly to the customer by the company. Distributors carry the company's products in inventory and typically sell a variety of products, including competitors' products. Under the company's distribution agreements, distributors may be entitled to price rebates on inventory if the company lowers the price of its products, and to rights to return certain company products.</w:t>
      </w:r>
    </w:p>
    <w:p>
      <w:pPr>
        <w:spacing w:after="0" w:line="212" w:lineRule="exact"/>
        <w:rPr>
          <w:sz w:val="20"/>
          <w:szCs w:val="20"/>
          <w:color w:val="auto"/>
        </w:rPr>
      </w:pPr>
    </w:p>
    <w:p>
      <w:pPr>
        <w:ind w:right="2739" w:firstLine="527"/>
        <w:spacing w:after="0" w:line="271" w:lineRule="auto"/>
        <w:rPr>
          <w:sz w:val="20"/>
          <w:szCs w:val="20"/>
          <w:color w:val="auto"/>
        </w:rPr>
      </w:pPr>
      <w:r>
        <w:rPr>
          <w:rFonts w:ascii="Courier New" w:cs="Courier New" w:eastAsia="Courier New" w:hAnsi="Courier New"/>
          <w:sz w:val="16"/>
          <w:szCs w:val="16"/>
          <w:color w:val="auto"/>
        </w:rPr>
        <w:t>Many of the company's customers require a thorough review or "qualification" of new products and processes. In some instances, qualification may take six months or longer. As the company diversifies its product lines and reduces the die sizes of existing products, acceptance of these products and processes may be inhibited by this qualification procedure.There can be no assurance that new products or processes will be qualified for purchase by existing customers.</w:t>
      </w:r>
    </w:p>
    <w:p>
      <w:pPr>
        <w:spacing w:after="0" w:line="1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sells products in both domestic and international markets. Sales to Compaq Computer Corporation approximated 11% of net sales in fiscal 1994 and 10% in fiscal 1993. No customer's sales individually comprised 10% or more of net sales in fiscal 1992. Export sales totaled approximately $471 million for fiscal 1994, including approximately $248 million to the Far East and $159 million to Europe. Export sales approximated $251 million and $162 million for fiscal years 1993 and 1992, respectively. Export sales are primarily in United States currency. The company incurs import duties on sales into Europe of up to 14% of the product value. The company's subsidiaries have sales offices in the United Kingdom, Germany, Singapore, and Taiwan.</w:t>
      </w:r>
    </w:p>
    <w:p>
      <w:pPr>
        <w:spacing w:after="0" w:line="216"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company markets its custom manufacturing services through a direct sales force that interfaces with independent sales representatives and,</w:t>
      </w:r>
    </w:p>
    <w:p>
      <w:pPr>
        <w:ind w:right="2739"/>
        <w:spacing w:after="0" w:line="236" w:lineRule="auto"/>
        <w:rPr>
          <w:sz w:val="20"/>
          <w:szCs w:val="20"/>
          <w:color w:val="auto"/>
        </w:rPr>
      </w:pPr>
      <w:r>
        <w:rPr>
          <w:rFonts w:ascii="Courier New" w:cs="Courier New" w:eastAsia="Courier New" w:hAnsi="Courier New"/>
          <w:sz w:val="18"/>
          <w:szCs w:val="18"/>
          <w:color w:val="auto"/>
        </w:rPr>
        <w:t>to a lesser extent, original equipment manufacturers. Board level products are also marketed directly to existing DRAM and SRAM component customers.</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company's personal computers are marketed primarily through direct advertising. Sales have historically been made through mail and telephone orders and through a single retail outlet. Increasingly, sales are made through industrial distributors and value-added resellers.</w:t>
      </w:r>
    </w:p>
    <w:p>
      <w:pPr>
        <w:spacing w:after="0" w:line="207" w:lineRule="exact"/>
        <w:rPr>
          <w:sz w:val="20"/>
          <w:szCs w:val="20"/>
          <w:color w:val="auto"/>
        </w:rPr>
      </w:pPr>
    </w:p>
    <w:p>
      <w:pPr>
        <w:ind w:right="2619" w:firstLine="527"/>
        <w:spacing w:after="0" w:line="275" w:lineRule="auto"/>
        <w:rPr>
          <w:sz w:val="20"/>
          <w:szCs w:val="20"/>
          <w:color w:val="auto"/>
        </w:rPr>
      </w:pPr>
      <w:r>
        <w:rPr>
          <w:rFonts w:ascii="Courier New" w:cs="Courier New" w:eastAsia="Courier New" w:hAnsi="Courier New"/>
          <w:sz w:val="16"/>
          <w:szCs w:val="16"/>
          <w:color w:val="auto"/>
        </w:rPr>
        <w:t>Consistent with industry practice, the company typically provides a limited warranty that its products are in compliance with specifications existing at the time of delivery. All other warranties are typically disclaimed. Liability for a stated warranty period is usually limited to</w:t>
      </w:r>
    </w:p>
    <w:p>
      <w:pPr>
        <w:sectPr>
          <w:pgSz w:w="11900" w:h="16838" w:orient="portrait"/>
          <w:cols w:equalWidth="0" w:num="1">
            <w:col w:w="10219"/>
          </w:cols>
          <w:pgMar w:left="240" w:top="52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replacement of defective items or return of amounts paid.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rate of booking new orders varies from month to month and depends upon the scheduling practices of individual customers. Cyclical industry conditions make it difficult for many customers to enter into long-term, fixed-price contracts. Orders for the company's primary products are typically entered into with acknowledgment that the terms may be adjusted to reflect market conditions at the delivery date. For the foregoing reasons, and because of the possibility of</w:t>
      </w:r>
    </w:p>
    <w:p>
      <w:pPr>
        <w:spacing w:after="0" w:line="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5" w:name="page6"/>
    <w:bookmarkEnd w:id="5"/>
    <w:p>
      <w:pPr>
        <w:ind w:right="3039"/>
        <w:spacing w:after="0" w:line="237" w:lineRule="auto"/>
        <w:rPr>
          <w:sz w:val="20"/>
          <w:szCs w:val="20"/>
          <w:color w:val="auto"/>
        </w:rPr>
      </w:pPr>
      <w:r>
        <w:rPr>
          <w:rFonts w:ascii="Courier New" w:cs="Courier New" w:eastAsia="Courier New" w:hAnsi="Courier New"/>
          <w:sz w:val="18"/>
          <w:szCs w:val="18"/>
          <w:color w:val="auto"/>
        </w:rPr>
        <w:t>customer changes in delivery schedules or cancellation of orders without significant penalty, the company does not believe that its backlog, as of any particular date, is firm or that it is a reliable indicator of actual sales for any succeeding period.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Rapid technological change and intense price competition place a premium on new product and process development efforts. The company's continued ability to compete in the memory market will depend in part on its</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ability to continue to develop technologically advanced products and processes, of which there can be no assurance. Research and development is being performed in strategic areas related to the company's historical semiconductor expertise. See "Item 7. Management's Discussion and Analysis of Financial Condition and Results of Operations - Certain Factors" and "Item 8. Financial Statements and Supplementary Data - Notes to Consolidated Financial Statements - Contingencies".</w:t>
      </w:r>
    </w:p>
    <w:p>
      <w:pPr>
        <w:spacing w:after="0" w:line="211"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Internal qualification is under way on the 16 Meg DRAM in a 300 mil package, which is expected to be the preferred market package. Internal qualification typically occurs at the end of the development cycle before initial production quantities are released for qualification by major customers. The company's research and development efforts on the 64 Meg DRAM have progressed and the company is beginning to transfer a prototype part from the pilot line to the manufacturing area for further product development and evaluation. Additional research and development efforts are focused primarily on design and development of the 256 Meg DRAM and 4 Meg SRAM. Manufacturing efficiencies from new product and process development are incorporated into the manufacture of existing products where cost reductions can be realized.</w:t>
      </w:r>
    </w:p>
    <w:p>
      <w:pPr>
        <w:spacing w:after="0" w:line="391"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has entered into various research and development cost-sharing contracts with the Advanced Research Projects Agency ("ARPA") aggregating approximately $21 million to pursue multi-year development of an advanced 16 Meg SRAM process, a flat panel field emission display, and alternative semiconductor materials. The company is also researching and developing technologies related to radio frequency identification products and nonvolatile memory devices. Research and development expenditures were $83 million, $57 million, and $48 million in 1994, 1993, and 1992, respectively.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Licenses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As of September 1, 1994, the company owned 557 United States patents relating to the use of its products and processes. In addition, the company has numerous United States and foreign patent applications pending. There can be no assurance that patents will ever be issued for such applications or that any issued patents will be determined to be valid. The company intends to continue to seek patent protection on any of its significant patentable technology.</w:t>
      </w:r>
    </w:p>
    <w:p>
      <w:pPr>
        <w:spacing w:after="0" w:line="211"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company has entered into several cross-license agreements with third parties. The agreements require one-time and/or periodic royalty payments and expire at various times. A significant portion of the one-time payments were capitalized and are being amortized over the shorter of the estimated useful life of the technology, the patent term, or the term of the agreement. Royalty and other product and process technology expenses were $128 million, $78 million, and $45 million in fiscal 1994, 1993, and 1992, respectively. It may be necessary or advantageous in the future for the company to obtain additional patent licenses or to renew existing license agreements, several of which expire in the next fiscal year. The company is unable to predict whether these license agreements can be obtained or renewed on terms acceptable to the company.</w:t>
      </w:r>
    </w:p>
    <w:p>
      <w:pPr>
        <w:spacing w:after="0" w:line="18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or process technology rights held by others. An adverse decision on infringement of patents may have a material adverse effect on the company's financial position or results of operations, and may require material changes in production processes or products. For additional discussion of product and process technology issues, see "Item 8. Financial Statements and Supplementary Data - Notes to Consolidated Financial Statements - Contingencies".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jc w:val="both"/>
        <w:ind w:right="2839" w:firstLine="527"/>
        <w:spacing w:after="0" w:line="279" w:lineRule="auto"/>
        <w:rPr>
          <w:sz w:val="20"/>
          <w:szCs w:val="20"/>
          <w:color w:val="auto"/>
        </w:rPr>
      </w:pPr>
      <w:r>
        <w:rPr>
          <w:rFonts w:ascii="Courier New" w:cs="Courier New" w:eastAsia="Courier New" w:hAnsi="Courier New"/>
          <w:sz w:val="16"/>
          <w:szCs w:val="16"/>
          <w:color w:val="auto"/>
        </w:rPr>
        <w:t>The company's semiconductor memory operations experience intense competition from a number of substantially larger foreign and domestic companies, including Fujitsu, Ltd., Goldstar Electron, Co., Ltd.,</w:t>
      </w:r>
    </w:p>
    <w:p>
      <w:pPr>
        <w:sectPr>
          <w:pgSz w:w="11900" w:h="16838" w:orient="portrait"/>
          <w:cols w:equalWidth="0" w:num="1">
            <w:col w:w="10219"/>
          </w:cols>
          <w:pgMar w:left="240" w:top="520" w:right="1440" w:bottom="0" w:gutter="0" w:footer="0" w:header="0"/>
        </w:sectPr>
      </w:pPr>
    </w:p>
    <w:bookmarkStart w:id="6" w:name="page7"/>
    <w:bookmarkEnd w:id="6"/>
    <w:p>
      <w:pPr>
        <w:ind w:right="2619"/>
        <w:spacing w:after="0" w:line="237" w:lineRule="auto"/>
        <w:rPr>
          <w:sz w:val="20"/>
          <w:szCs w:val="20"/>
          <w:color w:val="auto"/>
        </w:rPr>
      </w:pPr>
      <w:r>
        <w:rPr>
          <w:rFonts w:ascii="Courier New" w:cs="Courier New" w:eastAsia="Courier New" w:hAnsi="Courier New"/>
          <w:sz w:val="18"/>
          <w:szCs w:val="18"/>
          <w:color w:val="auto"/>
        </w:rPr>
        <w:t>Hitachi, Ltd., Hyundai Electronics, Co., Ltd., Mitsubishi Electric Corp., Motorola, Inc., NEC Corp., Samsung Semiconductor, Inc., Texas Instruments, Inc., and Toshiba Corporation. The company has captured a very small percentage of the semiconductor memory market and may be at a disadvantage in competing against these larger manufacturers with significantly greater capital resources, larger engineer/employee bases, and more diversified product lines which may provide long-term advantages in research and new product development and better enable them to withstand periodic downturns in the semiconductor market. In addition, the company believes its competition has sufficient resources and manufacturing capacity to influence market pricing.</w:t>
      </w:r>
    </w:p>
    <w:p>
      <w:pPr>
        <w:spacing w:after="0" w:line="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7" w:name="page8"/>
    <w:bookmarkEnd w:id="7"/>
    <w:p>
      <w:pPr>
        <w:ind w:right="2319" w:firstLine="527"/>
        <w:spacing w:after="0" w:line="270" w:lineRule="auto"/>
        <w:rPr>
          <w:sz w:val="20"/>
          <w:szCs w:val="20"/>
          <w:color w:val="auto"/>
        </w:rPr>
      </w:pPr>
      <w:r>
        <w:rPr>
          <w:rFonts w:ascii="Courier New" w:cs="Courier New" w:eastAsia="Courier New" w:hAnsi="Courier New"/>
          <w:sz w:val="16"/>
          <w:szCs w:val="16"/>
          <w:color w:val="auto"/>
        </w:rPr>
        <w:t>As has occurred in the past in reaction to improved market conditions, many of the company's competitors are adding new facilities designed to use 8-inch wafers, which have approximately 84% greater usable surface area than the 6-inch wafer currently used by the company. The company believes many competitors are currently achieving significantly lower yields for their 16 Meg DRAM products than would be expected when such products mature. Yield improvements by these competitors would dramatically increase worldwide semiconductor memory capacity. Excess supply as a result of increased semiconductor manufacturing capacity, adverse market conditions, or currency fluctuations resulting in a strengthening dollar against the yen, could result in downward pricing pressure. A decline in the current favorable product pricing would have a material adverse effect on the company's results of operations.</w:t>
      </w:r>
    </w:p>
    <w:p>
      <w:pPr>
        <w:spacing w:after="0" w:line="389"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company's custom manufacturing operations compete against numerous domestic and offshore contract manufacturers, including such companies</w:t>
      </w:r>
    </w:p>
    <w:p>
      <w:pPr>
        <w:ind w:right="2619"/>
        <w:spacing w:after="0" w:line="237" w:lineRule="auto"/>
        <w:rPr>
          <w:sz w:val="20"/>
          <w:szCs w:val="20"/>
          <w:color w:val="auto"/>
        </w:rPr>
      </w:pPr>
      <w:r>
        <w:rPr>
          <w:rFonts w:ascii="Courier New" w:cs="Courier New" w:eastAsia="Courier New" w:hAnsi="Courier New"/>
          <w:sz w:val="18"/>
          <w:szCs w:val="18"/>
          <w:color w:val="auto"/>
        </w:rPr>
        <w:t>as Avex, Benchmark, DOVAtron, Jabil, SCI, and Solectron. In addition, the company competes against the in-house manufacturing capabilities of its existing customers as well as with certain large computer manufacturers, including DEC and IBM. Many of the company's custom manufacturing competitors have substantially greater manufacturing, financial, and marketing resources dedicated to custom manufacturing. These resources and the competitors' multiple domestic and overseas manufacturing locations in close geographic proximity to the customer base, may place the company's limited custom manufacturing operations at a competitive disadvantage.</w:t>
      </w:r>
    </w:p>
    <w:p>
      <w:pPr>
        <w:spacing w:after="0" w:line="215"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company's personal computer operations experience intense competition from a number of domestic and foreign personal computer manufacturers, particularly from those who also market personal computer systems through direct distribution channels. The company's principal personal computer competitors include Compaq Computer Corporation, Dell Computer Corporation, and Gateway 2000, Inc. Personal computer products are differentiated based primarily on price, performance, reliability, service and support. As a result of competitive pricing pressures, the margins realized on the company's personal computer products are substantially lower than the margins currently realized by the company's primary semiconductor memory products.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Semiconductor memory manufacturing cost is primarily a function of circuit size (since the potential number of good circuits per wafer increases with reduced circuit size), number of mask layers, and the yield of acceptable die produced on each wafer. Other contributing factors are wafer size, number of fabrication steps, costs and sophistication of the manufacturing equipment, package type, equipment up time, process complexity, and cleanliness. The manufacture of the company's semiconductor products is a complex process and involves a number of precise steps, including wafer fabrication, assembly, burn-in, and final test.</w:t>
      </w:r>
    </w:p>
    <w:p>
      <w:pPr>
        <w:spacing w:after="0" w:line="215" w:lineRule="exact"/>
        <w:rPr>
          <w:sz w:val="20"/>
          <w:szCs w:val="20"/>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The company's principal semiconductor memory manufacturing facility includes two 6-inch wafer fabrication lines equipped with diffusion tubes, photolithography systems, ion implant equipment, chemical vapor deposition reactors, sputtering systems, plasma and wet etchers, and automated mask inspection systems. The production facility operates in</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12-hour shifts, 24 hours per day, and 7 days per week (in three or four day shift cycles) to reduce down time during shift changes, and seeks to reduce fabrication costs further through 100% utilization of fabrication capacity. Wafer fabrication occurs in a highly controlled, clean environment to minimize dust and other yield- and quality-limiting contaminants. Notwithstanding the highly controlled manufacturing operation, equipment does not consistently perform flawlessly, and minute impurities, defects in the photomasks, or other difficulties in the process may cause a substantial percentage of the wafers to be rejected or individual</w:t>
      </w:r>
    </w:p>
    <w:p>
      <w:pPr>
        <w:spacing w:after="0" w:line="11"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circuits to be nonfunctional. The success of the company's manufacturing operations will be dependent largely on the ability to minimize such impurities and to maximize yield of acceptable, high-quality circuits. In this regard, the company employs rigorous quality controls throughout the manufacturing, screening, and testing processes.</w:t>
      </w:r>
    </w:p>
    <w:p>
      <w:pPr>
        <w:spacing w:after="0" w:line="185" w:lineRule="exact"/>
        <w:rPr>
          <w:sz w:val="20"/>
          <w:szCs w:val="20"/>
          <w:color w:val="auto"/>
        </w:rPr>
      </w:pPr>
    </w:p>
    <w:p>
      <w:pPr>
        <w:ind w:right="2739" w:firstLine="527"/>
        <w:spacing w:after="0" w:line="271" w:lineRule="auto"/>
        <w:rPr>
          <w:sz w:val="20"/>
          <w:szCs w:val="20"/>
          <w:color w:val="auto"/>
        </w:rPr>
      </w:pPr>
      <w:r>
        <w:rPr>
          <w:rFonts w:ascii="Courier New" w:cs="Courier New" w:eastAsia="Courier New" w:hAnsi="Courier New"/>
          <w:sz w:val="16"/>
          <w:szCs w:val="16"/>
          <w:color w:val="auto"/>
        </w:rPr>
        <w:t>After fabrication, each silicon wafer is separated into individual circuits. Functional circuits are connected to external leads by extremely fine wire and are assembled into plastic packages. Each completed package is then inspected, sealed, and tested. The assembly process uses high speed automatic systems such as wire bonders, as well as semiautomatic plastic encapsulation and solder systems. The company tests its products at various stages in the manufacturing process,</w:t>
      </w:r>
    </w:p>
    <w:p>
      <w:pPr>
        <w:sectPr>
          <w:pgSz w:w="11900" w:h="16838" w:orient="portrait"/>
          <w:cols w:equalWidth="0" w:num="1">
            <w:col w:w="10219"/>
          </w:cols>
          <w:pgMar w:left="240" w:top="520" w:right="1440" w:bottom="0" w:gutter="0" w:footer="0" w:header="0"/>
        </w:sectPr>
      </w:pPr>
    </w:p>
    <w:bookmarkStart w:id="8" w:name="page9"/>
    <w:bookmarkEnd w:id="8"/>
    <w:p>
      <w:pPr>
        <w:ind w:right="2619"/>
        <w:spacing w:after="0" w:line="237" w:lineRule="auto"/>
        <w:rPr>
          <w:sz w:val="20"/>
          <w:szCs w:val="20"/>
          <w:color w:val="auto"/>
        </w:rPr>
      </w:pPr>
      <w:r>
        <w:rPr>
          <w:rFonts w:ascii="Courier New" w:cs="Courier New" w:eastAsia="Courier New" w:hAnsi="Courier New"/>
          <w:sz w:val="18"/>
          <w:szCs w:val="18"/>
          <w:color w:val="auto"/>
        </w:rPr>
        <w:t>performs high temperature burn-in on finished products, and conducts numerous quality control inspections throughout the entire production flow. In addition, through the utilization of its proprietary AMBYX line of intelligent test and burn-in systems, the company simultaneously conducts circuit testing of all die during the burn-in process, thereby providing improved quality and reliability data and reduced time and cost of testing.</w:t>
      </w:r>
    </w:p>
    <w:p>
      <w:pPr>
        <w:spacing w:after="0" w:line="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2" w:right="1440" w:bottom="1440" w:gutter="0" w:footer="0" w:header="0"/>
        </w:sectPr>
      </w:pPr>
    </w:p>
    <w:bookmarkStart w:id="9" w:name="page10"/>
    <w:bookmarkEnd w:id="9"/>
    <w:p>
      <w:pPr>
        <w:ind w:right="2619" w:firstLine="527"/>
        <w:spacing w:after="0" w:line="238" w:lineRule="auto"/>
        <w:rPr>
          <w:sz w:val="20"/>
          <w:szCs w:val="20"/>
          <w:color w:val="auto"/>
        </w:rPr>
      </w:pPr>
      <w:r>
        <w:rPr>
          <w:rFonts w:ascii="Courier New" w:cs="Courier New" w:eastAsia="Courier New" w:hAnsi="Courier New"/>
          <w:sz w:val="18"/>
          <w:szCs w:val="18"/>
          <w:color w:val="auto"/>
        </w:rPr>
        <w:t>The company may convert some or all of its 6-inch wafer fabrication lines to 8-inch processing capabilities over the next several years. Significant capital expenditures would be required for the conversion and there can be no assurance that the conversion can be accomplished without disruption of production. Several other semiconductor manufacturers are also adding significant manufacturing capacity. All semiconductor memory manufacturers compete for and are dependent upon a limited number of sophisticated equipment suppliers. The cyclical nature of the industry often results in extended lead times for equipment deliveries. There can be no assurance the company will not encounter delays in the company's currently planned expansion as a result of limited availability of equipment.</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custom manufacture of board-level products involves the attachment of various electronic components, such as memory components and processors, to a printed circuit board. Nearly all of the board-level products assembled by the company are assembled utilizing SMT, in which the component leads are soldered to the printed circuit board rather than being inserted into holes as in pin-through-hole technology. In-circuit testing verifies that components have been properly inserted and that the electrical circuits are complete. Functional and environmental tests determine if the board or system assembly is performing to customer specifications.</w:t>
      </w:r>
    </w:p>
    <w:p>
      <w:pPr>
        <w:spacing w:after="0" w:line="215" w:lineRule="exact"/>
        <w:rPr>
          <w:sz w:val="20"/>
          <w:szCs w:val="20"/>
          <w:color w:val="auto"/>
        </w:rPr>
      </w:pPr>
    </w:p>
    <w:p>
      <w:pPr>
        <w:ind w:right="2739" w:firstLine="527"/>
        <w:spacing w:after="0" w:line="271" w:lineRule="auto"/>
        <w:rPr>
          <w:sz w:val="20"/>
          <w:szCs w:val="20"/>
          <w:color w:val="auto"/>
        </w:rPr>
      </w:pPr>
      <w:r>
        <w:rPr>
          <w:rFonts w:ascii="Courier New" w:cs="Courier New" w:eastAsia="Courier New" w:hAnsi="Courier New"/>
          <w:sz w:val="16"/>
          <w:szCs w:val="16"/>
          <w:color w:val="auto"/>
        </w:rPr>
        <w:t>Component recovery efforts conducted by the company's custom manufacturing operations involve the testing and grading of components not meeting full industry specifications to determine their highest level of functionality. These devices are placed in applications in which the functionality meets or exceeds customer requirements, such as PCs and peripherals, telephone answering machines, electronic games, laser printers, facsimile machines, and cellular telephones.</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personal computers are designed to maximize performance of each system utilizing extensive DRAM and SRAM memory. Personal computers are assembled to standard and unique customer specifications on an integrated production line. Components, subassemblies, and software are obtained from a wide range of PC industry suppliers. Each personal computer is subjected to a burn-in and test process to ensure high-quality performance on delivery.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Availability of Raw Materials</w:t>
      </w:r>
    </w:p>
    <w:p>
      <w:pPr>
        <w:spacing w:after="0" w:line="207" w:lineRule="exact"/>
        <w:rPr>
          <w:sz w:val="20"/>
          <w:szCs w:val="20"/>
          <w:color w:val="auto"/>
        </w:rPr>
      </w:pPr>
    </w:p>
    <w:p>
      <w:pPr>
        <w:ind w:right="2739" w:firstLine="527"/>
        <w:spacing w:after="0" w:line="269" w:lineRule="auto"/>
        <w:rPr>
          <w:sz w:val="20"/>
          <w:szCs w:val="20"/>
          <w:color w:val="auto"/>
        </w:rPr>
      </w:pPr>
      <w:r>
        <w:rPr>
          <w:rFonts w:ascii="Courier New" w:cs="Courier New" w:eastAsia="Courier New" w:hAnsi="Courier New"/>
          <w:sz w:val="16"/>
          <w:szCs w:val="16"/>
          <w:color w:val="auto"/>
        </w:rPr>
        <w:t>Raw materials utilized by the company generally must meet exacting product specifications. The company is generally able to arrange for multiple sources of supply, but the number of suppliers capable of delivering certain raw materials is very limited. Many semiconductor manufacturers are adding new facilities designed to use 8-inch wafers. The level of both 6-inch and 8-inch wafers available for semiconductor memory production is partially dependent on how readily wafer suppliers can increase capacity or create additional capacity to match the demand for 8-inch wafers without creating shortages in the supply of 6-inch wafers. Other materials used in the manufacture of the company's products may experience declines in availability due to the overall increase in worldwide semiconductor manufacturing. Although shortages have occurred from time to time and lead times have been extended on occasion in the industry, the company has not experienced any significant production interruption as a result of difficulty in obtaining raw materials to date. Interruption of any one raw material source could negatively impact the company's operations.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Compliance</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Government regulations impose various environmental controls on the discharge of chemicals and gasses used in the manufacturing process. The company believes that its activities conform to present environmental regulations. While the company has not experienced any materially adverse effects on its operations from environmental regulations, there can be no assurance that changes in such regulations will not impose the need for additional capital equipment or other compliance requirements. Additionally, the extensive process required to obtain permits for expansion of the company's facilities may impact how quickly the company can respond to increases in market demand.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As of September 1, 1994, the company had approximately 5,450 full-time employees, including approximately 4,530 in the semiconductor memory manufacturing operations, 440 in the custom manufacturing services operations, and 270 in the personal computer manufacturing operations.</w:t>
      </w:r>
    </w:p>
    <w:p>
      <w:pPr>
        <w:sectPr>
          <w:pgSz w:w="11900" w:h="16838" w:orient="portrait"/>
          <w:cols w:equalWidth="0" w:num="1">
            <w:col w:w="10219"/>
          </w:cols>
          <w:pgMar w:left="240" w:top="520" w:right="1440" w:bottom="0" w:gutter="0" w:footer="0" w:header="0"/>
        </w:sectPr>
      </w:pPr>
    </w:p>
    <w:bookmarkStart w:id="10" w:name="page11"/>
    <w:bookmarkEnd w:id="10"/>
    <w:p>
      <w:pPr>
        <w:ind w:right="2619"/>
        <w:spacing w:after="0" w:line="237" w:lineRule="auto"/>
        <w:rPr>
          <w:sz w:val="20"/>
          <w:szCs w:val="20"/>
          <w:color w:val="auto"/>
        </w:rPr>
      </w:pPr>
      <w:r>
        <w:rPr>
          <w:rFonts w:ascii="Courier New" w:cs="Courier New" w:eastAsia="Courier New" w:hAnsi="Courier New"/>
          <w:sz w:val="18"/>
          <w:szCs w:val="18"/>
          <w:color w:val="auto"/>
        </w:rPr>
        <w:t>Employment levels can vary depending on market conditions and the level of utilization of the company's fabrication, assembly, and test facilities, as well as on research and development and product and process development activities. Many of the company's employees are highly-skilled, and the company's continued success will depend in part upon its ability to retain such employees. None of the company's employees are represented by a labor organization, the company has never had a work stoppage, and the company considers its employee relations to be satisfactory.</w:t>
      </w:r>
    </w:p>
    <w:p>
      <w:pPr>
        <w:spacing w:after="0" w:line="5"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w w:val="99"/>
              </w:rPr>
              <w:t>Executive Officers of the</w:t>
            </w:r>
          </w:p>
        </w:tc>
        <w:tc>
          <w:tcPr>
            <w:tcW w:w="3480" w:type="dxa"/>
            <w:vAlign w:val="bottom"/>
          </w:tcPr>
          <w:p>
            <w:pPr>
              <w:ind w:left="40"/>
              <w:spacing w:after="0"/>
              <w:rPr>
                <w:sz w:val="20"/>
                <w:szCs w:val="20"/>
                <w:color w:val="auto"/>
              </w:rPr>
            </w:pPr>
            <w:r>
              <w:rPr>
                <w:rFonts w:ascii="Courier New" w:cs="Courier New" w:eastAsia="Courier New" w:hAnsi="Courier New"/>
                <w:sz w:val="18"/>
                <w:szCs w:val="18"/>
                <w:color w:val="auto"/>
              </w:rPr>
              <w:t>Registrant</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8760" w:type="dxa"/>
            <w:vAlign w:val="bottom"/>
            <w:gridSpan w:val="5"/>
          </w:tcPr>
          <w:p>
            <w:pPr>
              <w:jc w:val="right"/>
              <w:ind w:right="652"/>
              <w:spacing w:after="0" w:line="203" w:lineRule="exact"/>
              <w:rPr>
                <w:sz w:val="20"/>
                <w:szCs w:val="20"/>
                <w:color w:val="auto"/>
              </w:rPr>
            </w:pPr>
            <w:r>
              <w:rPr>
                <w:rFonts w:ascii="Courier New" w:cs="Courier New" w:eastAsia="Courier New" w:hAnsi="Courier New"/>
                <w:sz w:val="18"/>
                <w:szCs w:val="18"/>
                <w:color w:val="auto"/>
              </w:rPr>
              <w:t>The executive officers of the company and their ages as of September 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1994 are as follows:</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23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Position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Age</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Officer Since</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 - ---------------------</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 ---</w:t>
            </w:r>
          </w:p>
        </w:tc>
        <w:tc>
          <w:tcPr>
            <w:tcW w:w="1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Joseph L. Parkinson</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Chairman of the Board of</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49</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1980</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Directors and Chief Executive</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Officer; Micron Technology,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James W. Garrett</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President, Chief Operating</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46</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Technology,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Reid N. Langrill</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Finance,</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34</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1988</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Treasurer, Chief Financial</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Technology,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Kipp A. Bedard</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Investor</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35</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1990</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Relations;</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Technology,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Nancy M. Self</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Administration;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40</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Technology,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Chairman of the Board of</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34</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Directors, President,</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Chief Executive Officer;</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Director; Micron Technology,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Tyler A. Lowrey</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Chief Technical</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41</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Larry L. Grant</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General Counsel,</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48</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1985</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Secretary;</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Thomas M. Trent</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48</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Edward J. Heitzeberg</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Quality;</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48</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1986</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Norman L. Schlachter</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and Treasurer;</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36</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Robert M. Donnelly</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SRAM Products</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55</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Group;</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Eugene H. Cloud</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Marketing;</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52</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1990</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Donald D. Baldwin</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Sales;</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34</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Kenneth G. Smith</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Operations;</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45</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3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 Finance, and</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41</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r>
    </w:tbl>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Background of Executive Officers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Joseph L. Parkinson, a co-founder of Micron Technology, Inc., served as its President and a director from July 1980 through January 1986, when he was named Chairman of the Board and Chief Executive Officer.</w:t>
      </w:r>
    </w:p>
    <w:p>
      <w:pPr>
        <w:spacing w:after="0" w:line="209"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James W. Garrett joined Micron Technology, Inc., in April 1985 as Sales Manager. In January 1986, he became Vice President, Sales and Marketing</w:t>
      </w:r>
    </w:p>
    <w:p>
      <w:pPr>
        <w:ind w:right="2619"/>
        <w:spacing w:after="0" w:line="237" w:lineRule="auto"/>
        <w:rPr>
          <w:sz w:val="20"/>
          <w:szCs w:val="20"/>
          <w:color w:val="auto"/>
        </w:rPr>
      </w:pPr>
      <w:r>
        <w:rPr>
          <w:rFonts w:ascii="Courier New" w:cs="Courier New" w:eastAsia="Courier New" w:hAnsi="Courier New"/>
          <w:sz w:val="18"/>
          <w:szCs w:val="18"/>
          <w:color w:val="auto"/>
        </w:rPr>
        <w:t>and held that position until July 1988, when he was named Executive Vice President. He was elected to the Board of Directors in August 1988, and served as Vice Chairman of the Board from April 1991 until July 1992, when he was named President and Chief Operating Officer.</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Reid N. Langrill joined Micron Technology, Inc., in March 1984 as a financial planner. From December 1986 until July 1988, he served as Controller. In July 1988, he was named Vice President, Finance, Treasurer, and Chief Financial Officer and served in that position until May 1989. He served as Vice President, Business Units from August 1989 until December 1989 when he was named Vice President, Finance, and Chief Financial Officer. In July 1992, Mr. Langrill was elected to the Board of Directors and was also named Treasurer.</w:t>
      </w:r>
    </w:p>
    <w:p>
      <w:pPr>
        <w:spacing w:after="0" w:line="212"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Kipp A. Bedard joined Micron Technology, Inc., in November 1983 as an accountant and held various management responsibilities until he was appointed Manager of Investor Relations in June 1988. Mr. Bedard held that position until April 1990 when he was named Vice President and Manager of Investor Relations. From July 1992 to January 1994, Mr.</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Bedard served as Vice President, Public Relations for Micron Semiconductor, Inc. In January 1994, he was named Vice President, Investor Relations for Micron Technology, Inc.</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Nancy M. Self joined Micron Technology, Inc., in February 1988 as a benefits specialist. In July 1988, she was named Benefits Manager and served in that position until July 1989, when she was named Risk Manager. In March 1993, she was named Vice President, Administration.</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Steven R. Appleton joined Micron Technology, Inc., in February 1983 and served in various manufacturing management positions until April 1988</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when he was named Director of Manufacturing. He was appointed Vice President, Manufacturing in August 1989 and served in that position until April 1991 when he was appointed President and Chief Operating Officer of Micron Technology, Inc. He was elected to the Board of Directors in April 1991. Mr. Appleton served in these positions until July 1992, when he assumed responsibilities as Chairman of the Board, President, and Chief Executive Officer for Micron Semiconductor, Inc. In May 1994, Mr. Appleton was re-elected to the Board of Directors of Micron Technology, Inc.</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Tyler A. Lowrey joined Micron Technology, Inc., in July 1984 as a senior process engineer. In March 1986, he became a Process Research Development/Device Group Manager and was promoted to Vice President, Process Research and Development, and Assistant Technical Officer in September 1986. In April 1990, he was named Vice President, Research and Development. Mr. Lowrey was appointed to the Board of Directors of</w:t>
      </w:r>
    </w:p>
    <w:p>
      <w:pPr>
        <w:spacing w:after="0" w:line="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Micron Technology, Inc., in August 1990. Mr. Lowrey served in these positions until July 1992, when he was elected a director and named Vice President, Chief Technical Officer for Micron Semiconductor, Inc.</w:t>
      </w: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Larry L. Grant joined Micron Technology, Inc., in January 1985 and served as General Counsel until July 1985, when he was named Vice President and General Counsel. Mr. Grant served in this position until July 1992, when he was named Vice President, General Counsel and Secretary for Micron Semiconductor, Inc.</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Thomas M. Trent joined Micron Technology, Inc., in July 1980 as a senior design engineer. From August 1986 to April 1990, Mr. Trent served as</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Vice President, Research and Development, and Chief Technical Officer, at which time he was named Vice President and Manager of DRAM Design. In June 1991, he assumed responsibilities of all DRAM products and was named Vice President and Manager of DRAM Products Group. Mr. Trent served in these positions until July 1992, when he was named Vice President, DRAM Products Group for Micron Semiconductor, Inc. In April 1993, he was named Vice President for Micron Semiconductor, Inc.</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Edward J. Heitzeberg joined Micron Technology, Inc., in January 1984 as Information Systems Manager. In March 1986, he became Senior Staff Engineer and served in that capacity until June 1986, when he was named Vice President, Quality. Mr. Heitzeberg served in this position until</w:t>
      </w:r>
    </w:p>
    <w:p>
      <w:pPr>
        <w:sectPr>
          <w:pgSz w:w="11900" w:h="16838" w:orient="portrait"/>
          <w:cols w:equalWidth="0" w:num="1">
            <w:col w:w="10219"/>
          </w:cols>
          <w:pgMar w:left="240" w:top="717" w:right="1440" w:bottom="0" w:gutter="0" w:footer="0" w:header="0"/>
        </w:sectPr>
      </w:pPr>
    </w:p>
    <w:bookmarkStart w:id="13" w:name="page14"/>
    <w:bookmarkEnd w:id="13"/>
    <w:p>
      <w:pPr>
        <w:ind w:right="3579"/>
        <w:spacing w:after="0" w:line="235" w:lineRule="auto"/>
        <w:rPr>
          <w:sz w:val="20"/>
          <w:szCs w:val="20"/>
          <w:color w:val="auto"/>
        </w:rPr>
      </w:pPr>
      <w:r>
        <w:rPr>
          <w:rFonts w:ascii="Courier New" w:cs="Courier New" w:eastAsia="Courier New" w:hAnsi="Courier New"/>
          <w:sz w:val="18"/>
          <w:szCs w:val="18"/>
          <w:color w:val="auto"/>
        </w:rPr>
        <w:t>July 1992, when he was named Vice President, Quality for Micron Semiconductor, Inc.</w:t>
      </w:r>
    </w:p>
    <w:p>
      <w:pPr>
        <w:spacing w:after="0" w:line="20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Norman L. Schlachter joined Micron Technology, Inc., in March 1987 as Treasury Manager. From October 1988 until May 1989, he served as Assistant Treasurer, at which time he was named Vice President, Finance, and Treasurer, and Chief Financial Officer. In December 1989, he was named Vice President and Treasurer. Mr. Schlachter served in these positions until July 1992, when he was named Vice President and Treasurer for Micron Semiconductor, Inc.</w:t>
      </w:r>
    </w:p>
    <w:p>
      <w:pPr>
        <w:spacing w:after="0" w:line="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4" w:name="page15"/>
    <w:bookmarkEnd w:id="14"/>
    <w:p>
      <w:pPr>
        <w:ind w:right="2419" w:firstLine="632"/>
        <w:spacing w:after="0" w:line="268" w:lineRule="auto"/>
        <w:rPr>
          <w:sz w:val="20"/>
          <w:szCs w:val="20"/>
          <w:color w:val="auto"/>
        </w:rPr>
      </w:pPr>
      <w:r>
        <w:rPr>
          <w:rFonts w:ascii="Courier New" w:cs="Courier New" w:eastAsia="Courier New" w:hAnsi="Courier New"/>
          <w:sz w:val="16"/>
          <w:szCs w:val="16"/>
          <w:color w:val="auto"/>
        </w:rPr>
        <w:t>Robert M. Donnelly joined Micron Technology, Inc., in September 1988 and served in various manufacturing management positions until August 1989, at which time he was appointed Vice President, Business Units.</w:t>
      </w:r>
    </w:p>
    <w:p>
      <w:pPr>
        <w:spacing w:after="0" w:line="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From April 1990 to June 1991, Mr. Donnelly served as Vice President and Manager of DRAM Products Group. In June 1991, he was named Vice President and Manager of SRAM Products Group. Mr. Donnelly served in this position until July 1992, when he was named Vice President, SRAM Products Group for Micron Semiconductor, Inc.</w:t>
      </w:r>
    </w:p>
    <w:p>
      <w:pPr>
        <w:spacing w:after="0" w:line="209"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Eugene H. Cloud joined Micron Technology, Inc., in January 1985 as an applications engineer. In June 1985, he was named Applications Manager. He served in that position until June 1986, when he was named Marketing Manager. In April 1990, he was named Vice President, Semiconductor Marketing. Mr. Cloud served in this position until July 1992, when he was named Vice President, Marketing for Micron Semiconductor, Inc.</w:t>
      </w:r>
    </w:p>
    <w:p>
      <w:pPr>
        <w:spacing w:after="0" w:line="186"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Donald D. Baldwin joined Micron Technology, Inc., in April 1984 and served in various manufacturing and sales positions until April 1987, when he was named Key Accounts Manager. From April 1990 to May 1991, he served as Manager of North American Sales. In May 1991, he was named Vice President, Sales. Mr. Baldwin served in this position until July 1992, when he was named Vice President, Sales for Micron Semiconductor, Inc.</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Kenneth G. Smith joined Micron Technology, Inc., in November 1987 as a senior diffusion engineer and held various positions in manufacturing until he was named Fab I/II Manager in May 1989. In July 1992, Mr. Smith was named Vice President, Operations for Micron Semiconductor, Inc.</w:t>
      </w:r>
    </w:p>
    <w:p>
      <w:pPr>
        <w:spacing w:after="0" w:line="207"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Wilbur G. Stover, Jr., joined Micron Technology, Inc., in June 1989 as an accounting manager. In February 1990, Mr. Stover was named Controller where he served until July 1992, when he was named Vice President, Finance, and Chief Financial Officer of Micron Semiconductor,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The company's principal semiconductor manufacturing, engineering, administrative, and support facilities are located on a 665 acre site in Boise, Idaho. All facilities have been constructed since 1981 and are owned by the company. The company has 1,245,000 square feet of building space at this primary site. Of the total, 263,000 square feet are production space, 506,000 square feet are facility support space, and 476,000 square feet are office and other space. The company's custom manufacturing and component recovery operations are housed in a 52,000 square foot facility also located in Boise, Idaho. In addition, the company owns a 128,000 square foot facility and approximately 30 acres of land in Nampa, Idaho, housing the company's personal computer manufacturing operations.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company is in the process of qualifying its newly-constructed central implant building at the main Boise site. This facility is expected to be qualified for the production of commercial volumes in early fiscal 1995. In addition, the company has initiated construction of a .25 micron, 8-inch development facility, and an additional assembly and test facility encompassing a total of approximately 340,000 square feet. The development facility and additional assembly and test facility are expected to be operational in fiscal 1995.</w:t>
      </w:r>
    </w:p>
    <w:p>
      <w:pPr>
        <w:spacing w:after="0" w:line="212"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Fixed assets with a book value of approximately $74 million are pledged as collateral for outstanding debt and capital leases as of September 1, 1994. Substantially all of the tangible assets of the company's semiconductor memory, and custom manufacturing and component recovery operations not otherwise pledged as collateral for other notes payable</w:t>
      </w:r>
    </w:p>
    <w:p>
      <w:pPr>
        <w:spacing w:after="0" w:line="1"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and capital leases are pledged as collateral under the company's bank credit agreements.</w:t>
      </w:r>
    </w:p>
    <w:p>
      <w:pPr>
        <w:spacing w:after="0" w:line="208"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A utility-owned power substation and a vendor-owned and operated nitrogen production plant, each of which is dedicated for the company's use, were constructed on land owned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As of September 1, 1994, there were no material pending lawsuits to which the company is a party.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There were no matters submitted to a vote of security holders during the</w:t>
      </w:r>
    </w:p>
    <w:p>
      <w:pPr>
        <w:sectPr>
          <w:pgSz w:w="11900" w:h="16838" w:orient="portrait"/>
          <w:cols w:equalWidth="0" w:num="1">
            <w:col w:w="10219"/>
          </w:cols>
          <w:pgMar w:left="240" w:top="723"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fourth quarter of fiscal 1994.</w:t>
      </w:r>
    </w:p>
    <w:p>
      <w:pPr>
        <w:jc w:val="right"/>
        <w:ind w:right="2199"/>
        <w:spacing w:after="0" w:line="238"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16" w:name="page17"/>
    <w:bookmarkEnd w:id="16"/>
    <w:p>
      <w:pPr>
        <w:ind w:left="3800"/>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Item 5. Market for Registrant's Common Equity and Related Stockholder Matters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for Common Stock</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Micron Technology, Inc.'s common stock is listed on the New York Stock Exchange and is traded under the symbol MU. The following table represents the high and low sales prices for the company's common stock for each quarter of fiscal 1994 and 1993, as reported by The Wall Street Journal. All stock prices presented have been restated to reflect a 5</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for 2 stock split effected in the form of a stock dividend to shareholders of record as of April 1, 1994.</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High</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Low</w:t>
            </w:r>
          </w:p>
        </w:tc>
      </w:tr>
      <w:tr>
        <w:trPr>
          <w:trHeight w:val="203"/>
        </w:trPr>
        <w:tc>
          <w:tcPr>
            <w:tcW w:w="38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4th quarter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$30.63</w:t>
            </w:r>
          </w:p>
        </w:tc>
      </w:tr>
      <w:tr>
        <w:trPr>
          <w:trHeight w:val="203"/>
        </w:trPr>
        <w:tc>
          <w:tcPr>
            <w:tcW w:w="3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3rd quarter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28.25</w:t>
            </w:r>
          </w:p>
        </w:tc>
      </w:tr>
      <w:tr>
        <w:trPr>
          <w:trHeight w:val="203"/>
        </w:trPr>
        <w:tc>
          <w:tcPr>
            <w:tcW w:w="3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2nd quarter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17.45</w:t>
            </w:r>
          </w:p>
        </w:tc>
      </w:tr>
      <w:tr>
        <w:trPr>
          <w:trHeight w:val="203"/>
        </w:trPr>
        <w:tc>
          <w:tcPr>
            <w:tcW w:w="3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1st quarter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25.45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15.15</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4th quarter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$11.95</w:t>
            </w:r>
          </w:p>
        </w:tc>
      </w:tr>
      <w:tr>
        <w:trPr>
          <w:trHeight w:val="203"/>
        </w:trPr>
        <w:tc>
          <w:tcPr>
            <w:tcW w:w="3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3rd quarter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w:t>
            </w:r>
          </w:p>
        </w:tc>
      </w:tr>
      <w:tr>
        <w:trPr>
          <w:trHeight w:val="203"/>
        </w:trPr>
        <w:tc>
          <w:tcPr>
            <w:tcW w:w="3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2nd quarter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38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1st quarter</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Holders of Record</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 of September 1, 1994, there were 2,843 shareholders of record of the company's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2619" w:firstLine="527"/>
        <w:spacing w:after="0" w:line="272" w:lineRule="auto"/>
        <w:rPr>
          <w:sz w:val="20"/>
          <w:szCs w:val="20"/>
          <w:color w:val="auto"/>
        </w:rPr>
      </w:pPr>
      <w:r>
        <w:rPr>
          <w:rFonts w:ascii="Courier New" w:cs="Courier New" w:eastAsia="Courier New" w:hAnsi="Courier New"/>
          <w:sz w:val="16"/>
          <w:szCs w:val="16"/>
          <w:color w:val="auto"/>
        </w:rPr>
        <w:t>The company declared and paid cash dividends totaling $0.12 during fiscal 1994, and $0.02 during each of fiscal 1993 and 1992. The company's Board of Directors further approved a $0.05 per share cash dividend to shareholders of record as of September 30, 1994, for payment on October 24, 1994. Future dividends, if any, will vary depending on the company's profitability and anticipated capital requirements.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1991</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1990</w:t>
            </w:r>
          </w:p>
        </w:tc>
      </w:tr>
      <w:tr>
        <w:trPr>
          <w:trHeight w:val="203"/>
        </w:trPr>
        <w:tc>
          <w:tcPr>
            <w:tcW w:w="34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$1,628.6</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$828.3</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$506.3</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$425.4</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$333.3</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620.1</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400.5</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w w:val="98"/>
              </w:rPr>
              <w:t>Fully diluted earnings per share</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3.80</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1.03</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0.07</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0.05</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0.05</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w w:val="98"/>
              </w:rPr>
              <w:t>Cash dividend declared per share</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0.12</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0.02</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0.02</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793.2</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440.1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227.0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213.2</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198.1</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1,529.7</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965.7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724.5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705.9</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697.3</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124.7</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1,049.3</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511.2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494.8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484.2</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See "Item 7. Management's Discussion and Analysis of Financial Condition and Results of Operations - Certain Factors" for a discussion of</w:t>
      </w:r>
    </w:p>
    <w:p>
      <w:pPr>
        <w:spacing w:after="0" w:line="6"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material uncertainties which might cause the data reflected herein not to be indicative of the company's future financial condition or results of operations.</w:t>
      </w:r>
    </w:p>
    <w:p>
      <w:pPr>
        <w:spacing w:after="0" w:line="1" w:lineRule="exact"/>
        <w:rPr>
          <w:sz w:val="20"/>
          <w:szCs w:val="20"/>
          <w:color w:val="auto"/>
        </w:rPr>
      </w:pPr>
    </w:p>
    <w:p>
      <w:pPr>
        <w:ind w:left="7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564" w:gutter="0" w:footer="0" w:header="0"/>
        </w:sectPr>
      </w:pPr>
    </w:p>
    <w:bookmarkStart w:id="17" w:name="page18"/>
    <w:bookmarkEnd w:id="17"/>
    <w:p>
      <w:pPr>
        <w:ind w:right="315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All yearly references are to the company's fiscal years ended September 1, 1994, September 2, 1993, and September 3, 1992, unless otherwise indicated. Fiscal year 1992 contained fifty-three weeks compared to fifty-two weeks in fiscal years 1994 and 1993. All tabular dollar</w:t>
      </w:r>
    </w:p>
    <w:p>
      <w:pPr>
        <w:spacing w:after="0"/>
        <w:rPr>
          <w:sz w:val="20"/>
          <w:szCs w:val="20"/>
          <w:color w:val="auto"/>
        </w:rPr>
      </w:pPr>
      <w:r>
        <w:rPr>
          <w:rFonts w:ascii="Courier New" w:cs="Courier New" w:eastAsia="Courier New" w:hAnsi="Courier New"/>
          <w:sz w:val="18"/>
          <w:szCs w:val="18"/>
          <w:color w:val="auto"/>
        </w:rPr>
        <w:t>amounts are stated in millions.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company achieved record sales and net income in 1994 primarily as a result of favorable market conditions and increased production of semiconductor memory. Net income for 1994 was $400.5 million, or $3.80</w:t>
      </w:r>
    </w:p>
    <w:p>
      <w:pPr>
        <w:spacing w:after="0" w:line="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per fully diluted share, on net sales of $1,628.6 million. Fiscal year 1993's net income was $104.1 million, or $1.03 per fully diluted share, on net sales of $828.3 million. Historical per share amounts have been restated to reflect a 5 for 2 stock split effected in the form of a stock dividend to shareholders of record as of April 1, 1994. During fiscal year 1994, the company paid cash dividends totaling $0.12 per share. The company's Board of Directors further approved a $0.05 per share cash dividend to shareholders of record as of September 30, 1994 for payment on October 24, 1994. Future dividends, if any, will vary depending on the company's profitability and anticipated capital requirements.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1994</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Change</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$1,628.6</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96.6%</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$828.3</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$506.3</w:t>
            </w:r>
          </w:p>
        </w:tc>
      </w:tr>
    </w:tbl>
    <w:p>
      <w:pPr>
        <w:spacing w:after="0" w:line="200" w:lineRule="exact"/>
        <w:rPr>
          <w:sz w:val="20"/>
          <w:szCs w:val="20"/>
          <w:color w:val="auto"/>
        </w:rPr>
      </w:pP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overall success continues to be dependent on the memory operations of the company's wholly-owned subsidiary, Micron Semiconductor, Inc. Favorable market conditions for memory products in 1994 resulted in relatively stable pricing. In addition, the company's production of semiconductor memory, as measured in megabits, nearly doubled in 1994 compared to 1993. The increase in volume of semiconductor memory during 1994 was principally due to increased wafer capacity, principally as a result of continued expenditures on equipment and facilities; improved manufacturing yields resulting from increased manufacturing efficiencies; and conversion to further shrinks of existing products.</w:t>
      </w:r>
    </w:p>
    <w:p>
      <w:pPr>
        <w:spacing w:after="0" w:line="216"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The company has benefited from market supply and demand relationships resulting in relatively stable product pricing for approximately the past nine quarters. Pricing per megabit for DRAM products has historically declined approximately 30% per year on a long-term trend line. While the company expects average selling prices to return to their historical long-term declining trend line, market dynamics make</w:t>
      </w:r>
    </w:p>
    <w:p>
      <w:pPr>
        <w:spacing w:after="0" w:line="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 difficult to forecast when or how quickly average selling prices will fall.</w:t>
      </w:r>
    </w:p>
    <w:p>
      <w:pPr>
        <w:spacing w:after="0" w:line="208"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The company's principal product in 1994 was the 4 Meg DRAM. Volumes for specialty DRAMs decreased during 1994 as compared to 1993 as the company dedicated more production resources to the 4 Meg DRAM. SRAM net sales</w:t>
      </w:r>
    </w:p>
    <w:p>
      <w:pPr>
        <w:spacing w:after="0" w:line="1"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were higher in 1994 as compared to 1993, but declined as a percentage of total net sales to approximately 8% in 1994. SRAM net sales were 14% and 18% of total net sales in 1993 and 1992, respectively.</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Similar to the factors leading to the increase in net sales comparing 1994 to 1993, the increase in net sales for 1993 as compared to 1992 was principally due to higher volumes of semiconductor memory sold and slightly higher average selling prices. Volume increases were achieved through die-size reductions and increased manufacturing yields. Selling prices, on average, were higher in 1993 as compared to 1992 for 4 Meg and 1 Meg DRAM products, but were lower for specialty DRAM and SRAM products.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1994</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Change</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$789.4</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52.6%</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$517.2</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32.5%</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$390.3</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51.5%</w:t>
            </w:r>
          </w:p>
        </w:tc>
        <w:tc>
          <w:tcPr>
            <w:tcW w:w="1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37.6%</w:t>
            </w:r>
          </w:p>
        </w:tc>
        <w:tc>
          <w:tcPr>
            <w:tcW w:w="1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w:t>
            </w:r>
          </w:p>
        </w:tc>
      </w:tr>
    </w:tbl>
    <w:p>
      <w:pPr>
        <w:sectPr>
          <w:pgSz w:w="11900" w:h="16838" w:orient="portrait"/>
          <w:cols w:equalWidth="0" w:num="1">
            <w:col w:w="10219"/>
          </w:cols>
          <w:pgMar w:left="240" w:top="723" w:right="1440" w:bottom="0" w:gutter="0" w:footer="0" w:header="0"/>
        </w:sectPr>
      </w:pPr>
    </w:p>
    <w:bookmarkStart w:id="18" w:name="page19"/>
    <w:bookmarkEnd w:id="18"/>
    <w:p>
      <w:pPr>
        <w:ind w:left="540"/>
        <w:spacing w:after="0"/>
        <w:rPr>
          <w:sz w:val="20"/>
          <w:szCs w:val="20"/>
          <w:color w:val="auto"/>
        </w:rPr>
      </w:pPr>
      <w:r>
        <w:rPr>
          <w:rFonts w:ascii="Courier New" w:cs="Courier New" w:eastAsia="Courier New" w:hAnsi="Courier New"/>
          <w:sz w:val="16"/>
          <w:szCs w:val="16"/>
          <w:color w:val="auto"/>
        </w:rPr>
        <w:t>The company's overall gross margin percentage improved significantly in</w:t>
      </w:r>
    </w:p>
    <w:p>
      <w:pPr>
        <w:spacing w:after="0" w:line="2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1994 as compared to 1993 due to relatively stable selling prices and reductions in cost per unit of memory sold for DRAM products. Reductions in costs per unit sold were realized primarily from a combination of increased wafer output, yield improvements, die shrinks, and transitions to higher density memory products.</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Internal qualification is under way on the 16 Meg DRAM in a 300 mil package, which is expected to be the preferred market package. Manufacturing yields associated with the 16 Meg DRAM are currently lower than those for the company's more mature products. A shift to the 300 mil package 16 Meg DRAM as the industry's primary product without significant improvement in the company's manufacturing yields would have a negative impact on the results of operations.</w:t>
      </w:r>
    </w:p>
    <w:p>
      <w:pPr>
        <w:spacing w:after="0" w:line="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44" w:right="1440" w:bottom="1440" w:gutter="0" w:footer="0" w:header="0"/>
        </w:sectPr>
      </w:pPr>
    </w:p>
    <w:bookmarkStart w:id="19" w:name="page20"/>
    <w:bookmarkEnd w:id="19"/>
    <w:p>
      <w:pPr>
        <w:ind w:right="2519" w:firstLine="527"/>
        <w:spacing w:after="0" w:line="237" w:lineRule="auto"/>
        <w:rPr>
          <w:sz w:val="20"/>
          <w:szCs w:val="20"/>
          <w:color w:val="auto"/>
        </w:rPr>
      </w:pPr>
      <w:r>
        <w:rPr>
          <w:rFonts w:ascii="Courier New" w:cs="Courier New" w:eastAsia="Courier New" w:hAnsi="Courier New"/>
          <w:sz w:val="18"/>
          <w:szCs w:val="18"/>
          <w:color w:val="auto"/>
        </w:rPr>
        <w:t>Sales of personal computers, and custom modules and boards accounted for approximately 8% and 7%, respectively, of total net sales for 1994. Gross margin percentages for such products are substantially lower than the gross margins currently realized for the company's primary semiconductor products. Should sales of personal computers and custom modules and boards increase as a percentage of total net sales, the company's overall gross margin percentage would decrease. Sales of personal computers for 1993 and 1992 were approximately 4% and 2%, respectively. Net sales for custom modules and boards for 1993 and 1992 were approximately 7% and 8%, respectively.</w:t>
      </w:r>
    </w:p>
    <w:p>
      <w:pPr>
        <w:spacing w:after="0" w:line="215"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Cost of goods sold includes estimated costs of settlement or adjudication of asserted and unasserted claims for patent infringement prior to the balance sheet date, and costs of product and process technology licensing arrangements. The charges for product and process technology have remained relatively constant as a percentage of net sales across all periods presented. Future product and process technology charges may increase, however, as a result of claims that may be asserted in the future. See "Certain Factors".</w:t>
      </w: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Similar to the factors leading to the increase in gross margin comparing</w:t>
      </w:r>
    </w:p>
    <w:p>
      <w:pPr>
        <w:spacing w:after="0" w:line="21"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1994 to 1993, the increase in gross margin in 1993 as compared to 1992 was primarily due to reductions in cost per unit of memory sold realized primarily from die shrinks and yield improvements, and slightly higher average selling prices for DRAM products. These factors were partially offset by increases in amortization of product and process technology associated with a higher level of net sales, and by generally lower average selling prices for SRAM and specialty DRAM products.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8"/>
                <w:szCs w:val="18"/>
                <w:color w:val="auto"/>
                <w:w w:val="97"/>
              </w:rPr>
              <w:t>1994</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Change</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Selling, general, and</w:t>
            </w: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$135.7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8.3%</w:t>
            </w:r>
          </w:p>
        </w:tc>
        <w:tc>
          <w:tcPr>
            <w:tcW w:w="1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w:t>
            </w:r>
          </w:p>
        </w:tc>
        <w:tc>
          <w:tcPr>
            <w:tcW w:w="1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r>
    </w:tbl>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Selling, general, and administrative expenses increased in 1994 as compared to 1993, but decreased as a percentage of net sales. The higher level of selling, general, and administrative expenses for 1994 as compared to 1993 was principally due to higher personnel costs; increased costs incurred in conjunction with the company's action before the International Trade Commission and patent litigation, each of which has been settled; increased sales commissions based on a higher level of net sales; and a higher level of state sales tax. The higher personnel costs in 1994 were principally due to an increase in amounts paid under the company's profit sharing programs. The increase in selling, general, and administrative expenses for 1993 compared to 1992 was principally due to a combination of higher personnel costs, increased sales commissions, settlement costs for the shareholders' class action lawsuit, legal fees associated with the shareholders' suit, and patent litigation.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Change</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1993</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Change</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Research and development</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$83.4</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45.5%</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$57.3</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20.4%</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w w:val="92"/>
              </w:rPr>
              <w:t>$47.6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w:t>
            </w:r>
          </w:p>
        </w:tc>
        <w:tc>
          <w:tcPr>
            <w:tcW w:w="138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6.9%</w:t>
            </w:r>
          </w:p>
        </w:tc>
        <w:tc>
          <w:tcPr>
            <w:tcW w:w="132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9.4%</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Research and development expenses, which vary primarily with the number of wafers and personnel dedicated to new product and process development, were higher for 1994 compared to 1993, but decreased as a percentage of net sales. Efforts in 1994 were focused primarily on development of the 16 Meg DRAM, and design and development of the 64 Meg DRAM and the 4 Meg and 16 Meg SRAMs. Development of VRAMs beyond the company's current 2 Meg generation has been terminated as the company pursues development of more cost-effective alternatives for graphics applications. The company expects research and development expense in the next year to be higher than 1994 as additional resources are dedicated to development of the 16 Meg and 64 Meg DRAMs and to design and develop the 256 Meg DRAM, as well as design and development of new technologies related to radio frequency identification products, nonvolatile semiconductor memory devices, and flat panel field emission displays.</w:t>
      </w:r>
    </w:p>
    <w:p>
      <w:pPr>
        <w:spacing w:after="0" w:line="200" w:lineRule="exact"/>
        <w:rPr>
          <w:sz w:val="20"/>
          <w:szCs w:val="20"/>
          <w:color w:val="auto"/>
        </w:rPr>
      </w:pPr>
    </w:p>
    <w:p>
      <w:pPr>
        <w:spacing w:after="0" w:line="205" w:lineRule="exact"/>
        <w:rPr>
          <w:sz w:val="20"/>
          <w:szCs w:val="20"/>
          <w:color w:val="auto"/>
        </w:rPr>
      </w:pPr>
    </w:p>
    <w:p>
      <w:pPr>
        <w:jc w:val="both"/>
        <w:ind w:left="2960"/>
        <w:spacing w:after="0"/>
        <w:tabs>
          <w:tab w:leader="none" w:pos="3880" w:val="left"/>
          <w:tab w:leader="none" w:pos="5360" w:val="left"/>
          <w:tab w:leader="none" w:pos="6300" w:val="left"/>
          <w:tab w:leader="none" w:pos="768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 Change</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 Change</w:t>
      </w:r>
      <w:r>
        <w:rPr>
          <w:sz w:val="20"/>
          <w:szCs w:val="20"/>
          <w:color w:val="auto"/>
        </w:rPr>
        <w:tab/>
      </w:r>
      <w:r>
        <w:rPr>
          <w:rFonts w:ascii="Courier New" w:cs="Courier New" w:eastAsia="Courier New" w:hAnsi="Courier New"/>
          <w:sz w:val="16"/>
          <w:szCs w:val="16"/>
          <w:color w:val="auto"/>
        </w:rPr>
        <w:t>1992</w:t>
      </w:r>
    </w:p>
    <w:p>
      <w:pPr>
        <w:sectPr>
          <w:pgSz w:w="11900" w:h="16838" w:orient="portrait"/>
          <w:cols w:equalWidth="0" w:num="1">
            <w:col w:w="10219"/>
          </w:cols>
          <w:pgMar w:left="240" w:top="723" w:right="1440"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$225.3</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285%</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$58.5</w:t>
            </w: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1,850%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bl>
    <w:p>
      <w:pPr>
        <w:spacing w:after="0" w:line="200" w:lineRule="exact"/>
        <w:rPr>
          <w:sz w:val="20"/>
          <w:szCs w:val="20"/>
          <w:color w:val="auto"/>
        </w:rPr>
      </w:pP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effective tax rate for 1994 was 36% which primarily reflects the statutory corporate tax rate and the net effect of state taxation. State taxes reflect the utilization of $20 million of investment tax credits. The effective tax rate for 1993 and 1992 was 36% and 31%, respectively. Effective September 3, 1993, the company adopted Statement of Financial Accounting Standards (SFAS) No. 109, "Accounting for Income Taxes." Adoption of SFAS No. 109 did not have a material effect on the company's financial position or results of operations.</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company had cash and liquid investments of $433 million as of September 1, 1994, representing an increase of $247 million during 1994. The company's principal sources of liquidity during 1994 were cash flows from operations of $558 million, equipment financing of $126 million, issuance of long-term debt of $119 million, and proceeds of $12 million from the issuance of common stock in connection with the company's employee stock purchase and stock option plans. The principal uses of funds in 1994 were $251 million for property, plant, and equipment, $119 million for repayments of equipment contracts, $46 million for payments on long-term debt, $18 million for acquisition and license of product and process technology, and $12 million for payments of cash dividends.</w:t>
      </w:r>
    </w:p>
    <w:p>
      <w:pPr>
        <w:spacing w:after="0" w:line="188"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As of September 1, 1994, the company had commitments of approximately $290 million for equipment purchases and approximately $28 million for the construction of buildings. Anticipated capital expenditures are primarily for remodels and upgrades of existing fabrication facilities and equipment, including upgrading manufacturing equipment to 8-inch wafer processing capability, qualification of a newly constructed central implant facility and a .25 micron 8-inch research and development facility, and construction of an additional assembly and test facility. Completion of these and future projects as currently anticipated will require substantial cash resources including significant payments out of the company's cash flow from near-term operations.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company's bank credit agreements provide for borrowings of up to $130 million under revolving loans expiring through May 1997. Substantially all of the tangible assets of the company's semiconductor memory, and custom manufacturing and component recovery operations not otherwise pledged as collateral for other notes payable and capital leases are pledged as collateral under the agreements. The agreements contain certain financial covenants, including a limitation on the transfer of funds from consolidated subsidiaries to Micron Technology, Inc. The limitation on transfer of funds is not expected to impair the ability of the company to meet its cash obligations. As of September 1, 1994, the company had no borrowings outstanding under the agreements.</w:t>
      </w:r>
    </w:p>
    <w:p>
      <w:pPr>
        <w:spacing w:after="0" w:line="216"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company believes continuing investments in manufacturing technology, facilities and capital equipment, research and development, and product</w:t>
      </w:r>
    </w:p>
    <w:p>
      <w:pPr>
        <w:ind w:right="2619"/>
        <w:spacing w:after="0" w:line="237" w:lineRule="auto"/>
        <w:rPr>
          <w:sz w:val="20"/>
          <w:szCs w:val="20"/>
          <w:color w:val="auto"/>
        </w:rPr>
      </w:pPr>
      <w:r>
        <w:rPr>
          <w:rFonts w:ascii="Courier New" w:cs="Courier New" w:eastAsia="Courier New" w:hAnsi="Courier New"/>
          <w:sz w:val="18"/>
          <w:szCs w:val="18"/>
          <w:color w:val="auto"/>
        </w:rPr>
        <w:t>and process technology are necessary to support future growth, achieve operating efficiencies, and maintain product quality. Although external sources of cash have been required historically to supplement the company's cash flows from operations to fund these ongoing investments, the company currently expects that it will be able to fund its near-term liquidity needs through cash flows from operations, existing cash and liquid investment balances, and equipment financings. Depending on overall market conditions, the company may borrow amounts available under the bank credit agreements or pursue other external sources of liquidity.</w:t>
      </w:r>
    </w:p>
    <w:p>
      <w:pPr>
        <w:spacing w:after="0" w:line="7"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1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circumstances historically have made the semiconductor industry highly cyclical, particularly in the market for DRAMs, which are the company's primary products. Demand for semiconductor memory products has grown, fueled primarily by growth in the personal computer industry. Many of the company's competitors are adding new facilities designed to process 8-inch wafers which have approximately 84% greater usable surface area than the 6-inch wafer currently used by the company. Many competitors are believed to be running their 16 Meg DRAM manufacturing operations at significantly lower yields than would be expected when such products mature. Yield improvements by these competitors would dramatically increase semiconductor memory capacity. Excess supply as a result of increased semiconductor manufacturing capacity, adverse market conditions, or currency fluctuations resulting in a strengthening dollar against the yen, could result in downward pricing pressure. A decline in the current favorable product pricing would have a material adverse effect on the company's results of operations.</w:t>
      </w:r>
    </w:p>
    <w:p>
      <w:pPr>
        <w:spacing w:after="0" w:line="210"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manufacture of the company's semiconductor memory products is a complex process and involves a number of precise steps, including wafer fabrication, assembly in a variety of packages, burn-in, and final test. From time to time, the company has experienced volatility in its manufacturing yields, as it is not unusual to encounter difficulties in ramping shrink versions of existing devices or new generation devices to commercial volumes. The company continues to develop a reduced die size 16 Meg DRAM in a 300 mil package, which is expected to be the preferred market package.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 or at gross margin rates comparable to the company's current primary products.</w:t>
      </w:r>
    </w:p>
    <w:p>
      <w:pPr>
        <w:spacing w:after="0" w:line="388"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expiring in the next fiscal year. The company is not able to predict whether these license agreements can be renewed on terms acceptable to the company.</w:t>
      </w:r>
    </w:p>
    <w:p>
      <w:pPr>
        <w:jc w:val="right"/>
        <w:ind w:right="2199"/>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(This page intentionally left blank)</w:t>
      </w:r>
    </w:p>
    <w:p>
      <w:pPr>
        <w:jc w:val="right"/>
        <w:ind w:right="2199"/>
        <w:spacing w:after="0" w:line="238" w:lineRule="auto"/>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14"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7600" w:type="dxa"/>
            <w:vAlign w:val="bottom"/>
            <w:gridSpan w:val="2"/>
          </w:tcPr>
          <w:p>
            <w:pPr>
              <w:spacing w:after="0"/>
              <w:rPr>
                <w:sz w:val="20"/>
                <w:szCs w:val="20"/>
                <w:color w:val="auto"/>
              </w:rPr>
            </w:pPr>
            <w:r>
              <w:rPr>
                <w:rFonts w:ascii="Courier New" w:cs="Courier New" w:eastAsia="Courier New" w:hAnsi="Courier New"/>
                <w:sz w:val="18"/>
                <w:szCs w:val="18"/>
                <w:color w:val="auto"/>
              </w:rPr>
              <w:t>Item 8. Financial Statements and Supplementary Data</w:t>
            </w:r>
          </w:p>
        </w:tc>
        <w:tc>
          <w:tcPr>
            <w:tcW w:w="420" w:type="dxa"/>
            <w:vAlign w:val="bottom"/>
          </w:tcPr>
          <w:p>
            <w:pPr>
              <w:spacing w:after="0"/>
              <w:rPr>
                <w:sz w:val="17"/>
                <w:szCs w:val="17"/>
                <w:color w:val="auto"/>
              </w:rPr>
            </w:pPr>
          </w:p>
        </w:tc>
      </w:tr>
      <w:tr>
        <w:trPr>
          <w:trHeight w:val="405"/>
        </w:trPr>
        <w:tc>
          <w:tcPr>
            <w:tcW w:w="7600" w:type="dxa"/>
            <w:vAlign w:val="bottom"/>
            <w:gridSpan w:val="2"/>
          </w:tcPr>
          <w:p>
            <w:pPr>
              <w:spacing w:after="0"/>
              <w:rPr>
                <w:sz w:val="20"/>
                <w:szCs w:val="20"/>
                <w:color w:val="auto"/>
              </w:rPr>
            </w:pPr>
            <w:r>
              <w:rPr>
                <w:rFonts w:ascii="Courier New" w:cs="Courier New" w:eastAsia="Courier New" w:hAnsi="Courier New"/>
                <w:sz w:val="18"/>
                <w:szCs w:val="18"/>
                <w:color w:val="auto"/>
              </w:rPr>
              <w:t>Index to Consolidated Financial Statements</w:t>
            </w:r>
          </w:p>
        </w:tc>
        <w:tc>
          <w:tcPr>
            <w:tcW w:w="42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Page</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47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Consolidated Statements</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Operations  for...........................</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03"/>
        </w:trPr>
        <w:tc>
          <w:tcPr>
            <w:tcW w:w="7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Fiscal Years Ended September 1, 1994,</w:t>
            </w:r>
          </w:p>
        </w:tc>
        <w:tc>
          <w:tcPr>
            <w:tcW w:w="420" w:type="dxa"/>
            <w:vAlign w:val="bottom"/>
          </w:tcPr>
          <w:p>
            <w:pPr>
              <w:spacing w:after="0"/>
              <w:rPr>
                <w:sz w:val="17"/>
                <w:szCs w:val="17"/>
                <w:color w:val="auto"/>
              </w:rPr>
            </w:pPr>
          </w:p>
        </w:tc>
      </w:tr>
      <w:tr>
        <w:trPr>
          <w:trHeight w:val="203"/>
        </w:trPr>
        <w:tc>
          <w:tcPr>
            <w:tcW w:w="2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September 2, 1993, and</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3, 1992</w:t>
            </w:r>
          </w:p>
        </w:tc>
        <w:tc>
          <w:tcPr>
            <w:tcW w:w="420" w:type="dxa"/>
            <w:vAlign w:val="bottom"/>
          </w:tcPr>
          <w:p>
            <w:pPr>
              <w:spacing w:after="0"/>
              <w:rPr>
                <w:sz w:val="17"/>
                <w:szCs w:val="17"/>
                <w:color w:val="auto"/>
              </w:rPr>
            </w:pPr>
          </w:p>
        </w:tc>
      </w:tr>
      <w:tr>
        <w:trPr>
          <w:trHeight w:val="405"/>
        </w:trPr>
        <w:tc>
          <w:tcPr>
            <w:tcW w:w="802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8"/>
              </w:rPr>
              <w:t>Consolidated Balance Sheets as of September 1,.......................17</w:t>
            </w:r>
          </w:p>
        </w:tc>
      </w:tr>
      <w:tr>
        <w:trPr>
          <w:trHeight w:val="203"/>
        </w:trPr>
        <w:tc>
          <w:tcPr>
            <w:tcW w:w="2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1994, and September 2,</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r>
      <w:tr>
        <w:trPr>
          <w:trHeight w:val="405"/>
        </w:trPr>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Consolidated Statements</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5"/>
              </w:rPr>
              <w:t>of Shareholders'.............................</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18</w:t>
            </w:r>
          </w:p>
        </w:tc>
      </w:tr>
      <w:tr>
        <w:trPr>
          <w:trHeight w:val="203"/>
        </w:trPr>
        <w:tc>
          <w:tcPr>
            <w:tcW w:w="7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Equity for Fiscal Years Ended September 1,</w:t>
            </w:r>
          </w:p>
        </w:tc>
        <w:tc>
          <w:tcPr>
            <w:tcW w:w="420" w:type="dxa"/>
            <w:vAlign w:val="bottom"/>
          </w:tcPr>
          <w:p>
            <w:pPr>
              <w:spacing w:after="0"/>
              <w:rPr>
                <w:sz w:val="17"/>
                <w:szCs w:val="17"/>
                <w:color w:val="auto"/>
              </w:rPr>
            </w:pPr>
          </w:p>
        </w:tc>
      </w:tr>
      <w:tr>
        <w:trPr>
          <w:trHeight w:val="203"/>
        </w:trPr>
        <w:tc>
          <w:tcPr>
            <w:tcW w:w="7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1994, September 2, 1993, and September 3, 1992</w:t>
            </w:r>
          </w:p>
        </w:tc>
        <w:tc>
          <w:tcPr>
            <w:tcW w:w="420" w:type="dxa"/>
            <w:vAlign w:val="bottom"/>
          </w:tcPr>
          <w:p>
            <w:pPr>
              <w:spacing w:after="0"/>
              <w:rPr>
                <w:sz w:val="17"/>
                <w:szCs w:val="17"/>
                <w:color w:val="auto"/>
              </w:rPr>
            </w:pPr>
          </w:p>
        </w:tc>
      </w:tr>
      <w:tr>
        <w:trPr>
          <w:trHeight w:val="405"/>
        </w:trPr>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Consolidated Statements</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w w:val="95"/>
              </w:rPr>
              <w:t>of Cash Flows for............................</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19</w:t>
            </w:r>
          </w:p>
        </w:tc>
      </w:tr>
      <w:tr>
        <w:trPr>
          <w:trHeight w:val="203"/>
        </w:trPr>
        <w:tc>
          <w:tcPr>
            <w:tcW w:w="7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Fiscal Years Ended September 1, 1994,</w:t>
            </w:r>
          </w:p>
        </w:tc>
        <w:tc>
          <w:tcPr>
            <w:tcW w:w="420" w:type="dxa"/>
            <w:vAlign w:val="bottom"/>
          </w:tcPr>
          <w:p>
            <w:pPr>
              <w:spacing w:after="0"/>
              <w:rPr>
                <w:sz w:val="17"/>
                <w:szCs w:val="17"/>
                <w:color w:val="auto"/>
              </w:rPr>
            </w:pPr>
          </w:p>
        </w:tc>
      </w:tr>
      <w:tr>
        <w:trPr>
          <w:trHeight w:val="203"/>
        </w:trPr>
        <w:tc>
          <w:tcPr>
            <w:tcW w:w="2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September 2, 1993, and</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3, 1992</w:t>
            </w:r>
          </w:p>
        </w:tc>
        <w:tc>
          <w:tcPr>
            <w:tcW w:w="420" w:type="dxa"/>
            <w:vAlign w:val="bottom"/>
          </w:tcPr>
          <w:p>
            <w:pPr>
              <w:spacing w:after="0"/>
              <w:rPr>
                <w:sz w:val="17"/>
                <w:szCs w:val="17"/>
                <w:color w:val="auto"/>
              </w:rPr>
            </w:pPr>
          </w:p>
        </w:tc>
      </w:tr>
      <w:tr>
        <w:trPr>
          <w:trHeight w:val="405"/>
        </w:trPr>
        <w:tc>
          <w:tcPr>
            <w:tcW w:w="76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Notes to Consolidated Financial Statements...........................</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76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Report of Independent Accountants....................................</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28</w:t>
            </w:r>
          </w:p>
        </w:tc>
      </w:tr>
    </w:tbl>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Financial Statement Schedules as of September 1, 1994, and for Fiscal Years Ended September 1, 1994, September 2, 1993, and September 3, 1992, are set forth as follows:</w:t>
      </w:r>
    </w:p>
    <w:p>
      <w:pPr>
        <w:spacing w:after="0" w:line="203" w:lineRule="exact"/>
        <w:rPr>
          <w:sz w:val="20"/>
          <w:szCs w:val="20"/>
          <w:color w:val="auto"/>
        </w:rPr>
      </w:pPr>
    </w:p>
    <w:p>
      <w:pPr>
        <w:ind w:left="420"/>
        <w:spacing w:after="0"/>
        <w:tabs>
          <w:tab w:leader="none" w:pos="840" w:val="left"/>
          <w:tab w:leader="dot" w:pos="7680" w:val="left"/>
        </w:tabs>
        <w:rPr>
          <w:sz w:val="20"/>
          <w:szCs w:val="20"/>
          <w:color w:val="auto"/>
        </w:rPr>
      </w:pPr>
      <w:r>
        <w:rPr>
          <w:rFonts w:ascii="Courier New" w:cs="Courier New" w:eastAsia="Courier New" w:hAnsi="Courier New"/>
          <w:sz w:val="18"/>
          <w:szCs w:val="18"/>
          <w:color w:val="auto"/>
        </w:rPr>
        <w:t>I.</w:t>
        <w:tab/>
        <w:t>Marketable Securities</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ind w:left="420"/>
        <w:spacing w:after="0"/>
        <w:tabs>
          <w:tab w:leader="none" w:pos="840" w:val="left"/>
          <w:tab w:leader="dot" w:pos="7680" w:val="left"/>
        </w:tabs>
        <w:rPr>
          <w:sz w:val="20"/>
          <w:szCs w:val="20"/>
          <w:color w:val="auto"/>
        </w:rPr>
      </w:pPr>
      <w:r>
        <w:rPr>
          <w:rFonts w:ascii="Courier New" w:cs="Courier New" w:eastAsia="Courier New" w:hAnsi="Courier New"/>
          <w:sz w:val="18"/>
          <w:szCs w:val="18"/>
          <w:color w:val="auto"/>
        </w:rPr>
        <w:t>V.</w:t>
        <w:tab/>
        <w:t>Property, Plant, and Equipment</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ind w:left="420"/>
        <w:spacing w:after="0"/>
        <w:tabs>
          <w:tab w:leader="dot" w:pos="7680" w:val="left"/>
        </w:tabs>
        <w:rPr>
          <w:sz w:val="20"/>
          <w:szCs w:val="20"/>
          <w:color w:val="auto"/>
        </w:rPr>
      </w:pPr>
      <w:r>
        <w:rPr>
          <w:rFonts w:ascii="Courier New" w:cs="Courier New" w:eastAsia="Courier New" w:hAnsi="Courier New"/>
          <w:sz w:val="18"/>
          <w:szCs w:val="18"/>
          <w:color w:val="auto"/>
        </w:rPr>
        <w:t>VI. Accumulated Depreciation and Amortization of</w:t>
      </w:r>
      <w:r>
        <w:rPr>
          <w:sz w:val="20"/>
          <w:szCs w:val="20"/>
          <w:color w:val="auto"/>
        </w:rPr>
        <w:tab/>
      </w:r>
      <w:r>
        <w:rPr>
          <w:rFonts w:ascii="Courier New" w:cs="Courier New" w:eastAsia="Courier New" w:hAnsi="Courier New"/>
          <w:sz w:val="16"/>
          <w:szCs w:val="16"/>
          <w:color w:val="auto"/>
        </w:rPr>
        <w:t>34</w:t>
      </w:r>
    </w:p>
    <w:p>
      <w:pPr>
        <w:ind w:left="860"/>
        <w:spacing w:after="0" w:line="238" w:lineRule="auto"/>
        <w:rPr>
          <w:sz w:val="20"/>
          <w:szCs w:val="20"/>
          <w:color w:val="auto"/>
        </w:rPr>
      </w:pPr>
      <w:r>
        <w:rPr>
          <w:rFonts w:ascii="Courier New" w:cs="Courier New" w:eastAsia="Courier New" w:hAnsi="Courier New"/>
          <w:sz w:val="18"/>
          <w:szCs w:val="18"/>
          <w:color w:val="auto"/>
        </w:rPr>
        <w:t>Property, Plant, and Equipment</w:t>
      </w:r>
    </w:p>
    <w:p>
      <w:pPr>
        <w:ind w:left="420"/>
        <w:spacing w:after="0"/>
        <w:tabs>
          <w:tab w:leader="none" w:pos="840" w:val="left"/>
          <w:tab w:leader="dot" w:pos="7680" w:val="left"/>
        </w:tabs>
        <w:rPr>
          <w:sz w:val="20"/>
          <w:szCs w:val="20"/>
          <w:color w:val="auto"/>
        </w:rPr>
      </w:pPr>
      <w:r>
        <w:rPr>
          <w:rFonts w:ascii="Courier New" w:cs="Courier New" w:eastAsia="Courier New" w:hAnsi="Courier New"/>
          <w:sz w:val="18"/>
          <w:szCs w:val="18"/>
          <w:color w:val="auto"/>
        </w:rPr>
        <w:t>X.</w:t>
        <w:tab/>
        <w:t>Supplementary Income Statement Information</w:t>
      </w:r>
      <w:r>
        <w:rPr>
          <w:sz w:val="20"/>
          <w:szCs w:val="20"/>
          <w:color w:val="auto"/>
        </w:rPr>
        <w:tab/>
      </w:r>
      <w:r>
        <w:rPr>
          <w:rFonts w:ascii="Courier New" w:cs="Courier New" w:eastAsia="Courier New" w:hAnsi="Courier New"/>
          <w:sz w:val="16"/>
          <w:szCs w:val="16"/>
          <w:color w:val="auto"/>
        </w:rPr>
        <w:t>35</w:t>
      </w:r>
    </w:p>
    <w:p>
      <w:pPr>
        <w:spacing w:after="0" w:line="20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Financial statement schedules and captions other than those included are omitted because they are not required or are not applicable, or the required information is given in the consolidated financial statements including the notes thereto. Captions and column headings have been omitted where not applicable.</w:t>
      </w:r>
    </w:p>
    <w:p>
      <w:pPr>
        <w:ind w:left="78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rPr>
          <w:sz w:val="20"/>
          <w:szCs w:val="20"/>
          <w:color w:val="auto"/>
        </w:rPr>
      </w:pPr>
      <w:r>
        <w:rPr>
          <w:rFonts w:ascii="Courier New" w:cs="Courier New" w:eastAsia="Courier New" w:hAnsi="Courier New"/>
          <w:sz w:val="18"/>
          <w:szCs w:val="18"/>
          <w:color w:val="auto"/>
        </w:rPr>
        <w:t>(Amounts in millions, except for per share amounts)</w:t>
      </w:r>
    </w:p>
    <w:p>
      <w:pPr>
        <w:spacing w:after="0" w:line="200" w:lineRule="exact"/>
        <w:rPr>
          <w:sz w:val="20"/>
          <w:szCs w:val="20"/>
          <w:color w:val="auto"/>
        </w:rPr>
      </w:pPr>
    </w:p>
    <w:p>
      <w:pPr>
        <w:spacing w:after="0" w:line="209" w:lineRule="exact"/>
        <w:rPr>
          <w:sz w:val="20"/>
          <w:szCs w:val="20"/>
          <w:color w:val="auto"/>
        </w:rPr>
      </w:pPr>
    </w:p>
    <w:p>
      <w:pPr>
        <w:ind w:right="1779" w:firstLine="4003"/>
        <w:spacing w:after="0" w:line="235" w:lineRule="auto"/>
        <w:rPr>
          <w:sz w:val="20"/>
          <w:szCs w:val="20"/>
          <w:color w:val="auto"/>
        </w:rPr>
      </w:pPr>
      <w:r>
        <w:rPr>
          <w:rFonts w:ascii="Courier New" w:cs="Courier New" w:eastAsia="Courier New" w:hAnsi="Courier New"/>
          <w:sz w:val="18"/>
          <w:szCs w:val="18"/>
          <w:color w:val="auto"/>
        </w:rPr>
        <w:t>September 1, September 2, September 3, Fiscal year ended 1994 1993 1992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$1,628.6</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$828.3</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$506.3</w:t>
            </w:r>
          </w:p>
        </w:tc>
      </w:tr>
      <w:tr>
        <w:trPr>
          <w:trHeight w:val="203"/>
        </w:trPr>
        <w:tc>
          <w:tcPr>
            <w:tcW w:w="4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789.4</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517.2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390.3</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Selling, general, and administrative</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135.7</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83.4</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57.3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w:t>
            </w:r>
          </w:p>
        </w:tc>
      </w:tr>
      <w:tr>
        <w:trPr>
          <w:trHeight w:val="203"/>
        </w:trPr>
        <w:tc>
          <w:tcPr>
            <w:tcW w:w="4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1,008.5</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662.4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492.6</w:t>
            </w:r>
          </w:p>
        </w:tc>
      </w:tr>
      <w:tr>
        <w:trPr>
          <w:trHeight w:val="203"/>
        </w:trPr>
        <w:tc>
          <w:tcPr>
            <w:tcW w:w="4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620.1</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(expense), net</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625.8</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162.6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225.3</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$400.5</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$104.1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$ 6.6</w:t>
            </w:r>
          </w:p>
        </w:tc>
      </w:tr>
      <w:tr>
        <w:trPr>
          <w:trHeight w:val="203"/>
        </w:trPr>
        <w:tc>
          <w:tcPr>
            <w:tcW w:w="40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$3.83</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 used in per share calculation:</w:t>
            </w: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104.5</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97.3</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105.2</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101.3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ind w:left="7800"/>
        <w:spacing w:after="0" w:line="238" w:lineRule="auto"/>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rPr>
          <w:sz w:val="20"/>
          <w:szCs w:val="20"/>
          <w:color w:val="auto"/>
        </w:rPr>
      </w:pPr>
      <w:r>
        <w:rPr>
          <w:rFonts w:ascii="Courier New" w:cs="Courier New" w:eastAsia="Courier New" w:hAnsi="Courier New"/>
          <w:sz w:val="18"/>
          <w:szCs w:val="18"/>
          <w:color w:val="auto"/>
        </w:rPr>
        <w:t>(Dollars in millions, except for par value amount)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00"/>
        <w:spacing w:after="0"/>
        <w:tabs>
          <w:tab w:leader="none" w:pos="7160" w:val="left"/>
        </w:tabs>
        <w:rPr>
          <w:sz w:val="20"/>
          <w:szCs w:val="20"/>
          <w:color w:val="auto"/>
        </w:rPr>
      </w:pPr>
      <w:r>
        <w:rPr>
          <w:rFonts w:ascii="Courier New" w:cs="Courier New" w:eastAsia="Courier New" w:hAnsi="Courier New"/>
          <w:sz w:val="18"/>
          <w:szCs w:val="18"/>
          <w:color w:val="auto"/>
        </w:rPr>
        <w:t>September 1,</w:t>
      </w:r>
      <w:r>
        <w:rPr>
          <w:sz w:val="20"/>
          <w:szCs w:val="20"/>
          <w:color w:val="auto"/>
        </w:rPr>
        <w:tab/>
      </w:r>
      <w:r>
        <w:rPr>
          <w:rFonts w:ascii="Courier New" w:cs="Courier New" w:eastAsia="Courier New" w:hAnsi="Courier New"/>
          <w:sz w:val="16"/>
          <w:szCs w:val="16"/>
          <w:color w:val="auto"/>
        </w:rPr>
        <w:t>September 2,</w:t>
      </w:r>
    </w:p>
    <w:p>
      <w:pPr>
        <w:spacing w:after="0"/>
        <w:tabs>
          <w:tab w:leader="none" w:pos="6000" w:val="left"/>
          <w:tab w:leader="none" w:pos="7460" w:val="left"/>
        </w:tabs>
        <w:rPr>
          <w:sz w:val="20"/>
          <w:szCs w:val="20"/>
          <w:color w:val="auto"/>
        </w:rPr>
      </w:pPr>
      <w:r>
        <w:rPr>
          <w:rFonts w:ascii="Courier New" w:cs="Courier New" w:eastAsia="Courier New" w:hAnsi="Courier New"/>
          <w:sz w:val="18"/>
          <w:szCs w:val="18"/>
          <w:color w:val="auto"/>
        </w:rPr>
        <w:t>Fiscal year ended</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1993</w:t>
      </w:r>
    </w:p>
    <w:p>
      <w:pPr>
        <w:spacing w:after="0" w:line="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Cash and equivalents</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$78.4</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$47.5</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354.6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138.3</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154.7</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83.2</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793.2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440.1</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48.2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69.7</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663.5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437.8</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$1,529.7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$965.7</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Accounts payable and accrued expenses</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$155.0</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274.2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210.8</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124.7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54.4</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326.2</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$0.10 par value, authorized</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150.0 million shares, issued and</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101.9 and 95.8 million shares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369.7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353.3</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670.8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Unamortized stock compensation</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1,049.3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639.5</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$1,529.7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$965.7</w:t>
            </w:r>
          </w:p>
        </w:tc>
      </w:tr>
      <w:tr>
        <w:trPr>
          <w:trHeight w:val="203"/>
        </w:trPr>
        <w:tc>
          <w:tcPr>
            <w:tcW w:w="532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ind w:left="7800"/>
        <w:spacing w:after="0" w:line="238" w:lineRule="auto"/>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1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Consolidated Statements of Shareholders' Equity</w:t>
      </w:r>
    </w:p>
    <w:p>
      <w:pPr>
        <w:spacing w:after="0"/>
        <w:rPr>
          <w:sz w:val="20"/>
          <w:szCs w:val="20"/>
          <w:color w:val="auto"/>
        </w:rPr>
      </w:pPr>
      <w:r>
        <w:rPr>
          <w:rFonts w:ascii="Courier New" w:cs="Courier New" w:eastAsia="Courier New" w:hAnsi="Courier New"/>
          <w:sz w:val="18"/>
          <w:szCs w:val="18"/>
          <w:color w:val="auto"/>
        </w:rPr>
        <w:t>(Dollars and shares in millions)</w:t>
      </w:r>
    </w:p>
    <w:p>
      <w:pPr>
        <w:spacing w:after="0" w:line="200" w:lineRule="exact"/>
        <w:rPr>
          <w:sz w:val="20"/>
          <w:szCs w:val="20"/>
          <w:color w:val="auto"/>
        </w:rPr>
      </w:pPr>
    </w:p>
    <w:p>
      <w:pPr>
        <w:spacing w:after="0" w:line="203" w:lineRule="exact"/>
        <w:rPr>
          <w:sz w:val="20"/>
          <w:szCs w:val="20"/>
          <w:color w:val="auto"/>
        </w:rPr>
      </w:pPr>
    </w:p>
    <w:p>
      <w:pPr>
        <w:ind w:left="3280"/>
        <w:spacing w:after="0"/>
        <w:tabs>
          <w:tab w:leader="none" w:pos="5140" w:val="left"/>
          <w:tab w:leader="none" w:pos="7040" w:val="left"/>
        </w:tabs>
        <w:rPr>
          <w:sz w:val="20"/>
          <w:szCs w:val="20"/>
          <w:color w:val="auto"/>
        </w:rPr>
      </w:pPr>
      <w:r>
        <w:rPr>
          <w:rFonts w:ascii="Courier New" w:cs="Courier New" w:eastAsia="Courier New" w:hAnsi="Courier New"/>
          <w:sz w:val="18"/>
          <w:szCs w:val="18"/>
          <w:color w:val="auto"/>
        </w:rPr>
        <w:t>September 1,</w:t>
      </w:r>
      <w:r>
        <w:rPr>
          <w:sz w:val="20"/>
          <w:szCs w:val="20"/>
          <w:color w:val="auto"/>
        </w:rPr>
        <w:tab/>
      </w:r>
      <w:r>
        <w:rPr>
          <w:rFonts w:ascii="Courier New" w:cs="Courier New" w:eastAsia="Courier New" w:hAnsi="Courier New"/>
          <w:sz w:val="18"/>
          <w:szCs w:val="18"/>
          <w:color w:val="auto"/>
        </w:rPr>
        <w:t>September 2,</w:t>
      </w:r>
      <w:r>
        <w:rPr>
          <w:sz w:val="20"/>
          <w:szCs w:val="20"/>
          <w:color w:val="auto"/>
        </w:rPr>
        <w:tab/>
      </w:r>
      <w:r>
        <w:rPr>
          <w:rFonts w:ascii="Courier New" w:cs="Courier New" w:eastAsia="Courier New" w:hAnsi="Courier New"/>
          <w:sz w:val="16"/>
          <w:szCs w:val="16"/>
          <w:color w:val="auto"/>
        </w:rPr>
        <w:t>September 3,</w:t>
      </w:r>
    </w:p>
    <w:p>
      <w:pPr>
        <w:ind w:left="3700"/>
        <w:spacing w:after="0"/>
        <w:tabs>
          <w:tab w:leader="none" w:pos="5460" w:val="left"/>
          <w:tab w:leader="none" w:pos="73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6"/>
          <w:szCs w:val="16"/>
          <w:color w:val="auto"/>
        </w:rPr>
        <w:t>1992</w:t>
      </w:r>
    </w:p>
    <w:p>
      <w:pPr>
        <w:spacing w:after="0"/>
        <w:tabs>
          <w:tab w:leader="none" w:pos="3140" w:val="left"/>
          <w:tab w:leader="none" w:pos="4000" w:val="left"/>
          <w:tab w:leader="none" w:pos="5040" w:val="left"/>
          <w:tab w:leader="none" w:pos="5880" w:val="left"/>
          <w:tab w:leader="none" w:pos="6840" w:val="left"/>
          <w:tab w:leader="none" w:pos="7680" w:val="left"/>
        </w:tabs>
        <w:rPr>
          <w:sz w:val="20"/>
          <w:szCs w:val="20"/>
          <w:color w:val="auto"/>
        </w:rPr>
      </w:pPr>
      <w:r>
        <w:rPr>
          <w:rFonts w:ascii="Courier New" w:cs="Courier New" w:eastAsia="Courier New" w:hAnsi="Courier New"/>
          <w:sz w:val="18"/>
          <w:szCs w:val="18"/>
          <w:color w:val="auto"/>
        </w:rPr>
        <w:t>Fiscal year ended</w:t>
      </w:r>
      <w:r>
        <w:rPr>
          <w:sz w:val="20"/>
          <w:szCs w:val="20"/>
          <w:color w:val="auto"/>
        </w:rPr>
        <w:tab/>
      </w:r>
      <w:r>
        <w:rPr>
          <w:rFonts w:ascii="Courier New" w:cs="Courier New" w:eastAsia="Courier New" w:hAnsi="Courier New"/>
          <w:sz w:val="18"/>
          <w:szCs w:val="18"/>
          <w:color w:val="auto"/>
        </w:rPr>
        <w:t>Shares</w:t>
        <w:tab/>
        <w:t>Amount</w:t>
      </w:r>
      <w:r>
        <w:rPr>
          <w:sz w:val="20"/>
          <w:szCs w:val="20"/>
          <w:color w:val="auto"/>
        </w:rPr>
        <w:tab/>
      </w:r>
      <w:r>
        <w:rPr>
          <w:rFonts w:ascii="Courier New" w:cs="Courier New" w:eastAsia="Courier New" w:hAnsi="Courier New"/>
          <w:sz w:val="18"/>
          <w:szCs w:val="18"/>
          <w:color w:val="auto"/>
        </w:rPr>
        <w:t>Shares</w:t>
        <w:tab/>
        <w:t>Amount</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1860" w:type="dxa"/>
            <w:vAlign w:val="bottom"/>
          </w:tcPr>
          <w:p>
            <w:pPr>
              <w:spacing w:after="0"/>
              <w:rPr>
                <w:sz w:val="20"/>
                <w:szCs w:val="20"/>
                <w:color w:val="auto"/>
              </w:rPr>
            </w:pPr>
            <w:r>
              <w:rPr>
                <w:rFonts w:ascii="Courier New" w:cs="Courier New" w:eastAsia="Courier New" w:hAnsi="Courier New"/>
                <w:sz w:val="18"/>
                <w:szCs w:val="18"/>
                <w:color w:val="auto"/>
              </w:rPr>
              <w:t>beginning of year</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40.1</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4.0</w:t>
            </w:r>
          </w:p>
        </w:tc>
        <w:tc>
          <w:tcPr>
            <w:tcW w:w="8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38.3</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sold</w:t>
            </w:r>
          </w:p>
        </w:tc>
        <w:tc>
          <w:tcPr>
            <w:tcW w:w="18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w:t>
            </w: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Stock split</w:t>
            </w:r>
          </w:p>
        </w:tc>
        <w:tc>
          <w:tcPr>
            <w:tcW w:w="18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Treasury stock retired</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w:t>
            </w: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year</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$ 10.2</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of year</w:t>
            </w: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$353.3</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$327.2</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$315.1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sold</w:t>
            </w: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option plan</w:t>
            </w: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Tax effect</w:t>
            </w:r>
          </w:p>
        </w:tc>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stock purchase plans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Stock split</w:t>
            </w: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Treasury stock retired</w:t>
            </w: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year</w:t>
            </w: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$369.7</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$353.3</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$327.2</w:t>
            </w:r>
          </w:p>
        </w:tc>
      </w:tr>
      <w:tr>
        <w:trPr>
          <w:trHeight w:val="203"/>
        </w:trPr>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1860" w:type="dxa"/>
            <w:vAlign w:val="bottom"/>
          </w:tcPr>
          <w:p>
            <w:pPr>
              <w:spacing w:after="0"/>
              <w:rPr>
                <w:sz w:val="20"/>
                <w:szCs w:val="20"/>
                <w:color w:val="auto"/>
              </w:rPr>
            </w:pPr>
            <w:r>
              <w:rPr>
                <w:rFonts w:ascii="Courier New" w:cs="Courier New" w:eastAsia="Courier New" w:hAnsi="Courier New"/>
                <w:sz w:val="18"/>
                <w:szCs w:val="18"/>
                <w:color w:val="auto"/>
              </w:rPr>
              <w:t>beginning of year</w:t>
            </w:r>
          </w:p>
        </w:tc>
        <w:tc>
          <w:tcPr>
            <w:tcW w:w="84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$282.5</w:t>
            </w:r>
          </w:p>
        </w:tc>
        <w:tc>
          <w:tcPr>
            <w:tcW w:w="840" w:type="dxa"/>
            <w:vAlign w:val="bottom"/>
          </w:tcPr>
          <w:p>
            <w:pPr>
              <w:spacing w:after="0"/>
              <w:rPr>
                <w:sz w:val="24"/>
                <w:szCs w:val="24"/>
                <w:color w:val="auto"/>
              </w:rPr>
            </w:pPr>
          </w:p>
        </w:tc>
        <w:tc>
          <w:tcPr>
            <w:tcW w:w="1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$180.3</w:t>
            </w:r>
          </w:p>
        </w:tc>
        <w:tc>
          <w:tcPr>
            <w:tcW w:w="860" w:type="dxa"/>
            <w:vAlign w:val="bottom"/>
          </w:tcPr>
          <w:p>
            <w:pPr>
              <w:spacing w:after="0"/>
              <w:rPr>
                <w:sz w:val="24"/>
                <w:szCs w:val="24"/>
                <w:color w:val="auto"/>
              </w:rPr>
            </w:pP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$176.4</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400.5</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104.1</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84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Treasury stock retired</w:t>
            </w: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year</w:t>
            </w: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$670.8</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$282.5</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$180.3</w:t>
            </w:r>
          </w:p>
        </w:tc>
      </w:tr>
      <w:tr>
        <w:trPr>
          <w:trHeight w:val="203"/>
        </w:trPr>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gridSpan w:val="3"/>
          </w:tcPr>
          <w:p>
            <w:pPr>
              <w:spacing w:after="0"/>
              <w:rPr>
                <w:sz w:val="20"/>
                <w:szCs w:val="20"/>
                <w:color w:val="auto"/>
              </w:rPr>
            </w:pPr>
            <w:r>
              <w:rPr>
                <w:rFonts w:ascii="Courier New" w:cs="Courier New" w:eastAsia="Courier New" w:hAnsi="Courier New"/>
                <w:sz w:val="18"/>
                <w:szCs w:val="18"/>
                <w:color w:val="auto"/>
              </w:rPr>
              <w:t>Unamortized stock compensation</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1860" w:type="dxa"/>
            <w:vAlign w:val="bottom"/>
          </w:tcPr>
          <w:p>
            <w:pPr>
              <w:spacing w:after="0"/>
              <w:rPr>
                <w:sz w:val="20"/>
                <w:szCs w:val="20"/>
                <w:color w:val="auto"/>
              </w:rPr>
            </w:pPr>
            <w:r>
              <w:rPr>
                <w:rFonts w:ascii="Courier New" w:cs="Courier New" w:eastAsia="Courier New" w:hAnsi="Courier New"/>
                <w:sz w:val="18"/>
                <w:szCs w:val="18"/>
                <w:color w:val="auto"/>
              </w:rPr>
              <w:t>beginning of year</w:t>
            </w:r>
          </w:p>
        </w:tc>
        <w:tc>
          <w:tcPr>
            <w:tcW w:w="84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(0.3)</w:t>
            </w:r>
          </w:p>
        </w:tc>
        <w:tc>
          <w:tcPr>
            <w:tcW w:w="840" w:type="dxa"/>
            <w:vAlign w:val="bottom"/>
          </w:tcPr>
          <w:p>
            <w:pPr>
              <w:spacing w:after="0"/>
              <w:rPr>
                <w:sz w:val="24"/>
                <w:szCs w:val="24"/>
                <w:color w:val="auto"/>
              </w:rPr>
            </w:pP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(0.2)</w:t>
            </w:r>
          </w:p>
        </w:tc>
        <w:tc>
          <w:tcPr>
            <w:tcW w:w="8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(0.5)</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option plan</w:t>
            </w:r>
          </w:p>
        </w:tc>
        <w:tc>
          <w:tcPr>
            <w:tcW w:w="84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Stock compensation amortization</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year</w:t>
            </w:r>
          </w:p>
        </w:tc>
        <w:tc>
          <w:tcPr>
            <w:tcW w:w="84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(1.4)</w:t>
            </w:r>
          </w:p>
        </w:tc>
        <w:tc>
          <w:tcPr>
            <w:tcW w:w="840" w:type="dxa"/>
            <w:vAlign w:val="bottom"/>
          </w:tcPr>
          <w:p>
            <w:pPr>
              <w:spacing w:after="0"/>
              <w:rPr>
                <w:sz w:val="17"/>
                <w:szCs w:val="17"/>
                <w:color w:val="auto"/>
              </w:rPr>
            </w:pP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(0.3)</w:t>
            </w:r>
          </w:p>
        </w:tc>
        <w:tc>
          <w:tcPr>
            <w:tcW w:w="8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(0.2)</w:t>
            </w:r>
          </w:p>
        </w:tc>
      </w:tr>
      <w:tr>
        <w:trPr>
          <w:trHeight w:val="203"/>
        </w:trPr>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ind w:left="7800"/>
        <w:spacing w:after="0" w:line="238" w:lineRule="auto"/>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1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spacing w:after="0"/>
        <w:rPr>
          <w:sz w:val="20"/>
          <w:szCs w:val="20"/>
          <w:color w:val="auto"/>
        </w:rPr>
      </w:pPr>
      <w:r>
        <w:rPr>
          <w:rFonts w:ascii="Courier New" w:cs="Courier New" w:eastAsia="Courier New" w:hAnsi="Courier New"/>
          <w:sz w:val="18"/>
          <w:szCs w:val="18"/>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4214"/>
        <w:spacing w:after="0" w:line="235" w:lineRule="auto"/>
        <w:rPr>
          <w:sz w:val="20"/>
          <w:szCs w:val="20"/>
          <w:color w:val="auto"/>
        </w:rPr>
      </w:pPr>
      <w:r>
        <w:rPr>
          <w:rFonts w:ascii="Courier New" w:cs="Courier New" w:eastAsia="Courier New" w:hAnsi="Courier New"/>
          <w:sz w:val="18"/>
          <w:szCs w:val="18"/>
          <w:color w:val="auto"/>
        </w:rPr>
        <w:t>September 1, September 2, September 3, Fiscal year ended 1994 1993 1992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$400.5</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$104.1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138.8</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111.9</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94.2</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(76.7)</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(14.2)</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(17.9)</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(decrease) in accounts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payable and accrued expenses</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96.2</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557.5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257.3</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108.3</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Purchase of investments</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(403.6)</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(218.0)</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(96.9)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and maturity of</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114.7</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105.7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property, plant, and</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(251.0)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(83.4)</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(50.9)</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Purchase of product and process technology (18.0)</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(479.8)</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(188.5)</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(46.9)</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Payments on equipment purchase contracts</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(119.3)</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(63.0)</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(44.5)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119.2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41.7</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(52.8)</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of dividends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(46.8)</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(57.0)</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(47.8)</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equivalents</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11.8</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Cash and equivalents at beginning of year</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35.7</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end of year</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  78.4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$ 47.5</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$ 35.7</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Income taxes (paid) refunded, net</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4"/>
              </w:rPr>
              <w:t>$(197.4)</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(6.6)</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w:t>
            </w: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acquisitions on contracts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payable and capital leases</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71.0</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51.4</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acquisition in exchange for</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license of product and process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technology</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product and process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technology in exchange for dept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retired</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ind w:left="7800"/>
        <w:spacing w:after="0" w:line="238" w:lineRule="auto"/>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1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rPr>
          <w:sz w:val="20"/>
          <w:szCs w:val="20"/>
          <w:color w:val="auto"/>
        </w:rPr>
      </w:pPr>
      <w:r>
        <w:rPr>
          <w:rFonts w:ascii="Courier New" w:cs="Courier New" w:eastAsia="Courier New" w:hAnsi="Courier New"/>
          <w:sz w:val="18"/>
          <w:szCs w:val="18"/>
          <w:color w:val="auto"/>
        </w:rPr>
        <w:t>(All tabular dollar and share amounts are stated in millions)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Accounting Policies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Basis of presentation: The consolidated financial statements include the accounts of Micron Technology, Inc., and its domestic and foreign subsidiaries (the "company"). The company develops, manufactures, and markets DRAMs, very fast SRAMs, other semiconductor components, board-level and system-level products, and personal computers. All significant intercompany accounts and transactions have been eliminated. Investments in other entities in which the company does not have control are accounted for by the cost method. The company's fiscal year ends on the Thursday closest to August 31. Fiscal years 1994 and 1993 contained fifty-two weeks compared to fifty-three weeks in 1992.</w:t>
      </w:r>
    </w:p>
    <w:p>
      <w:pPr>
        <w:spacing w:after="0" w:line="21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Revenue recognition: Revenue from product sales to direct customers is recognized upon shipment. The company defers recognition of sales to distributors, which allow certain rights of return and price protection, until distributors have sold the products. Net sales include amounts earned under cross-license agreements with third parties and amounts received under government contracts.</w:t>
      </w:r>
    </w:p>
    <w:p>
      <w:pPr>
        <w:spacing w:after="0" w:line="210"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Earnings per share: Earnings per share are computed using the weighted average number of common and common equivalent shares outstanding. Common equivalent shares result from the assumed exercise of outstanding stock options and affect earnings per share when they have a dilutive effect. On March 1, 1994, the company's board of directors announced a 5-for-2 stock split effected in the form of a stock dividend to shareholders of record as of April 1, 1994. A total of 60,942,448 additional shares were issued in conjunction with the stock split. The company distributed cash in lieu of fractional shares resulting from the stock split. The company's par value of $0.10 per share remained unchanged. As a result, $6.1 million was transferred from additional paid-in capital to common stock. All historical share and per share amounts have been restated to reflect retroactively the stock split.</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are considered to be reasonable approximations of their fair values. The fair value estimates presented herein were based on market information available to management as of September 1, 1994. The use of different market assumptions and/or estimation methodologies could have a material effect on the estimated fair value amounts. The reported fair values do not take into consideration potential taxes or other expenses that would be incurred in an actual settlement.</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Financial instruments that potentially subject the company to concentrations of credit risk, consist principally of cash, liquid investments, and trade accounts receivable. The company invests its cash through high-credit-quality financial institutions and performs periodic evaluations of the relative credit standing of these financial institutions. The company, by policy, limits the concentration of credit exposure by restricting investments with any single obligor, instrument, or geographic area. A concentration of credit risk may exist with respect to trade receivables, as substantially all customers are affiliated with the computer, telecommunications, and office automation industries. The company has a large number of customers worldwide on which it performs ongoing credit evaluations and generally does not require collateral from its customers. Historically, the company has not experienced significant losses related to receivables for individual customers or groups of customers in any particular industry or geographic area.</w:t>
      </w:r>
    </w:p>
    <w:p>
      <w:pPr>
        <w:spacing w:after="0" w:line="38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Inventories: Inventories are stated at the lower of average cost or market. Costs include labor, material, and overhead costs, including product and process technology costs.</w:t>
      </w:r>
    </w:p>
    <w:p>
      <w:pPr>
        <w:spacing w:after="0" w:line="209"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Property, plant, and equipment: Property, plant, and equipment are stated at cost. Depreciation is computed using the straight-line method over the estimated useful lives of 5 to 30 years for buildings and 2 to 5 years for equipment.</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units-of-production</w:t>
      </w:r>
    </w:p>
    <w:p>
      <w:pPr>
        <w:sectPr>
          <w:pgSz w:w="11900" w:h="16838" w:orient="portrait"/>
          <w:cols w:equalWidth="0" w:num="1">
            <w:col w:w="10219"/>
          </w:cols>
          <w:pgMar w:left="240" w:top="514" w:right="1440" w:bottom="0" w:gutter="0" w:footer="0" w:header="0"/>
        </w:sectPr>
      </w:pPr>
    </w:p>
    <w:bookmarkStart w:id="30" w:name="page31"/>
    <w:bookmarkEnd w:id="30"/>
    <w:p>
      <w:pPr>
        <w:ind w:right="2199"/>
        <w:spacing w:after="0" w:line="236" w:lineRule="auto"/>
        <w:rPr>
          <w:sz w:val="20"/>
          <w:szCs w:val="20"/>
          <w:color w:val="auto"/>
        </w:rPr>
      </w:pPr>
      <w:r>
        <w:rPr>
          <w:rFonts w:ascii="Courier New" w:cs="Courier New" w:eastAsia="Courier New" w:hAnsi="Courier New"/>
          <w:sz w:val="18"/>
          <w:szCs w:val="18"/>
          <w:color w:val="auto"/>
        </w:rPr>
        <w:t>method and on the straight-line method over the shorter of the estimated useful life of the technology, the patent term, or the agreement, ranging up to 15 years.</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Foreign currency: The U.S. dollar is the company's functional currency for financial reporting.</w:t>
      </w:r>
    </w:p>
    <w:p>
      <w:pPr>
        <w:jc w:val="right"/>
        <w:ind w:right="219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4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Liquid Investments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adopted Statement of Financial Accounting Standards ("SFAS") No. 115 "Accounting for Certain Investments in Debt and Equity Securities" as of September 1, 1994. Under SFAS No. 115, securities classified as held-to-maturity are stated at amortized cost. Securities classified as available-for-sale and trading are stated at their fair values which approximate cost.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9/1/94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Available-for-sale securities:</w:t>
            </w:r>
          </w:p>
        </w:tc>
        <w:tc>
          <w:tcPr>
            <w:tcW w:w="158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U.S. Government agency securities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$ 36.9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and local governments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notes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Held-to-maturity securities:</w:t>
            </w:r>
          </w:p>
        </w:tc>
        <w:tc>
          <w:tcPr>
            <w:tcW w:w="158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and local governments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paper</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U.S. Government agency securities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notes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acceptances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22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cash equivalents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422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$354.6</w:t>
            </w:r>
          </w:p>
        </w:tc>
      </w:tr>
      <w:tr>
        <w:trPr>
          <w:trHeight w:val="203"/>
        </w:trPr>
        <w:tc>
          <w:tcPr>
            <w:tcW w:w="422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Securities classified as held-to-maturity have remaining maturities within one year, and securities classified as available-for- sale mature within one to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Receivables</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6420" w:val="left"/>
        </w:tabs>
        <w:rPr>
          <w:sz w:val="20"/>
          <w:szCs w:val="20"/>
          <w:color w:val="auto"/>
        </w:rPr>
      </w:pPr>
      <w:r>
        <w:rPr>
          <w:rFonts w:ascii="Courier New" w:cs="Courier New" w:eastAsia="Courier New" w:hAnsi="Courier New"/>
          <w:sz w:val="18"/>
          <w:szCs w:val="18"/>
          <w:color w:val="auto"/>
        </w:rPr>
        <w:t>9/1/94</w:t>
      </w:r>
      <w:r>
        <w:rPr>
          <w:sz w:val="20"/>
          <w:szCs w:val="20"/>
          <w:color w:val="auto"/>
        </w:rPr>
        <w:tab/>
      </w:r>
      <w:r>
        <w:rPr>
          <w:rFonts w:ascii="Courier New" w:cs="Courier New" w:eastAsia="Courier New" w:hAnsi="Courier New"/>
          <w:sz w:val="18"/>
          <w:szCs w:val="18"/>
          <w:color w:val="auto"/>
        </w:rPr>
        <w:t>9/2/93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Trade receivables</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$227.6</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$155.0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38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$154.7</w:t>
            </w:r>
          </w:p>
        </w:tc>
      </w:tr>
      <w:tr>
        <w:trPr>
          <w:trHeight w:val="203"/>
        </w:trPr>
        <w:tc>
          <w:tcPr>
            <w:tcW w:w="438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380" w:type="dxa"/>
            <w:vAlign w:val="bottom"/>
          </w:tcPr>
          <w:p>
            <w:pPr>
              <w:spacing w:after="0"/>
              <w:rPr>
                <w:sz w:val="24"/>
                <w:szCs w:val="24"/>
                <w:color w:val="auto"/>
              </w:rPr>
            </w:pP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9/1/94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9/2/93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2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5.2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7.3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64.2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w:t>
            </w:r>
          </w:p>
        </w:tc>
      </w:tr>
      <w:tr>
        <w:trPr>
          <w:trHeight w:val="203"/>
        </w:trPr>
        <w:tc>
          <w:tcPr>
            <w:tcW w:w="3960" w:type="dxa"/>
            <w:vAlign w:val="bottom"/>
          </w:tcPr>
          <w:p>
            <w:pPr>
              <w:spacing w:after="0"/>
              <w:rPr>
                <w:sz w:val="17"/>
                <w:szCs w:val="17"/>
                <w:color w:val="auto"/>
              </w:rPr>
            </w:pP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$101.1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$ 83.2</w:t>
            </w:r>
          </w:p>
        </w:tc>
      </w:tr>
      <w:tr>
        <w:trPr>
          <w:trHeight w:val="203"/>
        </w:trPr>
        <w:tc>
          <w:tcPr>
            <w:tcW w:w="3960" w:type="dxa"/>
            <w:vAlign w:val="bottom"/>
          </w:tcPr>
          <w:p>
            <w:pPr>
              <w:spacing w:after="0"/>
              <w:rPr>
                <w:sz w:val="17"/>
                <w:szCs w:val="17"/>
                <w:color w:val="auto"/>
              </w:rPr>
            </w:pP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1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Product and Process Technology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Amortization of capitalized product and process technology costs charged to operations was $40.9 million in 1994; $26.2 million in 1993; and $10.0 million in 1992. Accumulated amortization was $100.4 million and $59.5 million as of September 1, 1994, and September 2, 1993,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6520" w:val="left"/>
        </w:tabs>
        <w:rPr>
          <w:sz w:val="20"/>
          <w:szCs w:val="20"/>
          <w:color w:val="auto"/>
        </w:rPr>
      </w:pPr>
      <w:r>
        <w:rPr>
          <w:rFonts w:ascii="Courier New" w:cs="Courier New" w:eastAsia="Courier New" w:hAnsi="Courier New"/>
          <w:sz w:val="18"/>
          <w:szCs w:val="18"/>
          <w:color w:val="auto"/>
        </w:rPr>
        <w:t>9/1/94</w:t>
      </w:r>
      <w:r>
        <w:rPr>
          <w:sz w:val="20"/>
          <w:szCs w:val="20"/>
          <w:color w:val="auto"/>
        </w:rPr>
        <w:tab/>
      </w:r>
      <w:r>
        <w:rPr>
          <w:rFonts w:ascii="Courier New" w:cs="Courier New" w:eastAsia="Courier New" w:hAnsi="Courier New"/>
          <w:sz w:val="18"/>
          <w:szCs w:val="18"/>
          <w:color w:val="auto"/>
        </w:rPr>
        <w:t>9/2/93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7.9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825.5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1,162.1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828.6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Less accumulated depreciation and amortization</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(498.6)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(390.8)</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$663.5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$437.8</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Maintenance and repair expenses were $45.9 million in 1994; $38.8 million in 1993; and $30.3 million in 1992.</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May 1994, the company purchased approximately 30 acres of land for $258,000 for development and use by the company's personal computer operation and obtained an option on an additional 40 acres from a director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Payable and Accrued Expenses</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6520" w:val="left"/>
        </w:tabs>
        <w:rPr>
          <w:sz w:val="20"/>
          <w:szCs w:val="20"/>
          <w:color w:val="auto"/>
        </w:rPr>
      </w:pPr>
      <w:r>
        <w:rPr>
          <w:rFonts w:ascii="Courier New" w:cs="Courier New" w:eastAsia="Courier New" w:hAnsi="Courier New"/>
          <w:sz w:val="18"/>
          <w:szCs w:val="18"/>
          <w:color w:val="auto"/>
        </w:rPr>
        <w:t>9/1/94</w:t>
      </w:r>
      <w:r>
        <w:rPr>
          <w:sz w:val="20"/>
          <w:szCs w:val="20"/>
          <w:color w:val="auto"/>
        </w:rPr>
        <w:tab/>
      </w:r>
      <w:r>
        <w:rPr>
          <w:rFonts w:ascii="Courier New" w:cs="Courier New" w:eastAsia="Courier New" w:hAnsi="Courier New"/>
          <w:sz w:val="18"/>
          <w:szCs w:val="18"/>
          <w:color w:val="auto"/>
        </w:rPr>
        <w:t>9/2/93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55.3</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34.8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and process technology payables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54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$155.0</w:t>
            </w:r>
          </w:p>
        </w:tc>
      </w:tr>
      <w:tr>
        <w:trPr>
          <w:trHeight w:val="203"/>
        </w:trPr>
        <w:tc>
          <w:tcPr>
            <w:tcW w:w="454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Long-Term Debt</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6520" w:val="left"/>
        </w:tabs>
        <w:rPr>
          <w:sz w:val="20"/>
          <w:szCs w:val="20"/>
          <w:color w:val="auto"/>
        </w:rPr>
      </w:pPr>
      <w:r>
        <w:rPr>
          <w:rFonts w:ascii="Courier New" w:cs="Courier New" w:eastAsia="Courier New" w:hAnsi="Courier New"/>
          <w:sz w:val="18"/>
          <w:szCs w:val="18"/>
          <w:color w:val="auto"/>
        </w:rPr>
        <w:t>9/1/94</w:t>
      </w:r>
      <w:r>
        <w:rPr>
          <w:sz w:val="20"/>
          <w:szCs w:val="20"/>
          <w:color w:val="auto"/>
        </w:rPr>
        <w:tab/>
      </w:r>
      <w:r>
        <w:rPr>
          <w:rFonts w:ascii="Courier New" w:cs="Courier New" w:eastAsia="Courier New" w:hAnsi="Courier New"/>
          <w:sz w:val="18"/>
          <w:szCs w:val="18"/>
          <w:color w:val="auto"/>
        </w:rPr>
        <w:t>9/2/93</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Notes payable in monthly installments</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through May 1999, weighted average</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rate 7.28% and 8.24%,</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respectively</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$ 115.7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31.2</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in</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monthly installments through April 1998,</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weighted average interest rate 7.93%</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8.79%, respectively</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due June</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1997, original face amount $19.8 million</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discount based on imputed</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rate of 6.50%)</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due in</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annual installments through November 1994,</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original face amount $50 million (net of</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discount based on imputed interest rate</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10.25%)</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due in</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annual installments through January 1994</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(net of discount based on imputed interest</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rate of 7.41%)</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154.5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$124.7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$ 54.4</w:t>
            </w:r>
          </w:p>
        </w:tc>
      </w:tr>
      <w:tr>
        <w:trPr>
          <w:trHeight w:val="203"/>
        </w:trPr>
        <w:tc>
          <w:tcPr>
            <w:tcW w:w="490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notes payable are collateralized by plant and equipment with a total cost of approximately $91.2 million and accumulated depreciation of approximately $25.3 million as of September 1, 1994. The company is required to maintain certain financial ratios under loan agreements. Equipment recorded under capital leases, and the accumulated depreciation thereon, were approximately $16.9 million and $8.5 million as of September 1, 1994, and $42.6 million and $20.4 million as of September 2, 1993. Maturities of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Noninterest</w:t>
      </w:r>
    </w:p>
    <w:p>
      <w:pPr>
        <w:spacing w:after="0"/>
        <w:tabs>
          <w:tab w:leader="none" w:pos="3040" w:val="left"/>
          <w:tab w:leader="none" w:pos="4620" w:val="left"/>
          <w:tab w:leader="none" w:pos="6840" w:val="left"/>
        </w:tabs>
        <w:rPr>
          <w:sz w:val="20"/>
          <w:szCs w:val="20"/>
          <w:color w:val="auto"/>
        </w:rPr>
      </w:pPr>
      <w:r>
        <w:rPr>
          <w:rFonts w:ascii="Courier New" w:cs="Courier New" w:eastAsia="Courier New" w:hAnsi="Courier New"/>
          <w:sz w:val="18"/>
          <w:szCs w:val="18"/>
          <w:color w:val="auto"/>
        </w:rPr>
        <w:t>Fiscal year</w:t>
      </w:r>
      <w:r>
        <w:rPr>
          <w:sz w:val="20"/>
          <w:szCs w:val="20"/>
          <w:color w:val="auto"/>
        </w:rPr>
        <w:tab/>
      </w:r>
      <w:r>
        <w:rPr>
          <w:rFonts w:ascii="Courier New" w:cs="Courier New" w:eastAsia="Courier New" w:hAnsi="Courier New"/>
          <w:sz w:val="18"/>
          <w:szCs w:val="18"/>
          <w:color w:val="auto"/>
        </w:rPr>
        <w:t>Notes payable</w:t>
        <w:tab/>
        <w:t>bearing obligations</w:t>
      </w:r>
      <w:r>
        <w:rPr>
          <w:sz w:val="20"/>
          <w:szCs w:val="20"/>
          <w:color w:val="auto"/>
        </w:rPr>
        <w:tab/>
      </w:r>
      <w:r>
        <w:rPr>
          <w:rFonts w:ascii="Courier New" w:cs="Courier New" w:eastAsia="Courier New" w:hAnsi="Courier New"/>
          <w:sz w:val="16"/>
          <w:szCs w:val="16"/>
          <w:color w:val="auto"/>
        </w:rPr>
        <w:t>Capital leases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16.3</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52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53.5</w:t>
            </w:r>
          </w:p>
        </w:tc>
        <w:tc>
          <w:tcPr>
            <w:tcW w:w="74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52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21.6</w:t>
            </w:r>
          </w:p>
        </w:tc>
        <w:tc>
          <w:tcPr>
            <w:tcW w:w="74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19.7</w:t>
            </w:r>
          </w:p>
        </w:tc>
        <w:tc>
          <w:tcPr>
            <w:tcW w:w="8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52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17.4</w:t>
            </w:r>
          </w:p>
        </w:tc>
        <w:tc>
          <w:tcPr>
            <w:tcW w:w="74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52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6.9</w:t>
            </w:r>
          </w:p>
        </w:tc>
        <w:tc>
          <w:tcPr>
            <w:tcW w:w="74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discount and interest</w:t>
            </w:r>
          </w:p>
        </w:tc>
        <w:tc>
          <w:tcPr>
            <w:tcW w:w="52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w:t>
            </w:r>
          </w:p>
        </w:tc>
        <w:tc>
          <w:tcPr>
            <w:tcW w:w="8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060" w:type="dxa"/>
            <w:vAlign w:val="bottom"/>
          </w:tcPr>
          <w:p>
            <w:pPr>
              <w:spacing w:after="0"/>
              <w:rPr>
                <w:sz w:val="17"/>
                <w:szCs w:val="17"/>
                <w:color w:val="auto"/>
              </w:rPr>
            </w:pP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115.7</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26.4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company's bank credit agreements provide for borrowings up to $130.0 million expiring through January 1997. Substantially all of the tangible assets of the company's semiconductor manufacturing, and custom manufacturing and component recovery operations not otherwise pledged as collateral for other notes payable and capital leases are pledged as collateral under the agreements. The agreements contain certain financial covenants, including a limitation on the transfer of funds from consolidated subsidiaries to Micron Technology, Inc. The limitation on transfer of funds is not expected to impair the ability of the company to meet its cash obligations. As of September 1, 1994, the company had no borrowings outstanding under the agreements.</w:t>
      </w:r>
    </w:p>
    <w:p>
      <w:pPr>
        <w:spacing w:after="0" w:line="189"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The estimated fair value of the company's long-term debt as of September 1, 1994 was $155.6 million, based on a discount rate of 6.50%. The estimated fair value of long-term debt was based on interest rates available to the company for issuance of debt with similar terms and remaining maturities.</w:t>
      </w:r>
    </w:p>
    <w:p>
      <w:pPr>
        <w:sectPr>
          <w:pgSz w:w="11900" w:h="16838" w:orient="portrait"/>
          <w:cols w:equalWidth="0" w:num="1">
            <w:col w:w="10219"/>
          </w:cols>
          <w:pgMar w:left="240" w:top="717" w:right="1440" w:bottom="0" w:gutter="0" w:footer="0" w:header="0"/>
        </w:sectPr>
      </w:pPr>
    </w:p>
    <w:bookmarkStart w:id="34" w:name="page35"/>
    <w:bookmarkEnd w:id="34"/>
    <w:p>
      <w:pPr>
        <w:ind w:right="2519"/>
        <w:spacing w:after="0" w:line="236" w:lineRule="auto"/>
        <w:rPr>
          <w:sz w:val="20"/>
          <w:szCs w:val="20"/>
          <w:color w:val="auto"/>
        </w:rPr>
      </w:pPr>
      <w:r>
        <w:rPr>
          <w:rFonts w:ascii="Courier New" w:cs="Courier New" w:eastAsia="Courier New" w:hAnsi="Courier New"/>
          <w:sz w:val="18"/>
          <w:szCs w:val="18"/>
          <w:color w:val="auto"/>
        </w:rPr>
        <w:t>Settlement at the estimated fair values may not be possible due to terms and conditions of existing agreements, or may not be a prudent management decision.</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Interest income in 1994 is net of $5.8 million of interest expense. Interest expense is net of $4.5 million and $4.2 million of interest income in 1993 and 1992, respectively. Construction period interest of $2.6 million; $0.3 million; and $0.2 million was capitalized in 1994, 1993, and 1992, respectively.</w:t>
      </w:r>
    </w:p>
    <w:p>
      <w:pPr>
        <w:jc w:val="right"/>
        <w:ind w:right="2199"/>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4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Stock Purchase Plans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1985 Incentive Stock Option Plan ("ISO Plan") provides for</w:t>
      </w:r>
    </w:p>
    <w:p>
      <w:pPr>
        <w:spacing w:after="0" w:line="4"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granting of incentive or nonstatutory stock options. As of September 1, 1994, there was an aggregate of 12.4 million shares of common stock reserved for issuance of which 9.5 million are committed under the plan. To date, the exercise prices of the incentive and nonstatutory stock options have been 100% and 85%, respectively, of the fair market value of the company's common stock on the date of grant. Options are subject to terms and conditions determined by the Board of Directors, and generally are exercisable in increments of 20% during each year of employment beginning one year from date of grant and expire six years from date of grant.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activity under the ISO Plan is summarized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Fiscal year ended</w:t>
            </w:r>
          </w:p>
        </w:tc>
        <w:tc>
          <w:tcPr>
            <w:tcW w:w="2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9/1/94</w:t>
            </w: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9/2/93</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9/3/92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Outstanding at beginning of year</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split</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Terminated or cancelled</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(0.8)</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412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end of year</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5.8</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12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Exercisable at end of year</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12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available for future grants</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12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Options outstanding under the ISO Plan as of September 1, 1994, were at per share prices ranging from $2.60 to $42.66. Options exercised were at per share prices ranging from $2.60 to $23.55 in 1994, $4.25 to $20.28 in 1993, and $4.25 to $19.48 in 1992.</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1989 Employee Stock Purchase Plan allows eligible employees of the company to purchase shares of common stock through payroll deductions.</w:t>
      </w:r>
    </w:p>
    <w:p>
      <w:pPr>
        <w:ind w:right="2099"/>
        <w:spacing w:after="0" w:line="237" w:lineRule="auto"/>
        <w:rPr>
          <w:sz w:val="20"/>
          <w:szCs w:val="20"/>
          <w:color w:val="auto"/>
        </w:rPr>
      </w:pPr>
      <w:r>
        <w:rPr>
          <w:rFonts w:ascii="Courier New" w:cs="Courier New" w:eastAsia="Courier New" w:hAnsi="Courier New"/>
          <w:sz w:val="18"/>
          <w:szCs w:val="18"/>
          <w:color w:val="auto"/>
        </w:rPr>
        <w:t>The shares can be purchased for 85% of the lower of the beginning or ending fair market value of each three-month offering period and are restricted from resale for a period of one year from purchase. Purchases are limited to 20% of an employee's eligible compensation. A total of 1.8 million shares are reserved for issuance under the plan, of which 1.0 million shares have been issued as of September 1, 1994.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Savings Plan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has a 401(k) profit-sharing plan ("RAM Plan") in which substantially all employees are participants. Employees may contribute from 2 to 16 percent of their eligible pay to various savings alternatives in the RAM Plan. In fiscal 1994, the company modified the plan to provide for an annual match of the first $1,500 of eligible employee contributions, and for additional contributions based on the company's financial performance. The company's RAM Plan expense was $4.6 million in 1994, $2.4 million in 1993, and $2.0 million in 1992.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of September 1, 1994, the company had commitments of $289.7 million for equipment purchases and $27.9 million for the construction of buildings. Future obligations under operating leases are not material to the company's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Effective the first day of fiscal 1994, the company adopted SFAS No. 109, "Accounting for Income Taxes", which prescribes the liability method of accounting for income taxes. Adoption of SFAS No. 109 did not have a material effect on the company's financial position or results of operations. Prior years accounted for under SFAS No. 96 have not been restated.</w:t>
      </w:r>
    </w:p>
    <w:p>
      <w:pPr>
        <w:ind w:left="7800"/>
        <w:spacing w:after="0" w:line="234" w:lineRule="auto"/>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767"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The provision for income taxes consists of the following:</w:t>
      </w:r>
    </w:p>
    <w:p>
      <w:pPr>
        <w:spacing w:after="0" w:line="200" w:lineRule="exact"/>
        <w:rPr>
          <w:sz w:val="20"/>
          <w:szCs w:val="20"/>
          <w:color w:val="auto"/>
        </w:rPr>
      </w:pPr>
    </w:p>
    <w:p>
      <w:pPr>
        <w:spacing w:after="0" w:line="204" w:lineRule="exact"/>
        <w:rPr>
          <w:sz w:val="20"/>
          <w:szCs w:val="20"/>
          <w:color w:val="auto"/>
        </w:rPr>
      </w:pPr>
    </w:p>
    <w:p>
      <w:pPr>
        <w:ind w:left="4740"/>
        <w:spacing w:after="0"/>
        <w:tabs>
          <w:tab w:leader="none" w:pos="5880" w:val="left"/>
          <w:tab w:leader="none" w:pos="704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6"/>
          <w:szCs w:val="16"/>
          <w:color w:val="auto"/>
        </w:rPr>
        <w:t>1992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Current:</w:t>
            </w: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federal</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$192.4</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3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222.6</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3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Deferred:</w:t>
            </w: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federal</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3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33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$225.3</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$ 58.5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$ 3.0</w:t>
            </w:r>
          </w:p>
        </w:tc>
      </w:tr>
      <w:tr>
        <w:trPr>
          <w:trHeight w:val="203"/>
        </w:trPr>
        <w:tc>
          <w:tcPr>
            <w:tcW w:w="33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tax benefit associated with disqualifying dispositions by employees of shares issued in the company's stock purchase plans reduced taxes payable by $10.7 million for 1994. Such benefits are credited to additional paid-in capital.</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 reconciliation between the income tax provision and income tax computed using the federal statutory rate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U.S. federal income tax at statutory rate</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$219.0</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$ 56.4</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taxes, net of federal benefit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16.7</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44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$225.3</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$ 58.5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$ 3.0</w:t>
            </w:r>
          </w:p>
        </w:tc>
      </w:tr>
      <w:tr>
        <w:trPr>
          <w:trHeight w:val="203"/>
        </w:trPr>
        <w:tc>
          <w:tcPr>
            <w:tcW w:w="44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State taxes reflect utilization of $20.1 million of investment tax credits. As of September 1, 1994, the company had unused state credits of approximately $2.8 million for tax and financial reporting purposes which expire through 1999.</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Deferred income taxes reflect the net tax effects of temporary differences between the carrying amount of assets and liabilities for financial reporting purposes and the amounts used for income tax purposes. The approximate tax effect of temporary differences and carryforwards which give rise to the net deferred tax liability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46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Current deferred tax asset:</w:t>
            </w:r>
          </w:p>
        </w:tc>
        <w:tc>
          <w:tcPr>
            <w:tcW w:w="78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5.8</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6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6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deferred tax asset (liability):</w:t>
            </w:r>
          </w:p>
        </w:tc>
        <w:tc>
          <w:tcPr>
            <w:tcW w:w="78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Product and process technology amortization</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internal patent charges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6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deferred tax liability</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46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net deferred tax liability</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46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37" w:name="page38"/>
    <w:bookmarkEnd w:id="37"/>
    <w:p>
      <w:pPr>
        <w:ind w:right="1999"/>
        <w:spacing w:after="0" w:line="237" w:lineRule="auto"/>
        <w:rPr>
          <w:sz w:val="20"/>
          <w:szCs w:val="20"/>
          <w:color w:val="auto"/>
        </w:rPr>
      </w:pPr>
      <w:r>
        <w:rPr>
          <w:rFonts w:ascii="Courier New" w:cs="Courier New" w:eastAsia="Courier New" w:hAnsi="Courier New"/>
          <w:sz w:val="18"/>
          <w:szCs w:val="18"/>
          <w:color w:val="auto"/>
        </w:rPr>
        <w:t>During 1993 and 1992, in accordance with SFAS No. 96, deferred income taxes were provided for significant temporary differences. The significant components of the 1993 deferred tax benefit were $14.5 million for product and process technology, reduced by $2.8 million for depreciation and $6.5 million for other items. Deferred tax expense for 1992 included product and process technology of $3.2 million, depreciation of $1.6 million, and other items of $2.0 million.</w:t>
      </w:r>
    </w:p>
    <w:p>
      <w:pPr>
        <w:spacing w:after="0" w:line="3"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54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Export Sales and Major Customers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Export sales were $471.0 million, $250.9 million, and $161.7 million in 1994, 1993, and 1992, respectively. Sales to one personal computer manufacturing customer approximated 11% of total net sales in 1994 and 10% of total net sales in 1993.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has various product and process technology agreements expiring in the next fiscal year. The company is not able to predict whether these license agreements can be renewed on terms acceptable to the company.</w:t>
      </w:r>
    </w:p>
    <w:p>
      <w:pPr>
        <w:spacing w:after="0" w:line="195"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On March 9, 1994, the company entered into a patent cross-license agreement with Texas Instruments, Inc. ("TI"). As a result of this agreement, the various patent lawsuits between Micron Semiconductor, Inc., and TI in Idaho, Texas, and Delaware were settled. Similar to a prior cross-license agreement between the parties which expired in 1992, the company will pay ongoing royalties to TI based on sales of DRAMs and other semiconductor devices.</w:t>
      </w:r>
    </w:p>
    <w:p>
      <w:pPr>
        <w:spacing w:after="0" w:line="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company accrued a sufficient amount to pay the royalties related to sales for periods from expiration of the previous cross-license to the date of the settlement.</w:t>
      </w:r>
    </w:p>
    <w:p>
      <w:pPr>
        <w:spacing w:after="0" w:line="209"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On November 13, 1992, Micron Semiconductor, Inc., filed a patent infringement action with the United States International Trade Commission ("ITC") against Goldstar Electron Company, Ltd., and Goldstar Electron America, Inc.</w:t>
      </w:r>
    </w:p>
    <w:p>
      <w:pPr>
        <w:spacing w:after="0" w:line="1"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(collectively, "Goldstar"), and Hyundai Electronics Industries Co., Ltd., and Hyundai Electronics America, Inc. (collectively, "Hyundai"). The company has since entered into patent cross-license agreements with Goldstar and with Hyundai. The ITC action against Goldstar and Hyundai was dismissed.</w:t>
      </w:r>
    </w:p>
    <w:p>
      <w:pPr>
        <w:spacing w:after="0" w:line="18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November 20, 1992, Thorn EMI North America, Inc. ("Thorn"), filed suit against Micron Technology, Inc., and MSI in the federal district court in Wilmington, Delaware, alleging infringement of four of Thorn's patents. On December 4, 1993, the parties entered into a settlement agreement dismissing the lawsuit.</w:t>
      </w:r>
    </w:p>
    <w:p>
      <w:pPr>
        <w:spacing w:after="0" w:line="209"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company is currently a party to various other legal actions arising out of the normal course of business, none of which are expected to have a material effect on the company's financial position or results of operations.</w:t>
      </w:r>
    </w:p>
    <w:p>
      <w:pPr>
        <w:ind w:left="7800"/>
        <w:spacing w:after="0" w:line="233" w:lineRule="auto"/>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Quarterly Financial and Market Information (Unaudited)</w:t>
      </w:r>
    </w:p>
    <w:p>
      <w:pPr>
        <w:spacing w:after="0" w:line="238" w:lineRule="auto"/>
        <w:rPr>
          <w:sz w:val="20"/>
          <w:szCs w:val="20"/>
          <w:color w:val="auto"/>
        </w:rPr>
      </w:pPr>
      <w:r>
        <w:rPr>
          <w:rFonts w:ascii="Courier New" w:cs="Courier New" w:eastAsia="Courier New" w:hAnsi="Courier New"/>
          <w:sz w:val="18"/>
          <w:szCs w:val="18"/>
          <w:color w:val="auto"/>
        </w:rPr>
        <w:t>(Dollars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1994 Quarter</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1st</w:t>
            </w:r>
          </w:p>
        </w:tc>
        <w:tc>
          <w:tcPr>
            <w:tcW w:w="26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2nd</w:t>
            </w:r>
          </w:p>
        </w:tc>
        <w:tc>
          <w:tcPr>
            <w:tcW w:w="16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3rd</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4th</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$320.1</w:t>
            </w:r>
          </w:p>
        </w:tc>
        <w:tc>
          <w:tcPr>
            <w:tcW w:w="9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$390.5</w:t>
            </w: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$426.4</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$491.6</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166.6</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204.1</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211.7</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Selling, general, and administrative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34.1</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33.1</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215.0</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255.9</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271.9</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105.1</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134.6</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105.5</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135.6</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48.8</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$ 67.5</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$ 86.8</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$104.3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$141.9</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$0.65</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0.83</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0.99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Quarterly stock price: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High</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$25.45</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$ 30.60</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$ 39.90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$44.88</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Low</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15.15</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17.45</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per share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0.02</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0.05</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1993 Quarter</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1st</w:t>
            </w:r>
          </w:p>
        </w:tc>
        <w:tc>
          <w:tcPr>
            <w:tcW w:w="26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2nd</w:t>
            </w:r>
          </w:p>
        </w:tc>
        <w:tc>
          <w:tcPr>
            <w:tcW w:w="16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3rd</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4th</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$131.0</w:t>
            </w:r>
          </w:p>
        </w:tc>
        <w:tc>
          <w:tcPr>
            <w:tcW w:w="9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$176.4</w:t>
            </w: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$214.9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$306.0</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97.8</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123.7</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163.4</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Selling, general, and administrative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125.7</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161.1</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207.6</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98.2</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$ 29.5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$ 62.9</w:t>
            </w:r>
          </w:p>
        </w:tc>
      </w:tr>
      <w:tr>
        <w:trPr>
          <w:trHeight w:val="203"/>
        </w:trPr>
        <w:tc>
          <w:tcPr>
            <w:tcW w:w="41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$0.03</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0.09</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0.61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Quarterly stock price: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High</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$8.85</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$ 10.30</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$ 12.60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$ 22.10</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Low</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5.80</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6.80</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11.95</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per share</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0.02</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declared and paid cash dividends totaling $0.12 and $0.02 per share in fiscal years 1994 and 1993, respectively. The company's Board of Directors further approved a $0.05 per share cash dividend to shareholders of record as of September 30, 1994, for payment on October 24, 1994. Future dividends, if any, will vary depending on the company's profitability and anticipated capital requirements. As of September 1, 1994, the company had 2,843 shareholders of record.</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Net sales for the fourth quarter of 1993 includes $8.4 million from licensing product and process technology.</w:t>
      </w:r>
    </w:p>
    <w:p>
      <w:pPr>
        <w:ind w:left="78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51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Shareholders and Board of Directors</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have audited the consolidated financial statements and financial statement schedules of Micron Technology, Inc., and subsidiaries listed in the index on page 15 of this Form 10-K. These financial statements and financial statement schedules are the responsibility of the company's management. Our responsibility is to express an opinion on these financial statements and financial statement schedules based on our audits.</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Micron Technology, Inc., and subsidiaries as of September 1, 1994, and September 2, 1993, and the consolidated results of their operations and their cash flows for each of the three years in the period ended September 1, 1994, in conformity with generally accepted accounting principles. In addition, in our opinion, the financial statement schedules referred to above, when considered in relation to the basic financial statements taken as a whole, present fairly, in all material respects, the information required to be included therein.</w:t>
      </w:r>
    </w:p>
    <w:p>
      <w:pPr>
        <w:spacing w:after="0" w:line="21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discussed in the contingencies note to the consolidated financial statements, management can give no assurance that the amounts accrued as of September 1, 1994, for estimated costs of settlement or adjudication of asserted and unasserted claims for infringement of product and process technology rights held by others, have been adequate, nor can management estimate the range of additional possible loss, if any, from resolution of these uncertainties.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September 22, 1994</w:t>
      </w:r>
    </w:p>
    <w:p>
      <w:pPr>
        <w:ind w:left="78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41" w:name="page42"/>
    <w:bookmarkEnd w:id="41"/>
    <w:p>
      <w:pPr>
        <w:ind w:right="273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Security Ownership of Certain Beneficial Owners and 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Certain Relationships and Related Transactions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Certain information concerning the registrant's executive officers is included under the caption "Executive Officers of the Registrant" following Part I, Item 1 of this report. Other information required by Items 10, 11, 12 and 13 will be contained in the registrant's Proxy Statement which will be filed with the Securities and Exchange Commission within 120 days after September 1, 1994, and is incorporated herein by reference.</w:t>
      </w:r>
    </w:p>
    <w:p>
      <w:pPr>
        <w:spacing w:after="0" w:line="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42" w:name="page43"/>
    <w:bookmarkEnd w:id="42"/>
    <w:p>
      <w:pPr>
        <w:jc w:val="center"/>
        <w:ind w:right="2299"/>
        <w:spacing w:after="0"/>
        <w:rPr>
          <w:sz w:val="20"/>
          <w:szCs w:val="20"/>
          <w:color w:val="auto"/>
        </w:rPr>
      </w:pPr>
      <w:r>
        <w:rPr>
          <w:rFonts w:ascii="Courier New" w:cs="Courier New" w:eastAsia="Courier New" w:hAnsi="Courier New"/>
          <w:sz w:val="18"/>
          <w:szCs w:val="18"/>
          <w:color w:val="auto"/>
        </w:rPr>
        <w:t>PART IV</w:t>
      </w:r>
    </w:p>
    <w:p>
      <w:pPr>
        <w:spacing w:after="0" w:line="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2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part of this report: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financial statements and financial statement schedules --</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"Item 8.</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Statements and Supplementary Data - Notes to</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Statements - Contingencies".</w:t>
            </w: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220" w:type="dxa"/>
            <w:vAlign w:val="bottom"/>
          </w:tcPr>
          <w:p>
            <w:pPr>
              <w:ind w:left="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7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220" w:type="dxa"/>
            <w:vAlign w:val="bottom"/>
          </w:tcPr>
          <w:p>
            <w:pPr>
              <w:ind w:left="60"/>
              <w:spacing w:after="0"/>
              <w:rPr>
                <w:sz w:val="20"/>
                <w:szCs w:val="20"/>
                <w:color w:val="auto"/>
              </w:rPr>
            </w:pPr>
            <w:r>
              <w:rPr>
                <w:rFonts w:ascii="Courier New" w:cs="Courier New" w:eastAsia="Courier New" w:hAnsi="Courier New"/>
                <w:sz w:val="18"/>
                <w:szCs w:val="18"/>
                <w:color w:val="auto"/>
              </w:rPr>
              <w:t>Certificate of Incorporation of the Registrant, as amended.</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3.7</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Bylaws of the Registrant, as amended.</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10.82</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Indemnification Agreement between the Registrant and its</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officers and directors.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10.91</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Resolution regarding stock and bonus plan vesting schedules</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 the event of change in control of the Registrant.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10.92</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Additional provisions related to Management Bonus Arrangements for</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Certain Executive Officers.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10.96</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Termination Agreement for members of the Registrant's</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Operations Committee and other Officers of the Company.</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10.100</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 1985 Incentive Stock Option Plan.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10.103</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Real Estate Agreement and Addendum dated May 29, 1991</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between the Registrant and Thomas T. Nicholson, Allen T.</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Noble, Don J. Simplot, J. R. Simplot, Ronald C. Yanke,</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Semienterprises, a partnership and Macron, a partnership.</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10.105</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Management bonus arrangements for Executive Officers</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Micron Technology, Inc., and Micron Semiconductor, Inc.,</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 1993.</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10.109</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Management bonus arrangements for Executive Officers</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Micron Technology, Inc., and Micron Semiconductor, Inc.,</w:t>
            </w:r>
          </w:p>
        </w:tc>
      </w:tr>
      <w:tr>
        <w:trPr>
          <w:trHeight w:val="203"/>
        </w:trPr>
        <w:tc>
          <w:tcPr>
            <w:tcW w:w="1320" w:type="dxa"/>
            <w:vAlign w:val="bottom"/>
          </w:tcPr>
          <w:p>
            <w:pPr>
              <w:spacing w:after="0"/>
              <w:rPr>
                <w:sz w:val="17"/>
                <w:szCs w:val="17"/>
                <w:color w:val="auto"/>
              </w:rPr>
            </w:pPr>
          </w:p>
        </w:tc>
        <w:tc>
          <w:tcPr>
            <w:tcW w:w="7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 1994.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11.1</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Computation of Per Share Earnings.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21.1</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Subsidiaries of the Registrant.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23.1</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Independent Public Accountants.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27.1</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Data Schedule</w:t>
            </w:r>
          </w:p>
        </w:tc>
      </w:tr>
    </w:tbl>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2739" w:hanging="210"/>
        <w:spacing w:after="0" w:line="235" w:lineRule="auto"/>
        <w:rPr>
          <w:sz w:val="20"/>
          <w:szCs w:val="20"/>
          <w:color w:val="auto"/>
        </w:rPr>
      </w:pPr>
      <w:r>
        <w:rPr>
          <w:rFonts w:ascii="Courier New" w:cs="Courier New" w:eastAsia="Courier New" w:hAnsi="Courier New"/>
          <w:sz w:val="18"/>
          <w:szCs w:val="18"/>
          <w:color w:val="auto"/>
        </w:rPr>
        <w:t>Incorporated by Reference to Proxy Statement for the 1986 Annual Meeting of Shareholders.</w:t>
      </w:r>
    </w:p>
    <w:p>
      <w:pPr>
        <w:spacing w:after="0" w:line="208" w:lineRule="exact"/>
        <w:rPr>
          <w:sz w:val="20"/>
          <w:szCs w:val="20"/>
          <w:color w:val="auto"/>
        </w:rPr>
      </w:pPr>
    </w:p>
    <w:p>
      <w:pPr>
        <w:ind w:left="960" w:right="2839" w:hanging="210"/>
        <w:spacing w:after="0" w:line="235" w:lineRule="auto"/>
        <w:rPr>
          <w:sz w:val="20"/>
          <w:szCs w:val="20"/>
          <w:color w:val="auto"/>
        </w:rPr>
      </w:pPr>
      <w:r>
        <w:rPr>
          <w:rFonts w:ascii="Courier New" w:cs="Courier New" w:eastAsia="Courier New" w:hAnsi="Courier New"/>
          <w:sz w:val="18"/>
          <w:szCs w:val="18"/>
          <w:color w:val="auto"/>
        </w:rPr>
        <w:t>Incorporated by Reference to Annual Report on Form 10-K for the fiscal year ended August 31, 1989.</w:t>
      </w:r>
    </w:p>
    <w:p>
      <w:pPr>
        <w:spacing w:after="0" w:line="208" w:lineRule="exact"/>
        <w:rPr>
          <w:sz w:val="20"/>
          <w:szCs w:val="20"/>
          <w:color w:val="auto"/>
        </w:rPr>
      </w:pPr>
    </w:p>
    <w:p>
      <w:pPr>
        <w:ind w:left="960" w:right="2839" w:hanging="210"/>
        <w:spacing w:after="0" w:line="235" w:lineRule="auto"/>
        <w:rPr>
          <w:sz w:val="20"/>
          <w:szCs w:val="20"/>
          <w:color w:val="auto"/>
        </w:rPr>
      </w:pPr>
      <w:r>
        <w:rPr>
          <w:rFonts w:ascii="Courier New" w:cs="Courier New" w:eastAsia="Courier New" w:hAnsi="Courier New"/>
          <w:sz w:val="18"/>
          <w:szCs w:val="18"/>
          <w:color w:val="auto"/>
        </w:rPr>
        <w:t>Incorporated by Reference to Annual Report on Form 10-K for the fiscal year ended August 30, 1990.</w:t>
      </w:r>
    </w:p>
    <w:p>
      <w:pPr>
        <w:spacing w:after="0" w:line="208" w:lineRule="exact"/>
        <w:rPr>
          <w:sz w:val="20"/>
          <w:szCs w:val="20"/>
          <w:color w:val="auto"/>
        </w:rPr>
      </w:pPr>
    </w:p>
    <w:p>
      <w:pPr>
        <w:ind w:left="960" w:right="2619" w:hanging="210"/>
        <w:spacing w:after="0" w:line="235" w:lineRule="auto"/>
        <w:rPr>
          <w:sz w:val="20"/>
          <w:szCs w:val="20"/>
          <w:color w:val="auto"/>
        </w:rPr>
      </w:pPr>
      <w:r>
        <w:rPr>
          <w:rFonts w:ascii="Courier New" w:cs="Courier New" w:eastAsia="Courier New" w:hAnsi="Courier New"/>
          <w:sz w:val="18"/>
          <w:szCs w:val="18"/>
          <w:color w:val="auto"/>
        </w:rPr>
        <w:t>Incorporated by Reference to Registration Statements on Forms S-8 (Reg. Nos. 33-38665, 33-38926, and 33-52653).</w:t>
      </w:r>
    </w:p>
    <w:p>
      <w:pPr>
        <w:spacing w:after="0" w:line="208" w:lineRule="exact"/>
        <w:rPr>
          <w:sz w:val="20"/>
          <w:szCs w:val="20"/>
          <w:color w:val="auto"/>
        </w:rPr>
      </w:pPr>
    </w:p>
    <w:p>
      <w:pPr>
        <w:ind w:left="960" w:right="2839" w:hanging="210"/>
        <w:spacing w:after="0" w:line="235" w:lineRule="auto"/>
        <w:rPr>
          <w:sz w:val="20"/>
          <w:szCs w:val="20"/>
          <w:color w:val="auto"/>
        </w:rPr>
      </w:pPr>
      <w:r>
        <w:rPr>
          <w:rFonts w:ascii="Courier New" w:cs="Courier New" w:eastAsia="Courier New" w:hAnsi="Courier New"/>
          <w:sz w:val="18"/>
          <w:szCs w:val="18"/>
          <w:color w:val="auto"/>
        </w:rPr>
        <w:t>Incorporated by Reference to Annual Report on Form 10-K for the fiscal year ended September 3, 1992.</w:t>
      </w:r>
    </w:p>
    <w:p>
      <w:pPr>
        <w:spacing w:after="0" w:line="208" w:lineRule="exact"/>
        <w:rPr>
          <w:sz w:val="20"/>
          <w:szCs w:val="20"/>
          <w:color w:val="auto"/>
        </w:rPr>
      </w:pPr>
    </w:p>
    <w:p>
      <w:pPr>
        <w:ind w:left="960" w:right="2839" w:hanging="210"/>
        <w:spacing w:after="0" w:line="235" w:lineRule="auto"/>
        <w:rPr>
          <w:sz w:val="20"/>
          <w:szCs w:val="20"/>
          <w:color w:val="auto"/>
        </w:rPr>
      </w:pPr>
      <w:r>
        <w:rPr>
          <w:rFonts w:ascii="Courier New" w:cs="Courier New" w:eastAsia="Courier New" w:hAnsi="Courier New"/>
          <w:sz w:val="18"/>
          <w:szCs w:val="18"/>
          <w:color w:val="auto"/>
        </w:rPr>
        <w:t>Incorporated by Reference to Annual Report on Form 10-K for the fiscal year ended September 2,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numbers from Registration Statement on Form S-1 (Reg. No. 2-93343)</w:t>
      </w:r>
    </w:p>
    <w:p>
      <w:pPr>
        <w:spacing w:after="0" w:line="238" w:lineRule="auto"/>
        <w:rPr>
          <w:sz w:val="20"/>
          <w:szCs w:val="20"/>
          <w:color w:val="auto"/>
        </w:rPr>
      </w:pPr>
      <w:r>
        <w:rPr>
          <w:rFonts w:ascii="Courier New" w:cs="Courier New" w:eastAsia="Courier New" w:hAnsi="Courier New"/>
          <w:sz w:val="18"/>
          <w:szCs w:val="18"/>
          <w:color w:val="auto"/>
        </w:rPr>
        <w:t>retained, where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(b)Reports on Form 8-K:</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registrant did not file any Reports on Form 8-K during the quarter ended September 1, 1994.</w:t>
      </w:r>
    </w:p>
    <w:p>
      <w:pPr>
        <w:ind w:left="78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43" w:name="page44"/>
    <w:bookmarkEnd w:id="43"/>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in the City of Boise, State of Idaho, on the 22nd day of September, 1994.</w:t>
      </w:r>
    </w:p>
    <w:p>
      <w:pPr>
        <w:spacing w:after="0" w:line="17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Reid N. Langrill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Reid N. Langrill, Vice President,</w:t>
      </w:r>
    </w:p>
    <w:p>
      <w:pPr>
        <w:spacing w:after="0" w:line="237" w:lineRule="auto"/>
        <w:rPr>
          <w:sz w:val="20"/>
          <w:szCs w:val="20"/>
          <w:color w:val="auto"/>
        </w:rPr>
      </w:pPr>
      <w:r>
        <w:rPr>
          <w:rFonts w:ascii="Courier New" w:cs="Courier New" w:eastAsia="Courier New" w:hAnsi="Courier New"/>
          <w:sz w:val="18"/>
          <w:szCs w:val="18"/>
          <w:color w:val="auto"/>
        </w:rPr>
        <w:t>Finance, Treasurer, and</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380" w:space="520"/>
            <w:col w:w="6319"/>
          </w:cols>
          <w:pgMar w:left="240" w:top="514" w:right="1440" w:bottom="1440" w:gutter="0" w:footer="0" w:header="0"/>
          <w:type w:val="continuous"/>
        </w:sectPr>
      </w:pPr>
    </w:p>
    <w:p>
      <w:pPr>
        <w:spacing w:after="0" w:line="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c>
          <w:tcPr>
            <w:tcW w:w="5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Joseph L. Parkinson</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Chairman of the Board and Chief</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September 22, 1994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32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(Joseph L. Parkinson)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232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James W. Garrett</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 President, and Chief</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September 22, 1994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Officer</w:t>
            </w:r>
          </w:p>
        </w:tc>
        <w:tc>
          <w:tcPr>
            <w:tcW w:w="232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(James W. Garrett)</w:t>
            </w:r>
          </w:p>
        </w:tc>
        <w:tc>
          <w:tcPr>
            <w:tcW w:w="34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Reid N. Langrill</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 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September 22, 1994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Finance, Treasurer, and Chief</w:t>
            </w:r>
          </w:p>
        </w:tc>
        <w:tc>
          <w:tcPr>
            <w:tcW w:w="232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(Reid N. Langrill)</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Officer (Principal</w:t>
            </w:r>
          </w:p>
        </w:tc>
        <w:tc>
          <w:tcPr>
            <w:tcW w:w="23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Financial and Accounting Officer)</w:t>
            </w:r>
          </w:p>
        </w:tc>
        <w:tc>
          <w:tcPr>
            <w:tcW w:w="232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Steven R. Appleton</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 Chairman,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September 22, 1994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Chief Executive Officer,</w:t>
            </w:r>
          </w:p>
        </w:tc>
        <w:tc>
          <w:tcPr>
            <w:tcW w:w="232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(Steven R. Appleton)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Semiconductor, Inc.</w:t>
            </w:r>
          </w:p>
        </w:tc>
        <w:tc>
          <w:tcPr>
            <w:tcW w:w="232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Jerry M. Hess</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September 22, 1994</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(Jerry M. Hess)</w:t>
      </w:r>
    </w:p>
    <w:p>
      <w:pPr>
        <w:spacing w:after="0" w:line="202" w:lineRule="exact"/>
        <w:rPr>
          <w:sz w:val="20"/>
          <w:szCs w:val="20"/>
          <w:color w:val="auto"/>
        </w:rPr>
      </w:pPr>
    </w:p>
    <w:p>
      <w:pPr>
        <w:spacing w:after="0"/>
        <w:tabs>
          <w:tab w:leader="none" w:pos="2940" w:val="left"/>
          <w:tab w:leader="none" w:pos="6420" w:val="left"/>
        </w:tabs>
        <w:rPr>
          <w:sz w:val="20"/>
          <w:szCs w:val="20"/>
          <w:color w:val="auto"/>
        </w:rPr>
      </w:pPr>
      <w:r>
        <w:rPr>
          <w:rFonts w:ascii="Courier New" w:cs="Courier New" w:eastAsia="Courier New" w:hAnsi="Courier New"/>
          <w:sz w:val="18"/>
          <w:szCs w:val="18"/>
          <w:color w:val="auto"/>
        </w:rPr>
        <w:t>/s/ Robert A. Lothrop</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22, 1994</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Lothrop)</w:t>
      </w:r>
    </w:p>
    <w:p>
      <w:pPr>
        <w:spacing w:after="0" w:line="202" w:lineRule="exact"/>
        <w:rPr>
          <w:sz w:val="20"/>
          <w:szCs w:val="20"/>
          <w:color w:val="auto"/>
        </w:rPr>
      </w:pPr>
    </w:p>
    <w:p>
      <w:pPr>
        <w:spacing w:after="0"/>
        <w:tabs>
          <w:tab w:leader="none" w:pos="2940" w:val="left"/>
          <w:tab w:leader="none" w:pos="6420" w:val="left"/>
        </w:tabs>
        <w:rPr>
          <w:sz w:val="20"/>
          <w:szCs w:val="20"/>
          <w:color w:val="auto"/>
        </w:rPr>
      </w:pPr>
      <w:r>
        <w:rPr>
          <w:rFonts w:ascii="Courier New" w:cs="Courier New" w:eastAsia="Courier New" w:hAnsi="Courier New"/>
          <w:sz w:val="18"/>
          <w:szCs w:val="18"/>
          <w:color w:val="auto"/>
        </w:rPr>
        <w:t>/s/ Thomas T. Nicholson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22, 1994</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T. Nicholson)</w:t>
      </w:r>
    </w:p>
    <w:p>
      <w:pPr>
        <w:spacing w:after="0" w:line="202" w:lineRule="exact"/>
        <w:rPr>
          <w:sz w:val="20"/>
          <w:szCs w:val="20"/>
          <w:color w:val="auto"/>
        </w:rPr>
      </w:pPr>
    </w:p>
    <w:p>
      <w:pPr>
        <w:spacing w:after="0"/>
        <w:tabs>
          <w:tab w:leader="none" w:pos="2940" w:val="left"/>
          <w:tab w:leader="none" w:pos="6420" w:val="left"/>
        </w:tabs>
        <w:rPr>
          <w:sz w:val="20"/>
          <w:szCs w:val="20"/>
          <w:color w:val="auto"/>
        </w:rPr>
      </w:pPr>
      <w:r>
        <w:rPr>
          <w:rFonts w:ascii="Courier New" w:cs="Courier New" w:eastAsia="Courier New" w:hAnsi="Courier New"/>
          <w:sz w:val="18"/>
          <w:szCs w:val="18"/>
          <w:color w:val="auto"/>
        </w:rPr>
        <w:t>/s/ Allen T. Noble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22, 1994</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(Allen T. Noble)</w:t>
      </w:r>
    </w:p>
    <w:p>
      <w:pPr>
        <w:spacing w:after="0" w:line="202" w:lineRule="exact"/>
        <w:rPr>
          <w:sz w:val="20"/>
          <w:szCs w:val="20"/>
          <w:color w:val="auto"/>
        </w:rPr>
      </w:pPr>
    </w:p>
    <w:p>
      <w:pPr>
        <w:spacing w:after="0"/>
        <w:tabs>
          <w:tab w:leader="none" w:pos="2940" w:val="left"/>
          <w:tab w:leader="none" w:pos="6420" w:val="left"/>
        </w:tabs>
        <w:rPr>
          <w:sz w:val="20"/>
          <w:szCs w:val="20"/>
          <w:color w:val="auto"/>
        </w:rPr>
      </w:pPr>
      <w:r>
        <w:rPr>
          <w:rFonts w:ascii="Courier New" w:cs="Courier New" w:eastAsia="Courier New" w:hAnsi="Courier New"/>
          <w:sz w:val="18"/>
          <w:szCs w:val="18"/>
          <w:color w:val="auto"/>
        </w:rPr>
        <w:t>/s/ Don J.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22, 1994</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 J. Simplot)</w:t>
      </w:r>
    </w:p>
    <w:p>
      <w:pPr>
        <w:spacing w:after="0" w:line="202" w:lineRule="exact"/>
        <w:rPr>
          <w:sz w:val="20"/>
          <w:szCs w:val="20"/>
          <w:color w:val="auto"/>
        </w:rPr>
      </w:pPr>
    </w:p>
    <w:p>
      <w:pPr>
        <w:spacing w:after="0"/>
        <w:tabs>
          <w:tab w:leader="none" w:pos="2940" w:val="left"/>
          <w:tab w:leader="none" w:pos="6420" w:val="left"/>
        </w:tabs>
        <w:rPr>
          <w:sz w:val="20"/>
          <w:szCs w:val="20"/>
          <w:color w:val="auto"/>
        </w:rPr>
      </w:pPr>
      <w:r>
        <w:rPr>
          <w:rFonts w:ascii="Courier New" w:cs="Courier New" w:eastAsia="Courier New" w:hAnsi="Courier New"/>
          <w:sz w:val="18"/>
          <w:szCs w:val="18"/>
          <w:color w:val="auto"/>
        </w:rPr>
        <w:t>/s/ John R.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22, 1994</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R. Simplot)</w:t>
      </w:r>
    </w:p>
    <w:p>
      <w:pPr>
        <w:spacing w:after="0" w:line="202" w:lineRule="exact"/>
        <w:rPr>
          <w:sz w:val="20"/>
          <w:szCs w:val="20"/>
          <w:color w:val="auto"/>
        </w:rPr>
      </w:pPr>
    </w:p>
    <w:p>
      <w:pPr>
        <w:spacing w:after="0"/>
        <w:tabs>
          <w:tab w:leader="none" w:pos="2940" w:val="left"/>
          <w:tab w:leader="none" w:pos="6420" w:val="left"/>
        </w:tabs>
        <w:rPr>
          <w:sz w:val="20"/>
          <w:szCs w:val="20"/>
          <w:color w:val="auto"/>
        </w:rPr>
      </w:pPr>
      <w:r>
        <w:rPr>
          <w:rFonts w:ascii="Courier New" w:cs="Courier New" w:eastAsia="Courier New" w:hAnsi="Courier New"/>
          <w:sz w:val="18"/>
          <w:szCs w:val="18"/>
          <w:color w:val="auto"/>
        </w:rPr>
        <w:t>/s/ Gordon C. Smith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22, 1994</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(Gordon C. Smith)</w:t>
      </w:r>
    </w:p>
    <w:p>
      <w:pPr>
        <w:spacing w:after="0" w:line="202"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514" w:right="1440" w:bottom="1440" w:gutter="0" w:footer="0" w:header="0"/>
          <w:type w:val="continuous"/>
        </w:sectPr>
      </w:pPr>
    </w:p>
    <w:bookmarkStart w:id="44" w:name="page45"/>
    <w:bookmarkEnd w:id="44"/>
    <w:p>
      <w:pPr>
        <w:ind w:left="30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I</w:t>
      </w:r>
    </w:p>
    <w:p>
      <w:pPr>
        <w:ind w:left="3160"/>
        <w:spacing w:after="0" w:line="238" w:lineRule="auto"/>
        <w:rPr>
          <w:sz w:val="20"/>
          <w:szCs w:val="20"/>
          <w:color w:val="auto"/>
        </w:rPr>
      </w:pPr>
      <w:r>
        <w:rPr>
          <w:rFonts w:ascii="Courier New" w:cs="Courier New" w:eastAsia="Courier New" w:hAnsi="Courier New"/>
          <w:sz w:val="18"/>
          <w:szCs w:val="18"/>
          <w:color w:val="auto"/>
        </w:rPr>
        <w:t>Marketable Securities</w:t>
      </w:r>
    </w:p>
    <w:p>
      <w:pPr>
        <w:ind w:left="3160"/>
        <w:spacing w:after="0"/>
        <w:rPr>
          <w:sz w:val="20"/>
          <w:szCs w:val="20"/>
          <w:color w:val="auto"/>
        </w:rPr>
      </w:pPr>
      <w:r>
        <w:rPr>
          <w:rFonts w:ascii="Courier New" w:cs="Courier New" w:eastAsia="Courier New" w:hAnsi="Courier New"/>
          <w:sz w:val="18"/>
          <w:szCs w:val="18"/>
          <w:color w:val="auto"/>
        </w:rPr>
        <w:t>(Dollars in millions)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Principal</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Amortized</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Market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Carrying</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Issuer</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Amount</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Cost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4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U.S. Government and agencies</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$ 87.9</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$ 88.0</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$ 87.3</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$ 88.0</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Local governments and agencies:</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Intermountain Power Agency</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Temple University</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Maricopa County, Arizona</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 Beach Calif Hbr Dept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Boise City</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North Little Rock Ark Elect.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Atlanta GA Wtr and Swr</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Clark County, Nevada</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 Authority Allegheny Cnty</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North Carolina Muni Power Authority</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North Carolina Eastern Muni Power</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St Dorm Auth Rev</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 Marcos Calif Pub Facs Auth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Shelby Cnty Tennessee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local governmentals and agencies 27.2</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local governments and agencies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76.1</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Commercial paper:</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Transamerica Finance Corp.</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Bankers Trust Co.</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Electric Co.</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Express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Chemical Bank</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commercial paper</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commercial paper</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76.9</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State governments and agencies:</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of Idaho</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of Washington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of Iowa</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of Wisconsin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State governments and agencies   26.8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State governments and agencies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48.2</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49.4</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acceptances:</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Chemical Bank</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Bank of Washington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bankers' acceptances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bankers' acceptances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42.5</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Corporate notes:</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Electric Co.</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corporate notes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corporate notes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Muni preferred funds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$388.3</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$389.6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$388.6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$389.6</w:t>
            </w:r>
          </w:p>
        </w:tc>
      </w:tr>
      <w:tr>
        <w:trPr>
          <w:trHeight w:val="203"/>
        </w:trPr>
        <w:tc>
          <w:tcPr>
            <w:tcW w:w="39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w:t>
            </w:r>
          </w:p>
        </w:tc>
      </w:tr>
    </w:tbl>
    <w:p>
      <w:pPr>
        <w:sectPr>
          <w:pgSz w:w="11900" w:h="16838" w:orient="portrait"/>
          <w:cols w:equalWidth="0" w:num="1">
            <w:col w:w="10219"/>
          </w:cols>
          <w:pgMar w:left="240" w:top="514" w:right="1440" w:bottom="362" w:gutter="0" w:footer="0" w:header="0"/>
        </w:sectPr>
      </w:pPr>
    </w:p>
    <w:bookmarkStart w:id="45" w:name="page46"/>
    <w:bookmarkEnd w:id="45"/>
    <w:p>
      <w:pPr>
        <w:ind w:left="3060"/>
        <w:spacing w:after="0"/>
        <w:rPr>
          <w:sz w:val="20"/>
          <w:szCs w:val="20"/>
          <w:color w:val="auto"/>
        </w:rPr>
      </w:pPr>
      <w:r>
        <w:rPr>
          <w:rFonts w:ascii="Courier New" w:cs="Courier New" w:eastAsia="Courier New" w:hAnsi="Courier New"/>
          <w:sz w:val="18"/>
          <w:szCs w:val="18"/>
          <w:color w:val="auto"/>
        </w:rPr>
        <w:t>MICRON TECHNOLOGY, INC.</w:t>
      </w:r>
    </w:p>
    <w:p>
      <w:pPr>
        <w:ind w:left="3480"/>
        <w:spacing w:after="0" w:line="238" w:lineRule="auto"/>
        <w:rPr>
          <w:sz w:val="20"/>
          <w:szCs w:val="20"/>
          <w:color w:val="auto"/>
        </w:rPr>
      </w:pPr>
      <w:r>
        <w:rPr>
          <w:rFonts w:ascii="Courier New" w:cs="Courier New" w:eastAsia="Courier New" w:hAnsi="Courier New"/>
          <w:sz w:val="18"/>
          <w:szCs w:val="18"/>
          <w:color w:val="auto"/>
        </w:rPr>
        <w:t>Schedule V</w:t>
      </w:r>
    </w:p>
    <w:p>
      <w:pPr>
        <w:ind w:left="2540"/>
        <w:spacing w:after="0"/>
        <w:rPr>
          <w:sz w:val="20"/>
          <w:szCs w:val="20"/>
          <w:color w:val="auto"/>
        </w:rPr>
      </w:pPr>
      <w:r>
        <w:rPr>
          <w:rFonts w:ascii="Courier New" w:cs="Courier New" w:eastAsia="Courier New" w:hAnsi="Courier New"/>
          <w:sz w:val="18"/>
          <w:szCs w:val="18"/>
          <w:color w:val="auto"/>
        </w:rPr>
        <w:t>Property, Plant, and Equipment</w:t>
      </w:r>
    </w:p>
    <w:tbl>
      <w:tblPr>
        <w:tblLayout w:type="fixed"/>
        <w:tblInd w:w="0" w:type="dxa"/>
        <w:tblCellMar>
          <w:top w:w="0" w:type="dxa"/>
          <w:left w:w="0" w:type="dxa"/>
          <w:bottom w:w="0" w:type="dxa"/>
          <w:right w:w="0" w:type="dxa"/>
        </w:tblCellMar>
      </w:tblPr>
      <w:tr>
        <w:trPr>
          <w:trHeight w:val="202"/>
        </w:trPr>
        <w:tc>
          <w:tcPr>
            <w:tcW w:w="2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20" w:type="dxa"/>
            <w:vAlign w:val="bottom"/>
            <w:gridSpan w:val="4"/>
          </w:tcPr>
          <w:p>
            <w:pPr>
              <w:jc w:val="right"/>
              <w:spacing w:after="0" w:line="202" w:lineRule="exact"/>
              <w:rPr>
                <w:sz w:val="20"/>
                <w:szCs w:val="20"/>
                <w:color w:val="auto"/>
              </w:rPr>
            </w:pPr>
            <w:r>
              <w:rPr>
                <w:rFonts w:ascii="Courier New" w:cs="Courier New" w:eastAsia="Courier New" w:hAnsi="Courier New"/>
                <w:sz w:val="18"/>
                <w:szCs w:val="18"/>
                <w:color w:val="auto"/>
                <w:w w:val="96"/>
              </w:rPr>
              <w:t>(Dollars in millions)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060" w:type="dxa"/>
            <w:vAlign w:val="bottom"/>
          </w:tcPr>
          <w:p>
            <w:pPr>
              <w:spacing w:after="0"/>
              <w:rPr>
                <w:sz w:val="24"/>
                <w:szCs w:val="24"/>
                <w:color w:val="auto"/>
              </w:rPr>
            </w:pPr>
          </w:p>
        </w:tc>
        <w:tc>
          <w:tcPr>
            <w:tcW w:w="1900" w:type="dxa"/>
            <w:vAlign w:val="bottom"/>
            <w:gridSpan w:val="2"/>
          </w:tcPr>
          <w:p>
            <w:pPr>
              <w:ind w:left="800"/>
              <w:spacing w:after="0"/>
              <w:rPr>
                <w:sz w:val="20"/>
                <w:szCs w:val="20"/>
                <w:color w:val="auto"/>
              </w:rPr>
            </w:pPr>
            <w:r>
              <w:rPr>
                <w:rFonts w:ascii="Courier New" w:cs="Courier New" w:eastAsia="Courier New" w:hAnsi="Courier New"/>
                <w:sz w:val="18"/>
                <w:szCs w:val="18"/>
                <w:color w:val="auto"/>
                <w:w w:val="99"/>
              </w:rPr>
              <w:t>Balance at</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060" w:type="dxa"/>
            <w:vAlign w:val="bottom"/>
          </w:tcPr>
          <w:p>
            <w:pPr>
              <w:spacing w:after="0"/>
              <w:rPr>
                <w:sz w:val="17"/>
                <w:szCs w:val="17"/>
                <w:color w:val="auto"/>
              </w:rPr>
            </w:pPr>
          </w:p>
        </w:tc>
        <w:tc>
          <w:tcPr>
            <w:tcW w:w="190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Beginning</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Additions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2060" w:type="dxa"/>
            <w:vAlign w:val="bottom"/>
          </w:tcPr>
          <w:p>
            <w:pPr>
              <w:spacing w:after="0"/>
              <w:rPr>
                <w:sz w:val="17"/>
                <w:szCs w:val="17"/>
                <w:color w:val="auto"/>
              </w:rPr>
            </w:pPr>
          </w:p>
        </w:tc>
        <w:tc>
          <w:tcPr>
            <w:tcW w:w="190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of Period</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 Cost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Retirements</w:t>
            </w:r>
          </w:p>
        </w:tc>
        <w:tc>
          <w:tcPr>
            <w:tcW w:w="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Period</w:t>
            </w:r>
          </w:p>
        </w:tc>
      </w:tr>
      <w:tr>
        <w:trPr>
          <w:trHeight w:val="203"/>
        </w:trPr>
        <w:tc>
          <w:tcPr>
            <w:tcW w:w="2060" w:type="dxa"/>
            <w:vAlign w:val="bottom"/>
          </w:tcPr>
          <w:p>
            <w:pPr>
              <w:spacing w:after="0"/>
              <w:rPr>
                <w:sz w:val="17"/>
                <w:szCs w:val="17"/>
                <w:color w:val="auto"/>
              </w:rPr>
            </w:pPr>
          </w:p>
        </w:tc>
        <w:tc>
          <w:tcPr>
            <w:tcW w:w="4220" w:type="dxa"/>
            <w:vAlign w:val="bottom"/>
            <w:gridSpan w:val="6"/>
          </w:tcPr>
          <w:p>
            <w:pPr>
              <w:ind w:left="800"/>
              <w:spacing w:after="0" w:line="203" w:lineRule="exact"/>
              <w:rPr>
                <w:sz w:val="20"/>
                <w:szCs w:val="20"/>
                <w:color w:val="auto"/>
              </w:rPr>
            </w:pPr>
            <w:r>
              <w:rPr>
                <w:rFonts w:ascii="Courier New" w:cs="Courier New" w:eastAsia="Courier New" w:hAnsi="Courier New"/>
                <w:sz w:val="18"/>
                <w:szCs w:val="18"/>
                <w:color w:val="auto"/>
                <w:w w:val="98"/>
              </w:rPr>
              <w:t>---------- --------- -----------</w:t>
            </w:r>
          </w:p>
        </w:tc>
        <w:tc>
          <w:tcPr>
            <w:tcW w:w="9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w w:val="97"/>
              </w:rPr>
              <w:t>Year ended September 1, 1994:</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217.7</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(0.5)</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578.8</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275.9</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(36.4)</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825.5</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24.6</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w:t>
            </w:r>
          </w:p>
        </w:tc>
        <w:tc>
          <w:tcPr>
            <w:tcW w:w="2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(49.4)</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68.7</w:t>
            </w:r>
          </w:p>
        </w:tc>
      </w:tr>
      <w:tr>
        <w:trPr>
          <w:trHeight w:val="203"/>
        </w:trPr>
        <w:tc>
          <w:tcPr>
            <w:tcW w:w="206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Totals</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$ 828.6</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$ 370.4</w:t>
            </w: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$(36.9)</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$1,162.1</w:t>
            </w:r>
          </w:p>
        </w:tc>
      </w:tr>
      <w:tr>
        <w:trPr>
          <w:trHeight w:val="203"/>
        </w:trPr>
        <w:tc>
          <w:tcPr>
            <w:tcW w:w="206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w w:val="97"/>
              </w:rPr>
              <w:t>Year ended September 2, 1993:</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212.6</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217.7</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471.2</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118.4</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(20.0)</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578.8</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w:t>
            </w:r>
          </w:p>
        </w:tc>
        <w:tc>
          <w:tcPr>
            <w:tcW w:w="26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w:t>
            </w:r>
          </w:p>
        </w:tc>
      </w:tr>
      <w:tr>
        <w:trPr>
          <w:trHeight w:val="203"/>
        </w:trPr>
        <w:tc>
          <w:tcPr>
            <w:tcW w:w="206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Totals</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$ 694.1</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$ 155.5</w:t>
            </w: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$(21.0)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828.6</w:t>
            </w:r>
          </w:p>
        </w:tc>
      </w:tr>
      <w:tr>
        <w:trPr>
          <w:trHeight w:val="203"/>
        </w:trPr>
        <w:tc>
          <w:tcPr>
            <w:tcW w:w="206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w w:val="97"/>
              </w:rPr>
              <w:t>Year ended September 3, 1992:</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207.2</w:t>
            </w:r>
          </w:p>
        </w:tc>
        <w:tc>
          <w:tcPr>
            <w:tcW w:w="320" w:type="dxa"/>
            <w:vAlign w:val="bottom"/>
          </w:tcPr>
          <w:p>
            <w:pPr>
              <w:spacing w:after="0"/>
              <w:rPr>
                <w:sz w:val="17"/>
                <w:szCs w:val="17"/>
                <w:color w:val="auto"/>
              </w:rPr>
            </w:pP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(0.3)</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212.6</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400.1</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(20.3)</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471.2</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w:t>
            </w:r>
          </w:p>
        </w:tc>
        <w:tc>
          <w:tcPr>
            <w:tcW w:w="26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(11.7)</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206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Totals</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$ 615.7</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99.0</w:t>
            </w: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$(20.6)</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694.1</w:t>
            </w:r>
          </w:p>
        </w:tc>
      </w:tr>
      <w:tr>
        <w:trPr>
          <w:trHeight w:val="203"/>
        </w:trPr>
        <w:tc>
          <w:tcPr>
            <w:tcW w:w="206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w:t>
            </w:r>
          </w:p>
        </w:tc>
      </w:tr>
    </w:tbl>
    <w:p>
      <w:pPr>
        <w:sectPr>
          <w:pgSz w:w="11900" w:h="16838" w:orient="portrait"/>
          <w:cols w:equalWidth="0" w:num="1">
            <w:col w:w="10219"/>
          </w:cols>
          <w:pgMar w:left="240" w:top="514" w:right="1440" w:bottom="1440" w:gutter="0" w:footer="0" w:header="0"/>
        </w:sectPr>
      </w:pPr>
    </w:p>
    <w:bookmarkStart w:id="46" w:name="page47"/>
    <w:bookmarkEnd w:id="46"/>
    <w:p>
      <w:pPr>
        <w:jc w:val="center"/>
        <w:ind w:right="1459"/>
        <w:spacing w:after="0"/>
        <w:rPr>
          <w:sz w:val="20"/>
          <w:szCs w:val="20"/>
          <w:color w:val="auto"/>
        </w:rPr>
      </w:pPr>
      <w:r>
        <w:rPr>
          <w:rFonts w:ascii="Courier New" w:cs="Courier New" w:eastAsia="Courier New" w:hAnsi="Courier New"/>
          <w:sz w:val="18"/>
          <w:szCs w:val="18"/>
          <w:color w:val="auto"/>
        </w:rPr>
        <w:t>MICRON TECHNOLOGY, INC.</w:t>
      </w:r>
    </w:p>
    <w:p>
      <w:pPr>
        <w:jc w:val="center"/>
        <w:ind w:right="1459"/>
        <w:spacing w:after="0" w:line="238" w:lineRule="auto"/>
        <w:rPr>
          <w:sz w:val="20"/>
          <w:szCs w:val="20"/>
          <w:color w:val="auto"/>
        </w:rPr>
      </w:pPr>
      <w:r>
        <w:rPr>
          <w:rFonts w:ascii="Courier New" w:cs="Courier New" w:eastAsia="Courier New" w:hAnsi="Courier New"/>
          <w:sz w:val="18"/>
          <w:szCs w:val="18"/>
          <w:color w:val="auto"/>
        </w:rPr>
        <w:t>Schedule VI</w:t>
      </w:r>
    </w:p>
    <w:p>
      <w:pPr>
        <w:jc w:val="center"/>
        <w:ind w:right="1359"/>
        <w:spacing w:after="0"/>
        <w:rPr>
          <w:sz w:val="20"/>
          <w:szCs w:val="20"/>
          <w:color w:val="auto"/>
        </w:rPr>
      </w:pPr>
      <w:r>
        <w:rPr>
          <w:rFonts w:ascii="Courier New" w:cs="Courier New" w:eastAsia="Courier New" w:hAnsi="Courier New"/>
          <w:sz w:val="18"/>
          <w:szCs w:val="18"/>
          <w:color w:val="auto"/>
        </w:rPr>
        <w:t>Accumulated Depreciation and Amortization of</w:t>
      </w:r>
    </w:p>
    <w:tbl>
      <w:tblPr>
        <w:tblLayout w:type="fixed"/>
        <w:tblInd w:w="0" w:type="dxa"/>
        <w:tblCellMar>
          <w:top w:w="0" w:type="dxa"/>
          <w:left w:w="0" w:type="dxa"/>
          <w:bottom w:w="0" w:type="dxa"/>
          <w:right w:w="0" w:type="dxa"/>
        </w:tblCellMar>
      </w:tblPr>
      <w:tr>
        <w:trPr>
          <w:trHeight w:val="202"/>
        </w:trPr>
        <w:tc>
          <w:tcPr>
            <w:tcW w:w="448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Property, Plant,</w:t>
            </w:r>
          </w:p>
        </w:tc>
        <w:tc>
          <w:tcPr>
            <w:tcW w:w="1540" w:type="dxa"/>
            <w:vAlign w:val="bottom"/>
            <w:gridSpan w:val="3"/>
          </w:tcPr>
          <w:p>
            <w:pPr>
              <w:ind w:left="60"/>
              <w:spacing w:after="0" w:line="202" w:lineRule="exact"/>
              <w:rPr>
                <w:sz w:val="20"/>
                <w:szCs w:val="20"/>
                <w:color w:val="auto"/>
              </w:rPr>
            </w:pPr>
            <w:r>
              <w:rPr>
                <w:rFonts w:ascii="Courier New" w:cs="Courier New" w:eastAsia="Courier New" w:hAnsi="Courier New"/>
                <w:sz w:val="18"/>
                <w:szCs w:val="18"/>
                <w:color w:val="auto"/>
              </w:rPr>
              <w:t>and Equipment</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5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(Dollars in millions)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Additions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Balance at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Charged to</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Beginning of</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Costs and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Balance at</w:t>
            </w:r>
          </w:p>
        </w:tc>
      </w:tr>
      <w:tr>
        <w:trPr>
          <w:trHeight w:val="203"/>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Period</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Expenses</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Retirements</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End of Period</w:t>
            </w:r>
          </w:p>
        </w:tc>
      </w:tr>
      <w:tr>
        <w:trPr>
          <w:trHeight w:val="203"/>
        </w:trPr>
        <w:tc>
          <w:tcPr>
            <w:tcW w:w="306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Year ended September 1, 1994:</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72.8</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318.0</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124.6</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(31.1)</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411.5</w:t>
            </w:r>
          </w:p>
        </w:tc>
      </w:tr>
      <w:tr>
        <w:trPr>
          <w:trHeight w:val="203"/>
        </w:trPr>
        <w:tc>
          <w:tcPr>
            <w:tcW w:w="306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390.8</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138.8</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(31.1)</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498.5</w:t>
            </w:r>
          </w:p>
        </w:tc>
      </w:tr>
      <w:tr>
        <w:trPr>
          <w:trHeight w:val="203"/>
        </w:trPr>
        <w:tc>
          <w:tcPr>
            <w:tcW w:w="306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Year ended September 2, 1993:</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59.8</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238.0</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98.0</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318.0</w:t>
            </w:r>
          </w:p>
        </w:tc>
      </w:tr>
      <w:tr>
        <w:trPr>
          <w:trHeight w:val="203"/>
        </w:trPr>
        <w:tc>
          <w:tcPr>
            <w:tcW w:w="306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297.8</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111.9</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390.8</w:t>
            </w:r>
          </w:p>
        </w:tc>
      </w:tr>
      <w:tr>
        <w:trPr>
          <w:trHeight w:val="203"/>
        </w:trPr>
        <w:tc>
          <w:tcPr>
            <w:tcW w:w="306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Year ended September 3, 1992:</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46.3</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180.0</w:t>
            </w:r>
          </w:p>
        </w:tc>
        <w:tc>
          <w:tcPr>
            <w:tcW w:w="3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80.5</w:t>
            </w:r>
          </w:p>
        </w:tc>
        <w:tc>
          <w:tcPr>
            <w:tcW w:w="38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w:t>
            </w:r>
          </w:p>
        </w:tc>
        <w:tc>
          <w:tcPr>
            <w:tcW w:w="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238.0</w:t>
            </w:r>
          </w:p>
        </w:tc>
      </w:tr>
      <w:tr>
        <w:trPr>
          <w:trHeight w:val="203"/>
        </w:trPr>
        <w:tc>
          <w:tcPr>
            <w:tcW w:w="306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226.3</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94.2</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(22.7)</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297.8</w:t>
            </w:r>
          </w:p>
        </w:tc>
      </w:tr>
      <w:tr>
        <w:trPr>
          <w:trHeight w:val="203"/>
        </w:trPr>
        <w:tc>
          <w:tcPr>
            <w:tcW w:w="306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w:t>
            </w:r>
          </w:p>
        </w:tc>
      </w:tr>
    </w:tbl>
    <w:p>
      <w:pPr>
        <w:sectPr>
          <w:pgSz w:w="11900" w:h="16838" w:orient="portrait"/>
          <w:cols w:equalWidth="0" w:num="1">
            <w:col w:w="10219"/>
          </w:cols>
          <w:pgMar w:left="240" w:top="514" w:right="1440" w:bottom="1440" w:gutter="0" w:footer="0" w:header="0"/>
        </w:sectPr>
      </w:pPr>
    </w:p>
    <w:bookmarkStart w:id="47" w:name="page48"/>
    <w:bookmarkEnd w:id="47"/>
    <w:p>
      <w:pPr>
        <w:ind w:left="2860"/>
        <w:spacing w:after="0"/>
        <w:rPr>
          <w:sz w:val="20"/>
          <w:szCs w:val="20"/>
          <w:color w:val="auto"/>
        </w:rPr>
      </w:pPr>
      <w:r>
        <w:rPr>
          <w:rFonts w:ascii="Courier New" w:cs="Courier New" w:eastAsia="Courier New" w:hAnsi="Courier New"/>
          <w:sz w:val="18"/>
          <w:szCs w:val="18"/>
          <w:color w:val="auto"/>
        </w:rPr>
        <w:t>MICRON TECHNOLOGY, INC.</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490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Schedule X</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48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Supplementary Income Statement Information</w:t>
            </w:r>
          </w:p>
        </w:tc>
      </w:tr>
      <w:tr>
        <w:trPr>
          <w:trHeight w:val="203"/>
        </w:trPr>
        <w:tc>
          <w:tcPr>
            <w:tcW w:w="480" w:type="dxa"/>
            <w:vAlign w:val="bottom"/>
          </w:tcPr>
          <w:p>
            <w:pPr>
              <w:spacing w:after="0"/>
              <w:rPr>
                <w:sz w:val="17"/>
                <w:szCs w:val="17"/>
                <w:color w:val="auto"/>
              </w:rPr>
            </w:pPr>
          </w:p>
        </w:tc>
        <w:tc>
          <w:tcPr>
            <w:tcW w:w="490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(Dollars in millions)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Charged to</w:t>
            </w:r>
          </w:p>
        </w:tc>
      </w:tr>
      <w:tr>
        <w:trPr>
          <w:trHeight w:val="203"/>
        </w:trPr>
        <w:tc>
          <w:tcPr>
            <w:tcW w:w="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Costs and</w:t>
            </w:r>
          </w:p>
        </w:tc>
      </w:tr>
      <w:tr>
        <w:trPr>
          <w:trHeight w:val="203"/>
        </w:trPr>
        <w:tc>
          <w:tcPr>
            <w:tcW w:w="480" w:type="dxa"/>
            <w:vAlign w:val="bottom"/>
          </w:tcPr>
          <w:p>
            <w:pPr>
              <w:spacing w:after="0"/>
              <w:rPr>
                <w:sz w:val="17"/>
                <w:szCs w:val="17"/>
                <w:color w:val="auto"/>
              </w:rPr>
            </w:pPr>
          </w:p>
        </w:tc>
        <w:tc>
          <w:tcPr>
            <w:tcW w:w="490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rPr>
              <w:t>Item</w:t>
            </w: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Expenses</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 - ----------------------------------------------</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Year-ended September 1, 1994:</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Taxes, other than payroll and income taxes: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490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rPr>
              <w:t>Property taxes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Royalties</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128.3</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Year-ended September 2, 1993:</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Taxes, other than payroll and income taxes: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490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rPr>
              <w:t>Property taxes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Royalties</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77.8</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Year-ended September 3, 1992:</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Taxes, other than payroll and income taxes: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490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rPr>
              <w:t>Property taxes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Royalties</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45.2</w:t>
            </w:r>
          </w:p>
        </w:tc>
      </w:tr>
    </w:tbl>
    <w:p>
      <w:pPr>
        <w:spacing w:after="0" w:line="200" w:lineRule="exact"/>
        <w:rPr>
          <w:sz w:val="20"/>
          <w:szCs w:val="20"/>
          <w:color w:val="auto"/>
        </w:rPr>
      </w:pPr>
    </w:p>
    <w:p>
      <w:pPr>
        <w:spacing w:after="0" w:line="20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514"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5200" w:type="dxa"/>
            <w:vAlign w:val="bottom"/>
          </w:tcPr>
          <w:p>
            <w:pPr>
              <w:ind w:left="1840"/>
              <w:spacing w:after="0"/>
              <w:rPr>
                <w:sz w:val="20"/>
                <w:szCs w:val="20"/>
                <w:color w:val="auto"/>
              </w:rPr>
            </w:pPr>
            <w:r>
              <w:rPr>
                <w:rFonts w:ascii="Courier New" w:cs="Courier New" w:eastAsia="Courier New" w:hAnsi="Courier New"/>
                <w:sz w:val="18"/>
                <w:szCs w:val="18"/>
                <w:color w:val="auto"/>
              </w:rPr>
              <w:t>INDEX TO EXHIBITS</w:t>
            </w:r>
          </w:p>
        </w:tc>
      </w:tr>
      <w:tr>
        <w:trPr>
          <w:trHeight w:val="608"/>
        </w:trPr>
        <w:tc>
          <w:tcPr>
            <w:tcW w:w="14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5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Certificate of Incorportation of Registrant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3.7</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Bylaws of the Registrant as amended</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11.1</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Computation of Per Share Earnings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21.1</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Subsidiaries of the Registrant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23.1</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Consent of Independent Accountants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27.1</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Financial Data Schedule</w:t>
            </w:r>
          </w:p>
        </w:tc>
      </w:tr>
    </w:tbl>
    <w:p>
      <w:pPr>
        <w:sectPr>
          <w:pgSz w:w="11900" w:h="16838" w:orient="portrait"/>
          <w:cols w:equalWidth="0" w:num="1">
            <w:col w:w="10219"/>
          </w:cols>
          <w:pgMar w:left="240" w:top="514" w:right="1440" w:bottom="1440" w:gutter="0" w:footer="0" w:header="0"/>
        </w:sectPr>
      </w:pPr>
    </w:p>
    <w:bookmarkStart w:id="49" w:name="page50"/>
    <w:bookmarkEnd w:id="49"/>
    <w:p>
      <w:pPr>
        <w:ind w:left="2960"/>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INCORPORATION</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7" w:lineRule="auto"/>
        <w:rPr>
          <w:sz w:val="20"/>
          <w:szCs w:val="20"/>
          <w:color w:val="auto"/>
        </w:rPr>
      </w:pPr>
      <w:r>
        <w:rPr>
          <w:rFonts w:ascii="Courier New" w:cs="Courier New" w:eastAsia="Courier New" w:hAnsi="Courier New"/>
          <w:sz w:val="18"/>
          <w:szCs w:val="18"/>
          <w:color w:val="auto"/>
        </w:rPr>
        <w:t>* * * * *</w:t>
      </w:r>
    </w:p>
    <w:p>
      <w:pPr>
        <w:spacing w:after="0" w:line="202"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MICRON TECHNOLOGY, INC.</w:t>
      </w:r>
    </w:p>
    <w:p>
      <w:pPr>
        <w:spacing w:after="0" w:line="207" w:lineRule="exact"/>
        <w:rPr>
          <w:rFonts w:ascii="Courier New" w:cs="Courier New" w:eastAsia="Courier New" w:hAnsi="Courier New"/>
          <w:sz w:val="18"/>
          <w:szCs w:val="18"/>
          <w:color w:val="auto"/>
        </w:rPr>
      </w:pPr>
    </w:p>
    <w:p>
      <w:pPr>
        <w:ind w:right="3899" w:firstLine="8"/>
        <w:spacing w:after="0" w:line="237"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its registered office in the State of Delaware is No. 100 West Tenth Street, in the City of Wilmington, County of New Castle. The name of its registered agent at such address is The Corporation Trust Company.</w:t>
      </w:r>
    </w:p>
    <w:p>
      <w:pPr>
        <w:spacing w:after="0" w:line="208" w:lineRule="exact"/>
        <w:rPr>
          <w:rFonts w:ascii="Courier New" w:cs="Courier New" w:eastAsia="Courier New" w:hAnsi="Courier New"/>
          <w:sz w:val="18"/>
          <w:szCs w:val="18"/>
          <w:color w:val="auto"/>
        </w:rPr>
      </w:pPr>
    </w:p>
    <w:p>
      <w:pPr>
        <w:ind w:right="3679" w:firstLine="8"/>
        <w:spacing w:after="0" w:line="237"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nature of the business or purposes to be conducted or promoted is to engage in any lawful act or activity for which corporations may be organized under the General Corporation Law of Delaware.</w:t>
      </w:r>
    </w:p>
    <w:p>
      <w:pPr>
        <w:spacing w:after="0" w:line="207" w:lineRule="exact"/>
        <w:rPr>
          <w:rFonts w:ascii="Courier New" w:cs="Courier New" w:eastAsia="Courier New" w:hAnsi="Courier New"/>
          <w:sz w:val="18"/>
          <w:szCs w:val="18"/>
          <w:color w:val="auto"/>
        </w:rPr>
      </w:pPr>
    </w:p>
    <w:p>
      <w:pPr>
        <w:ind w:right="3899" w:firstLine="8"/>
        <w:spacing w:after="0" w:line="237"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of stock which the corporation shall have authority to issue is fifty million (50,000,000) and the par value of each of such shares is Ten Cents ($0.10) amounting in the aggregate to Five Million Dollars ($5,000,000.00).</w:t>
      </w:r>
    </w:p>
    <w:p>
      <w:pPr>
        <w:spacing w:after="0" w:line="209" w:lineRule="exact"/>
        <w:rPr>
          <w:sz w:val="20"/>
          <w:szCs w:val="20"/>
          <w:color w:val="auto"/>
        </w:rPr>
      </w:pPr>
    </w:p>
    <w:p>
      <w:pPr>
        <w:ind w:right="3679" w:firstLine="843"/>
        <w:spacing w:after="0" w:line="236" w:lineRule="auto"/>
        <w:rPr>
          <w:sz w:val="20"/>
          <w:szCs w:val="20"/>
          <w:color w:val="auto"/>
        </w:rPr>
      </w:pPr>
      <w:r>
        <w:rPr>
          <w:rFonts w:ascii="Courier New" w:cs="Courier New" w:eastAsia="Courier New" w:hAnsi="Courier New"/>
          <w:sz w:val="18"/>
          <w:szCs w:val="18"/>
          <w:color w:val="auto"/>
        </w:rPr>
        <w:t>At all elections of directors of the corporation, each stockholder shall be entitled to as many votes as shall equal the number of votes which (except for such provision</w:t>
      </w:r>
    </w:p>
    <w:p>
      <w:pPr>
        <w:spacing w:after="0" w:line="6" w:lineRule="exact"/>
        <w:rPr>
          <w:sz w:val="20"/>
          <w:szCs w:val="20"/>
          <w:color w:val="auto"/>
        </w:rPr>
      </w:pPr>
    </w:p>
    <w:p>
      <w:pPr>
        <w:ind w:right="3899"/>
        <w:spacing w:after="0" w:line="272" w:lineRule="auto"/>
        <w:rPr>
          <w:sz w:val="20"/>
          <w:szCs w:val="20"/>
          <w:color w:val="auto"/>
        </w:rPr>
      </w:pPr>
      <w:r>
        <w:rPr>
          <w:rFonts w:ascii="Courier New" w:cs="Courier New" w:eastAsia="Courier New" w:hAnsi="Courier New"/>
          <w:sz w:val="16"/>
          <w:szCs w:val="16"/>
          <w:color w:val="auto"/>
        </w:rPr>
        <w:t>as to cumulative voting) he would be entitled to cast for the election of directors with respect to his shares of stock multiplied by the number of directors to be elected by him, and he may cast all of such votes for a single director or may distribute them among the number to be voted for, or for any two or more of them as he may see fit.</w:t>
      </w:r>
    </w:p>
    <w:p>
      <w:pPr>
        <w:spacing w:after="0" w:line="186"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mailing address of each incorporator is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MAILING ADDRESS</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W. J. Reif</w:t>
            </w:r>
          </w:p>
        </w:tc>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West Tenth Street</w:t>
            </w:r>
          </w:p>
        </w:tc>
      </w:tr>
      <w:tr>
        <w:trPr>
          <w:trHeight w:val="203"/>
        </w:trPr>
        <w:tc>
          <w:tcPr>
            <w:tcW w:w="2000" w:type="dxa"/>
            <w:vAlign w:val="bottom"/>
          </w:tcPr>
          <w:p>
            <w:pPr>
              <w:spacing w:after="0"/>
              <w:rPr>
                <w:sz w:val="17"/>
                <w:szCs w:val="17"/>
                <w:color w:val="auto"/>
              </w:rPr>
            </w:pPr>
          </w:p>
        </w:tc>
        <w:tc>
          <w:tcPr>
            <w:tcW w:w="3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Wilmington, Delaware 19801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V. A. Brookens</w:t>
            </w:r>
          </w:p>
        </w:tc>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100</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West Tenth Street,</w:t>
            </w:r>
          </w:p>
        </w:tc>
      </w:tr>
      <w:tr>
        <w:trPr>
          <w:trHeight w:val="203"/>
        </w:trPr>
        <w:tc>
          <w:tcPr>
            <w:tcW w:w="2000" w:type="dxa"/>
            <w:vAlign w:val="bottom"/>
          </w:tcPr>
          <w:p>
            <w:pPr>
              <w:spacing w:after="0"/>
              <w:rPr>
                <w:sz w:val="17"/>
                <w:szCs w:val="17"/>
                <w:color w:val="auto"/>
              </w:rPr>
            </w:pPr>
          </w:p>
        </w:tc>
        <w:tc>
          <w:tcPr>
            <w:tcW w:w="3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Wilmington, Delaware 19801</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 L. Austin</w:t>
            </w:r>
          </w:p>
        </w:tc>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100</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West Tenth Street,</w:t>
            </w:r>
          </w:p>
        </w:tc>
      </w:tr>
      <w:tr>
        <w:trPr>
          <w:trHeight w:val="203"/>
        </w:trPr>
        <w:tc>
          <w:tcPr>
            <w:tcW w:w="2000" w:type="dxa"/>
            <w:vAlign w:val="bottom"/>
          </w:tcPr>
          <w:p>
            <w:pPr>
              <w:spacing w:after="0"/>
              <w:rPr>
                <w:sz w:val="17"/>
                <w:szCs w:val="17"/>
                <w:color w:val="auto"/>
              </w:rPr>
            </w:pPr>
          </w:p>
        </w:tc>
        <w:tc>
          <w:tcPr>
            <w:tcW w:w="3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Wilmington, Delaware 19801</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is to have perpetual existence.</w:t>
      </w:r>
    </w:p>
    <w:p>
      <w:pPr>
        <w:spacing w:after="0" w:line="206" w:lineRule="exact"/>
        <w:rPr>
          <w:rFonts w:ascii="Courier New" w:cs="Courier New" w:eastAsia="Courier New" w:hAnsi="Courier New"/>
          <w:sz w:val="18"/>
          <w:szCs w:val="18"/>
          <w:color w:val="auto"/>
        </w:rPr>
      </w:pPr>
    </w:p>
    <w:p>
      <w:pPr>
        <w:ind w:right="409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furtherance and not in limitation of the powers conferred by statute, the board of directors is expressly authorized to make, alter or repeal the by-laws of the corporation.</w:t>
      </w:r>
    </w:p>
    <w:p>
      <w:pPr>
        <w:spacing w:after="0" w:line="207" w:lineRule="exact"/>
        <w:rPr>
          <w:rFonts w:ascii="Courier New" w:cs="Courier New" w:eastAsia="Courier New" w:hAnsi="Courier New"/>
          <w:sz w:val="18"/>
          <w:szCs w:val="18"/>
          <w:color w:val="auto"/>
        </w:rPr>
      </w:pPr>
    </w:p>
    <w:p>
      <w:pPr>
        <w:ind w:right="3899" w:firstLine="8"/>
        <w:spacing w:after="0" w:line="290"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Elections of directors need not be by written ballot unless the by-laws of the corporation shall so provide.</w:t>
      </w:r>
    </w:p>
    <w:p>
      <w:pPr>
        <w:spacing w:after="0" w:line="17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Meetings of stockholders may by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211" w:lineRule="exact"/>
        <w:rPr>
          <w:sz w:val="20"/>
          <w:szCs w:val="20"/>
          <w:color w:val="auto"/>
        </w:rPr>
      </w:pPr>
    </w:p>
    <w:p>
      <w:pPr>
        <w:ind w:right="3899" w:firstLine="8"/>
        <w:spacing w:after="0" w:line="273"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200" w:lineRule="exact"/>
        <w:rPr>
          <w:sz w:val="20"/>
          <w:szCs w:val="20"/>
          <w:color w:val="auto"/>
        </w:rPr>
      </w:pPr>
    </w:p>
    <w:p>
      <w:pPr>
        <w:spacing w:after="0" w:line="363" w:lineRule="exact"/>
        <w:rPr>
          <w:sz w:val="20"/>
          <w:szCs w:val="20"/>
          <w:color w:val="auto"/>
        </w:rPr>
      </w:pPr>
    </w:p>
    <w:p>
      <w:pPr>
        <w:ind w:right="3899" w:firstLine="843"/>
        <w:spacing w:after="0" w:line="273" w:lineRule="auto"/>
        <w:rPr>
          <w:sz w:val="20"/>
          <w:szCs w:val="20"/>
          <w:color w:val="auto"/>
        </w:rPr>
      </w:pPr>
      <w:r>
        <w:rPr>
          <w:rFonts w:ascii="Courier New" w:cs="Courier New" w:eastAsia="Courier New" w:hAnsi="Courier New"/>
          <w:sz w:val="16"/>
          <w:szCs w:val="16"/>
          <w:color w:val="auto"/>
        </w:rPr>
        <w:t>WE, THE UNDERSIGNED, being each of the incorporators hereinbefore named, for the purpose of forming a corporation pursuant to the General Corporation Law of the State of Delaware, do make this certificate, hereby declaring and certifying that this is our act and deed and the facts</w:t>
      </w:r>
    </w:p>
    <w:p>
      <w:pPr>
        <w:sectPr>
          <w:pgSz w:w="11900" w:h="16838" w:orient="portrait"/>
          <w:cols w:equalWidth="0" w:num="1">
            <w:col w:w="10219"/>
          </w:cols>
          <w:pgMar w:left="240" w:top="136" w:right="1440" w:bottom="0" w:gutter="0" w:footer="0" w:header="0"/>
        </w:sectPr>
      </w:pPr>
    </w:p>
    <w:bookmarkStart w:id="50" w:name="page51"/>
    <w:bookmarkEnd w:id="50"/>
    <w:p>
      <w:pPr>
        <w:ind w:right="4199"/>
        <w:spacing w:after="0" w:line="235" w:lineRule="auto"/>
        <w:rPr>
          <w:sz w:val="20"/>
          <w:szCs w:val="20"/>
          <w:color w:val="auto"/>
        </w:rPr>
      </w:pPr>
      <w:r>
        <w:rPr>
          <w:rFonts w:ascii="Courier New" w:cs="Courier New" w:eastAsia="Courier New" w:hAnsi="Courier New"/>
          <w:sz w:val="18"/>
          <w:szCs w:val="18"/>
          <w:color w:val="auto"/>
        </w:rPr>
        <w:t>herein stated are true, and accordingly have hereunto set our hands this 6th day of April, 1984.</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 J. REIF</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 J. REIF</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 A. BROOKENS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V.A. BROOKENS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J. L. AUSTIN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J. L. AUSTIN</w:t>
      </w:r>
    </w:p>
    <w:p>
      <w:pPr>
        <w:sectPr>
          <w:pgSz w:w="11900" w:h="16838" w:orient="portrait"/>
          <w:cols w:equalWidth="0" w:num="1">
            <w:col w:w="10219"/>
          </w:cols>
          <w:pgMar w:left="240" w:top="142"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CERTIFICATE OF FIRST AMENDMENT</w:t>
      </w:r>
    </w:p>
    <w:p>
      <w:pPr>
        <w:spacing w:after="0" w:line="238" w:lineRule="auto"/>
        <w:rPr>
          <w:sz w:val="20"/>
          <w:szCs w:val="20"/>
          <w:color w:val="auto"/>
        </w:rPr>
      </w:pPr>
      <w:r>
        <w:rPr>
          <w:rFonts w:ascii="Courier New" w:cs="Courier New" w:eastAsia="Courier New" w:hAnsi="Courier New"/>
          <w:sz w:val="18"/>
          <w:szCs w:val="18"/>
          <w:color w:val="auto"/>
        </w:rPr>
        <w:t>TO THE CERTIFICATE OF INCORPORATION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3779" w:firstLine="843"/>
        <w:spacing w:after="0" w:line="238" w:lineRule="auto"/>
        <w:rPr>
          <w:sz w:val="20"/>
          <w:szCs w:val="20"/>
          <w:color w:val="auto"/>
        </w:rPr>
      </w:pPr>
      <w:r>
        <w:rPr>
          <w:rFonts w:ascii="Courier New" w:cs="Courier New" w:eastAsia="Courier New" w:hAnsi="Courier New"/>
          <w:sz w:val="18"/>
          <w:szCs w:val="18"/>
          <w:color w:val="auto"/>
        </w:rPr>
        <w:t>The undersigned, Juan A. Benitez, President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1986 which sets forth the proposed amendment, declared its advisability and directed that it be considered at the Annual Meeting of Shareholders. At the regularly scheduled Annual Meeting of Shareholders held on January 26, 1987, after due notice thereof in accordance with the law, a majority of said shareholders entitled to vote thereon has been voted in favor of said amendment. Said amendment as adopted and approved adds the following provisions to the Certificate of Incorporation:</w:t>
      </w:r>
    </w:p>
    <w:p>
      <w:pPr>
        <w:spacing w:after="0" w:line="209" w:lineRule="exact"/>
        <w:rPr>
          <w:sz w:val="20"/>
          <w:szCs w:val="20"/>
          <w:color w:val="auto"/>
        </w:rPr>
      </w:pPr>
    </w:p>
    <w:p>
      <w:pPr>
        <w:ind w:right="3459" w:firstLine="851"/>
        <w:spacing w:after="0" w:line="236" w:lineRule="auto"/>
        <w:tabs>
          <w:tab w:leader="none" w:pos="168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and to the full extent permitted by Section 102(b) and any other relevant provisions of the General Corporation Law of the State of Delaware, no</w:t>
      </w:r>
    </w:p>
    <w:p>
      <w:pPr>
        <w:spacing w:after="0" w:line="6" w:lineRule="exact"/>
        <w:rPr>
          <w:rFonts w:ascii="Courier New" w:cs="Courier New" w:eastAsia="Courier New" w:hAnsi="Courier New"/>
          <w:sz w:val="18"/>
          <w:szCs w:val="18"/>
          <w:color w:val="auto"/>
        </w:rPr>
      </w:pPr>
    </w:p>
    <w:p>
      <w:pPr>
        <w:ind w:right="40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 shall be liable to the corporation or its stockholders for monetary damages for breach of fiduciary duty as a director, provided that this provision shall not eliminate or limit the liability of a director (i) for any breach of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w:t>
      </w:r>
    </w:p>
    <w:p>
      <w:pPr>
        <w:spacing w:after="0" w:line="391" w:lineRule="exact"/>
        <w:rPr>
          <w:rFonts w:ascii="Courier New" w:cs="Courier New" w:eastAsia="Courier New" w:hAnsi="Courier New"/>
          <w:sz w:val="18"/>
          <w:szCs w:val="18"/>
          <w:color w:val="auto"/>
        </w:rPr>
      </w:pPr>
    </w:p>
    <w:p>
      <w:pPr>
        <w:ind w:right="3359" w:firstLine="851"/>
        <w:spacing w:after="0" w:line="268" w:lineRule="auto"/>
        <w:tabs>
          <w:tab w:leader="none" w:pos="168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and to the full extent permitted by, Section 145 and any other relevant provisions of the General Corporation Law of the State of Delaware, the corporation shall, and is hereby obligated to, indemnify any person, or</w:t>
      </w:r>
    </w:p>
    <w:p>
      <w:pPr>
        <w:ind w:right="38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heirs, executors, or administrators of such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The corporation shall, and is hereby obligated to, indemnify any of said persons in each and every situation where the corporation is obligated to make such indemnification pursuant to said statutory provisions. The corporation shall also, and is hereby obligated to, indemnify any of said persons in each and every situation where, under the aforesaid statutory provisions, the corporation is not obligated, but is nevertheless permitted or empowered, to make such indemnification, it being understood that, prior to making such indemnification, the corporation shall make, or cause to be made, such determinations or decisions, following such procedures or methods, as are required by said statutes.</w:t>
      </w:r>
    </w:p>
    <w:p>
      <w:pPr>
        <w:spacing w:after="0" w:line="200" w:lineRule="exact"/>
        <w:rPr>
          <w:sz w:val="20"/>
          <w:szCs w:val="20"/>
          <w:color w:val="auto"/>
        </w:rPr>
      </w:pPr>
    </w:p>
    <w:p>
      <w:pPr>
        <w:spacing w:after="0" w:line="396" w:lineRule="exact"/>
        <w:rPr>
          <w:sz w:val="20"/>
          <w:szCs w:val="20"/>
          <w:color w:val="auto"/>
        </w:rPr>
      </w:pPr>
    </w:p>
    <w:p>
      <w:pPr>
        <w:ind w:right="3679" w:firstLine="843"/>
        <w:spacing w:after="0" w:line="236" w:lineRule="auto"/>
        <w:rPr>
          <w:sz w:val="20"/>
          <w:szCs w:val="20"/>
          <w:color w:val="auto"/>
        </w:rPr>
      </w:pPr>
      <w:r>
        <w:rPr>
          <w:rFonts w:ascii="Courier New" w:cs="Courier New" w:eastAsia="Courier New" w:hAnsi="Courier New"/>
          <w:sz w:val="18"/>
          <w:szCs w:val="18"/>
          <w:color w:val="auto"/>
        </w:rPr>
        <w:t>IN WITNESS WHEREOF, we have hereunto set our hands and affixed the corporate seal of said corporation as of this 28th of January 1987.</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Juan A. Benitez</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Juan A. Benitez, President</w:t>
      </w:r>
    </w:p>
    <w:p>
      <w:pPr>
        <w:spacing w:after="0" w:line="237" w:lineRule="auto"/>
        <w:rPr>
          <w:sz w:val="20"/>
          <w:szCs w:val="20"/>
          <w:color w:val="auto"/>
        </w:rPr>
      </w:pPr>
      <w:r>
        <w:rPr>
          <w:rFonts w:ascii="Courier New" w:cs="Courier New" w:eastAsia="Courier New" w:hAnsi="Courier New"/>
          <w:sz w:val="18"/>
          <w:szCs w:val="18"/>
          <w:color w:val="auto"/>
        </w:rPr>
        <w:t>Cathy L. Smith</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Cathy L. Smith, Secretary</w:t>
      </w:r>
    </w:p>
    <w:p>
      <w:pPr>
        <w:sectPr>
          <w:pgSz w:w="11900" w:h="16838" w:orient="portrait"/>
          <w:cols w:equalWidth="0" w:num="1">
            <w:col w:w="10219"/>
          </w:cols>
          <w:pgMar w:left="240" w:top="514" w:right="1440" w:bottom="97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ACKNOWLEDGMENT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IDAHO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ADA</w:t>
      </w:r>
    </w:p>
    <w:p>
      <w:pPr>
        <w:spacing w:after="0" w:line="207" w:lineRule="exact"/>
        <w:rPr>
          <w:sz w:val="20"/>
          <w:szCs w:val="20"/>
          <w:color w:val="auto"/>
        </w:rPr>
      </w:pPr>
    </w:p>
    <w:p>
      <w:pPr>
        <w:ind w:right="3999" w:firstLine="843"/>
        <w:spacing w:after="0" w:line="272" w:lineRule="auto"/>
        <w:rPr>
          <w:sz w:val="20"/>
          <w:szCs w:val="20"/>
          <w:color w:val="auto"/>
        </w:rPr>
      </w:pPr>
      <w:r>
        <w:rPr>
          <w:rFonts w:ascii="Courier New" w:cs="Courier New" w:eastAsia="Courier New" w:hAnsi="Courier New"/>
          <w:sz w:val="16"/>
          <w:szCs w:val="16"/>
          <w:color w:val="auto"/>
        </w:rPr>
        <w:t>The foregoing instrument was acknowledged before me this 28th day of January, 1987 by Juan A. Benitez, as President and Cathy L. Smith, as Corporate Secretary of Micron Technology, Inc., a Delaware corporation, on behalf of the corporation and that the same is the act and deed of the corporation and the facts stated therein are true.</w:t>
      </w:r>
    </w:p>
    <w:p>
      <w:pPr>
        <w:spacing w:after="0" w:line="180"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Jill L. Henson</w:t>
      </w:r>
    </w:p>
    <w:p>
      <w:pPr>
        <w:jc w:val="right"/>
        <w:ind w:right="3039"/>
        <w:spacing w:after="0" w:line="238" w:lineRule="auto"/>
        <w:rPr>
          <w:sz w:val="20"/>
          <w:szCs w:val="20"/>
          <w:color w:val="auto"/>
        </w:rPr>
      </w:pPr>
      <w:r>
        <w:rPr>
          <w:rFonts w:ascii="Courier New" w:cs="Courier New" w:eastAsia="Courier New" w:hAnsi="Courier New"/>
          <w:sz w:val="18"/>
          <w:szCs w:val="18"/>
          <w:color w:val="auto"/>
        </w:rPr>
        <w:t>Notary Public --------------</w:t>
      </w:r>
    </w:p>
    <w:p>
      <w:pPr>
        <w:ind w:left="6540"/>
        <w:spacing w:after="0"/>
        <w:rPr>
          <w:sz w:val="20"/>
          <w:szCs w:val="20"/>
          <w:color w:val="auto"/>
        </w:rPr>
      </w:pPr>
      <w:r>
        <w:rPr>
          <w:rFonts w:ascii="Courier New" w:cs="Courier New" w:eastAsia="Courier New" w:hAnsi="Courier New"/>
          <w:sz w:val="18"/>
          <w:szCs w:val="18"/>
          <w:color w:val="auto"/>
        </w:rPr>
        <w:t>7/88</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My commission expires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CERTIFICATE OF SECOND AMENDMENT</w:t>
      </w:r>
    </w:p>
    <w:p>
      <w:pPr>
        <w:spacing w:after="0" w:line="238" w:lineRule="auto"/>
        <w:rPr>
          <w:sz w:val="20"/>
          <w:szCs w:val="20"/>
          <w:color w:val="auto"/>
        </w:rPr>
      </w:pPr>
      <w:r>
        <w:rPr>
          <w:rFonts w:ascii="Courier New" w:cs="Courier New" w:eastAsia="Courier New" w:hAnsi="Courier New"/>
          <w:sz w:val="18"/>
          <w:szCs w:val="18"/>
          <w:color w:val="auto"/>
        </w:rPr>
        <w:t>TO THE CERTIFICATE OF INCORPORATION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3679" w:firstLine="843"/>
        <w:spacing w:after="0" w:line="270" w:lineRule="auto"/>
        <w:rPr>
          <w:sz w:val="20"/>
          <w:szCs w:val="20"/>
          <w:color w:val="auto"/>
        </w:rPr>
      </w:pPr>
      <w:r>
        <w:rPr>
          <w:rFonts w:ascii="Courier New" w:cs="Courier New" w:eastAsia="Courier New" w:hAnsi="Courier New"/>
          <w:sz w:val="16"/>
          <w:szCs w:val="16"/>
          <w:color w:val="auto"/>
        </w:rPr>
        <w:t>The undersigned, Randal W. Chance, President and Chief Operating Officer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31, 1988 which sets forth the proposed amendment, declared its advisability and directed that it be considered at the Company's Annual Meeting of Shareholders.</w:t>
      </w:r>
    </w:p>
    <w:p>
      <w:pPr>
        <w:spacing w:after="0" w:line="18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At the regularly scheduled 1988 Annual Meeting of Shareholders held on January 30, 1989, after due notice thereof in accordance with the law, a majority of the outstanding stock entitled to vote thereon has been voted in favor of said amendment. Said amendment as adopted and approved amends paragraph 4 of the Certificate of Incorporation to read as follows:</w:t>
      </w:r>
    </w:p>
    <w:p>
      <w:pPr>
        <w:spacing w:after="0" w:line="211" w:lineRule="exact"/>
        <w:rPr>
          <w:sz w:val="20"/>
          <w:szCs w:val="20"/>
          <w:color w:val="auto"/>
        </w:rPr>
      </w:pPr>
    </w:p>
    <w:p>
      <w:pPr>
        <w:ind w:right="3779" w:firstLine="851"/>
        <w:spacing w:after="0" w:line="237" w:lineRule="auto"/>
        <w:tabs>
          <w:tab w:leader="none" w:pos="168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of stock which the corporation shall have authority to issue is one hundred million (100,000,000) and the par value of each of such shares is Ten Cents ($0.10) amounting in the aggregate to Ten Million Dollars ($10,000,000.00)</w:t>
      </w:r>
    </w:p>
    <w:p>
      <w:pPr>
        <w:spacing w:after="0" w:line="209" w:lineRule="exact"/>
        <w:rPr>
          <w:sz w:val="20"/>
          <w:szCs w:val="20"/>
          <w:color w:val="auto"/>
        </w:rPr>
      </w:pPr>
    </w:p>
    <w:p>
      <w:pPr>
        <w:ind w:right="3679" w:firstLine="843"/>
        <w:spacing w:after="0" w:line="236" w:lineRule="auto"/>
        <w:rPr>
          <w:sz w:val="20"/>
          <w:szCs w:val="20"/>
          <w:color w:val="auto"/>
        </w:rPr>
      </w:pPr>
      <w:r>
        <w:rPr>
          <w:rFonts w:ascii="Courier New" w:cs="Courier New" w:eastAsia="Courier New" w:hAnsi="Courier New"/>
          <w:sz w:val="18"/>
          <w:szCs w:val="18"/>
          <w:color w:val="auto"/>
        </w:rPr>
        <w:t>IN WITNESS WHEREOF, we have hereunto set our hands and affixed the corporate seal of said corporation as of the 31st of January, 1989.</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Randal W. Chance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Randal W. Chance, President and</w:t>
      </w:r>
    </w:p>
    <w:p>
      <w:pPr>
        <w:ind w:left="42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38" w:lineRule="auto"/>
        <w:rPr>
          <w:sz w:val="20"/>
          <w:szCs w:val="20"/>
          <w:color w:val="auto"/>
        </w:rPr>
      </w:pPr>
      <w:r>
        <w:rPr>
          <w:rFonts w:ascii="Courier New" w:cs="Courier New" w:eastAsia="Courier New" w:hAnsi="Courier New"/>
          <w:sz w:val="18"/>
          <w:szCs w:val="18"/>
          <w:color w:val="auto"/>
        </w:rPr>
        <w:t>Cathy L. Smith</w:t>
      </w: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Cathy L. Smith, 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IDAHO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ADA</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foregoing instrument was acknowledged before me this 31st day of January, 1989 by Randal W. Chance, as President and Chief Operation Officer and Cathy L. Smith as Corporate Secretary of Micron Technology, Inc., a Delware corporation, on behalf of the corporation and that the same is the act and deed of the corporation and the facts stated therein are true.</w:t>
      </w: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Benicia R. Morrison</w:t>
      </w:r>
    </w:p>
    <w:p>
      <w:pPr>
        <w:ind w:left="2960"/>
        <w:spacing w:after="0"/>
        <w:tabs>
          <w:tab w:leader="none" w:pos="45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w:t>
      </w:r>
    </w:p>
    <w:p>
      <w:pPr>
        <w:jc w:val="center"/>
        <w:ind w:right="399"/>
        <w:spacing w:after="0"/>
        <w:rPr>
          <w:sz w:val="20"/>
          <w:szCs w:val="20"/>
          <w:color w:val="auto"/>
        </w:rPr>
      </w:pPr>
      <w:r>
        <w:rPr>
          <w:rFonts w:ascii="Courier New" w:cs="Courier New" w:eastAsia="Courier New" w:hAnsi="Courier New"/>
          <w:sz w:val="18"/>
          <w:szCs w:val="18"/>
          <w:color w:val="auto"/>
        </w:rPr>
        <w:t>6-24-94</w:t>
      </w:r>
    </w:p>
    <w:p>
      <w:pPr>
        <w:ind w:left="2120"/>
        <w:spacing w:after="0"/>
        <w:tabs>
          <w:tab w:leader="none" w:pos="4520" w:val="left"/>
        </w:tabs>
        <w:rPr>
          <w:sz w:val="20"/>
          <w:szCs w:val="20"/>
          <w:color w:val="auto"/>
        </w:rPr>
      </w:pPr>
      <w:r>
        <w:rPr>
          <w:rFonts w:ascii="Courier New" w:cs="Courier New" w:eastAsia="Courier New" w:hAnsi="Courier New"/>
          <w:sz w:val="18"/>
          <w:szCs w:val="18"/>
          <w:color w:val="auto"/>
        </w:rPr>
        <w:t>My Commission Expires</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CERTIFICATE OF THIRD AMENDMENT</w:t>
      </w:r>
    </w:p>
    <w:p>
      <w:pPr>
        <w:spacing w:after="0" w:line="238" w:lineRule="auto"/>
        <w:rPr>
          <w:sz w:val="20"/>
          <w:szCs w:val="20"/>
          <w:color w:val="auto"/>
        </w:rPr>
      </w:pPr>
      <w:r>
        <w:rPr>
          <w:rFonts w:ascii="Courier New" w:cs="Courier New" w:eastAsia="Courier New" w:hAnsi="Courier New"/>
          <w:sz w:val="18"/>
          <w:szCs w:val="18"/>
          <w:color w:val="auto"/>
        </w:rPr>
        <w:t>TO THE CERTIFICATE OF INCORPORATION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The undersigned, James W. Garrett, President and Chief Operating Officer and Jill L. Devereaux, Assistant Corporate Secretary of</w:t>
      </w:r>
    </w:p>
    <w:p>
      <w:pPr>
        <w:ind w:right="2939"/>
        <w:spacing w:after="0" w:line="270" w:lineRule="auto"/>
        <w:rPr>
          <w:sz w:val="20"/>
          <w:szCs w:val="20"/>
          <w:color w:val="auto"/>
        </w:rPr>
      </w:pPr>
      <w:r>
        <w:rPr>
          <w:rFonts w:ascii="Courier New" w:cs="Courier New" w:eastAsia="Courier New" w:hAnsi="Courier New"/>
          <w:sz w:val="16"/>
          <w:szCs w:val="16"/>
          <w:color w:val="auto"/>
        </w:rPr>
        <w:t>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December 2, 1993 which set forth the proposed amendment, declared its advisability and directed that it be considered at the Company's Annual Meeting of Shareholders. At the regularly scheduled 1993 Annual Meeting of Shareholders duly held on January 31, 1994,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85" w:lineRule="exact"/>
        <w:rPr>
          <w:sz w:val="20"/>
          <w:szCs w:val="20"/>
          <w:color w:val="auto"/>
        </w:rPr>
      </w:pPr>
    </w:p>
    <w:p>
      <w:pPr>
        <w:ind w:right="3779" w:firstLine="851"/>
        <w:spacing w:after="0" w:line="237" w:lineRule="auto"/>
        <w:tabs>
          <w:tab w:leader="none" w:pos="168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of stock which the corporation shall have authority to issue is one hundred fifty million (150,000,000) and the par value of each of such shares is Ten Cents ($0.10).</w:t>
      </w:r>
    </w:p>
    <w:p>
      <w:pPr>
        <w:spacing w:after="0" w:line="207" w:lineRule="exact"/>
        <w:rPr>
          <w:sz w:val="20"/>
          <w:szCs w:val="20"/>
          <w:color w:val="auto"/>
        </w:rPr>
      </w:pPr>
    </w:p>
    <w:p>
      <w:pPr>
        <w:ind w:right="2839" w:firstLine="843"/>
        <w:spacing w:after="0" w:line="236" w:lineRule="auto"/>
        <w:rPr>
          <w:sz w:val="20"/>
          <w:szCs w:val="20"/>
          <w:color w:val="auto"/>
        </w:rPr>
      </w:pPr>
      <w:r>
        <w:rPr>
          <w:rFonts w:ascii="Courier New" w:cs="Courier New" w:eastAsia="Courier New" w:hAnsi="Courier New"/>
          <w:sz w:val="18"/>
          <w:szCs w:val="18"/>
          <w:color w:val="auto"/>
        </w:rPr>
        <w:t>IN WITNESS WHEREOF, this Certificate of Third Amendment to the Company's Certificate of Incorporation has been executed this 8th day of February, 1994.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W. Garrett</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James W. Garrett, President and</w:t>
      </w:r>
    </w:p>
    <w:p>
      <w:pPr>
        <w:ind w:left="42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38" w:lineRule="auto"/>
        <w:rPr>
          <w:sz w:val="20"/>
          <w:szCs w:val="20"/>
          <w:color w:val="auto"/>
        </w:rPr>
      </w:pPr>
      <w:r>
        <w:rPr>
          <w:rFonts w:ascii="Courier New" w:cs="Courier New" w:eastAsia="Courier New" w:hAnsi="Courier New"/>
          <w:sz w:val="18"/>
          <w:szCs w:val="18"/>
          <w:color w:val="auto"/>
        </w:rPr>
        <w:t>Jill L. Devereaux</w:t>
      </w: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Jill L. Devereaux, Assistant Corporate Secretary</w:t>
      </w:r>
    </w:p>
    <w:p>
      <w:pPr>
        <w:spacing w:after="0" w:line="208"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I, Sherilyn Maxfield, a notary public, do hereby certify that on this 8th day of February, 1994, personnally appeared before me James W. Garrett and Jill L. Devereaux who, being by me first duly sworn, declared that they are the President and Chief Operating Officer and Assistant Corporate Secretary, respectively, of Micron Technology, Inc., that they signed the foregoing document as President and Chief Operating Officer and Assistant Corporate Secretary of the corporation, and that the statements therein contained are true.</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Sherilyn Maxfield</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4220"/>
        <w:spacing w:after="0"/>
        <w:rPr>
          <w:sz w:val="20"/>
          <w:szCs w:val="20"/>
          <w:color w:val="auto"/>
        </w:rPr>
      </w:pPr>
      <w:r>
        <w:rPr>
          <w:rFonts w:ascii="Courier New" w:cs="Courier New" w:eastAsia="Courier New" w:hAnsi="Courier New"/>
          <w:sz w:val="18"/>
          <w:szCs w:val="18"/>
          <w:color w:val="auto"/>
        </w:rPr>
        <w:t>Notary Public</w:t>
      </w:r>
    </w:p>
    <w:p>
      <w:pPr>
        <w:ind w:left="4220"/>
        <w:spacing w:after="0" w:line="237" w:lineRule="auto"/>
        <w:rPr>
          <w:sz w:val="20"/>
          <w:szCs w:val="20"/>
          <w:color w:val="auto"/>
        </w:rPr>
      </w:pPr>
      <w:r>
        <w:rPr>
          <w:rFonts w:ascii="Courier New" w:cs="Courier New" w:eastAsia="Courier New" w:hAnsi="Courier New"/>
          <w:sz w:val="18"/>
          <w:szCs w:val="18"/>
          <w:color w:val="auto"/>
        </w:rPr>
        <w:t>Residing at Boise, Idaho</w:t>
      </w:r>
    </w:p>
    <w:p>
      <w:pPr>
        <w:ind w:left="5480"/>
        <w:spacing w:after="0" w:line="238" w:lineRule="auto"/>
        <w:rPr>
          <w:sz w:val="20"/>
          <w:szCs w:val="20"/>
          <w:color w:val="auto"/>
        </w:rPr>
      </w:pPr>
      <w:r>
        <w:rPr>
          <w:rFonts w:ascii="Courier New" w:cs="Courier New" w:eastAsia="Courier New" w:hAnsi="Courier New"/>
          <w:sz w:val="18"/>
          <w:szCs w:val="18"/>
          <w:color w:val="auto"/>
        </w:rPr>
        <w:t>________________</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Commission expires 10/21/97</w:t>
      </w:r>
    </w:p>
    <w:p>
      <w:pPr>
        <w:ind w:left="6220"/>
        <w:spacing w:after="0" w:line="238" w:lineRule="auto"/>
        <w:rPr>
          <w:sz w:val="20"/>
          <w:szCs w:val="20"/>
          <w:color w:val="auto"/>
        </w:rPr>
      </w:pPr>
      <w:r>
        <w:rPr>
          <w:rFonts w:ascii="Courier New" w:cs="Courier New" w:eastAsia="Courier New" w:hAnsi="Courier New"/>
          <w:sz w:val="18"/>
          <w:szCs w:val="18"/>
          <w:color w:val="auto"/>
        </w:rPr>
        <w:t>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55" w:name="page56"/>
    <w:bookmarkEnd w:id="55"/>
    <w:p>
      <w:pPr>
        <w:ind w:left="2960"/>
        <w:spacing w:after="0"/>
        <w:rPr>
          <w:sz w:val="20"/>
          <w:szCs w:val="20"/>
          <w:color w:val="auto"/>
        </w:rPr>
      </w:pPr>
      <w:r>
        <w:rPr>
          <w:rFonts w:ascii="Courier New" w:cs="Courier New" w:eastAsia="Courier New" w:hAnsi="Courier New"/>
          <w:sz w:val="18"/>
          <w:szCs w:val="18"/>
          <w:color w:val="auto"/>
        </w:rPr>
        <w:t>EXHIBIT 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SECTION 1. The registered office shall be 100 West Tenth Street, in the City of Wilmington, County of New Castle, State of Delaware.</w:t>
      </w:r>
    </w:p>
    <w:p>
      <w:pPr>
        <w:spacing w:after="0" w:line="209"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210"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10"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209" w:lineRule="exact"/>
        <w:rPr>
          <w:sz w:val="20"/>
          <w:szCs w:val="20"/>
          <w:color w:val="auto"/>
        </w:rPr>
      </w:pPr>
    </w:p>
    <w:p>
      <w:pPr>
        <w:ind w:right="3999" w:firstLine="527"/>
        <w:spacing w:after="0" w:line="272" w:lineRule="auto"/>
        <w:rPr>
          <w:sz w:val="20"/>
          <w:szCs w:val="20"/>
          <w:color w:val="auto"/>
        </w:rPr>
      </w:pPr>
      <w:r>
        <w:rPr>
          <w:rFonts w:ascii="Courier New" w:cs="Courier New" w:eastAsia="Courier New" w:hAnsi="Courier New"/>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w:t>
      </w:r>
    </w:p>
    <w:p>
      <w:pPr>
        <w:spacing w:after="0" w:line="361"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9"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212"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ectPr>
          <w:pgSz w:w="11900" w:h="16838" w:orient="portrait"/>
          <w:cols w:equalWidth="0" w:num="1">
            <w:col w:w="10219"/>
          </w:cols>
          <w:pgMar w:left="240" w:top="136" w:right="1440" w:bottom="0" w:gutter="0" w:footer="0" w:header="0"/>
        </w:sectPr>
      </w:pPr>
    </w:p>
    <w:bookmarkStart w:id="56" w:name="page57"/>
    <w:bookmarkEnd w:id="56"/>
    <w:p>
      <w:pPr>
        <w:ind w:right="4319" w:firstLine="527"/>
        <w:spacing w:after="0" w:line="236" w:lineRule="auto"/>
        <w:rPr>
          <w:sz w:val="20"/>
          <w:szCs w:val="20"/>
          <w:color w:val="auto"/>
        </w:rPr>
      </w:pPr>
      <w:r>
        <w:rPr>
          <w:rFonts w:ascii="Courier New" w:cs="Courier New" w:eastAsia="Courier New" w:hAnsi="Courier New"/>
          <w:sz w:val="18"/>
          <w:szCs w:val="18"/>
          <w:color w:val="auto"/>
        </w:rPr>
        <w:t>SECTION 7. Business transacted at any special meeting of stockholders shall be limited to the purposes stated in the notice.</w:t>
      </w:r>
    </w:p>
    <w:p>
      <w:pPr>
        <w:spacing w:after="0" w:line="209"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395"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SECTION 9. When a quorum is present at any meeting, the vote of the holders of a majority of the stock having</w:t>
      </w:r>
    </w:p>
    <w:p>
      <w:pPr>
        <w:sectPr>
          <w:pgSz w:w="11900" w:h="16838" w:orient="portrait"/>
          <w:cols w:equalWidth="0" w:num="1">
            <w:col w:w="10219"/>
          </w:cols>
          <w:pgMar w:left="240" w:top="344" w:right="1440" w:bottom="1440" w:gutter="0" w:footer="0" w:header="0"/>
        </w:sectPr>
      </w:pPr>
    </w:p>
    <w:bookmarkStart w:id="57" w:name="page58"/>
    <w:bookmarkEnd w:id="57"/>
    <w:p>
      <w:pPr>
        <w:ind w:right="3899"/>
        <w:spacing w:after="0" w:line="272" w:lineRule="auto"/>
        <w:rPr>
          <w:sz w:val="20"/>
          <w:szCs w:val="20"/>
          <w:color w:val="auto"/>
        </w:rPr>
      </w:pPr>
      <w:r>
        <w:rPr>
          <w:rFonts w:ascii="Courier New" w:cs="Courier New" w:eastAsia="Courier New" w:hAnsi="Courier New"/>
          <w:sz w:val="16"/>
          <w:szCs w:val="16"/>
          <w:color w:val="auto"/>
        </w:rPr>
        <w:t>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86"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w:t>
      </w:r>
    </w:p>
    <w:p>
      <w:pPr>
        <w:spacing w:after="0" w:line="216"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At all elections of directors of the corporation each stockholder having voting power shall be entitled to exercise the right of cumulative voting as provided in the Certificate of Incorporation.</w:t>
      </w:r>
    </w:p>
    <w:p>
      <w:pPr>
        <w:spacing w:after="0" w:line="207"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10"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SECTION 2. The directors shall be elected at each annual meeting of shareholders, but if any such annual</w:t>
      </w:r>
    </w:p>
    <w:p>
      <w:pPr>
        <w:sectPr>
          <w:pgSz w:w="11900" w:h="16838" w:orient="portrait"/>
          <w:cols w:equalWidth="0" w:num="1">
            <w:col w:w="10219"/>
          </w:cols>
          <w:pgMar w:left="240" w:top="520" w:right="1440" w:bottom="1440" w:gutter="0" w:footer="0" w:header="0"/>
        </w:sectPr>
      </w:pPr>
    </w:p>
    <w:bookmarkStart w:id="58" w:name="page59"/>
    <w:bookmarkEnd w:id="58"/>
    <w:p>
      <w:pPr>
        <w:ind w:right="3899"/>
        <w:spacing w:after="0" w:line="271" w:lineRule="auto"/>
        <w:rPr>
          <w:sz w:val="20"/>
          <w:szCs w:val="20"/>
          <w:color w:val="auto"/>
        </w:rPr>
      </w:pPr>
      <w:r>
        <w:rPr>
          <w:rFonts w:ascii="Courier New" w:cs="Courier New" w:eastAsia="Courier New" w:hAnsi="Courier New"/>
          <w:sz w:val="16"/>
          <w:szCs w:val="16"/>
          <w:color w:val="auto"/>
        </w:rPr>
        <w:t>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8"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11"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209"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No reduction of the authorized number of directors shall have the effect of removing any director prior to the expiration of such director's term of office.</w:t>
      </w:r>
    </w:p>
    <w:p>
      <w:pPr>
        <w:spacing w:after="0" w:line="209"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212" w:lineRule="exact"/>
        <w:rPr>
          <w:sz w:val="20"/>
          <w:szCs w:val="20"/>
          <w:color w:val="auto"/>
        </w:rPr>
      </w:pPr>
    </w:p>
    <w:p>
      <w:pPr>
        <w:ind w:right="3899" w:firstLine="527"/>
        <w:spacing w:after="0" w:line="271" w:lineRule="auto"/>
        <w:rPr>
          <w:sz w:val="20"/>
          <w:szCs w:val="20"/>
          <w:color w:val="auto"/>
        </w:rPr>
      </w:pPr>
      <w:r>
        <w:rPr>
          <w:rFonts w:ascii="Courier New" w:cs="Courier New" w:eastAsia="Courier New" w:hAnsi="Courier New"/>
          <w:sz w:val="16"/>
          <w:szCs w:val="16"/>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88"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209" w:lineRule="exact"/>
        <w:rPr>
          <w:sz w:val="20"/>
          <w:szCs w:val="20"/>
          <w:color w:val="auto"/>
        </w:rPr>
      </w:pPr>
    </w:p>
    <w:p>
      <w:pPr>
        <w:jc w:val="both"/>
        <w:ind w:right="3899" w:firstLine="527"/>
        <w:spacing w:after="0" w:line="275" w:lineRule="auto"/>
        <w:rPr>
          <w:sz w:val="20"/>
          <w:szCs w:val="20"/>
          <w:color w:val="auto"/>
        </w:rPr>
      </w:pPr>
      <w:r>
        <w:rPr>
          <w:rFonts w:ascii="Courier New" w:cs="Courier New" w:eastAsia="Courier New" w:hAnsi="Courier New"/>
          <w:sz w:val="16"/>
          <w:szCs w:val="16"/>
          <w:color w:val="auto"/>
        </w:rPr>
        <w:t>SECTION 6. The business of the corporation shall be managed by or under the direction of its Board of Directors which may exercise all such powers of the corporation and do all such lawful acts and things as are not by statute or by</w:t>
      </w:r>
    </w:p>
    <w:p>
      <w:pPr>
        <w:sectPr>
          <w:pgSz w:w="11900" w:h="16838" w:orient="portrait"/>
          <w:cols w:equalWidth="0" w:num="1">
            <w:col w:w="10219"/>
          </w:cols>
          <w:pgMar w:left="240" w:top="520" w:right="1440" w:bottom="1440" w:gutter="0" w:footer="0" w:header="0"/>
        </w:sectPr>
      </w:pPr>
    </w:p>
    <w:bookmarkStart w:id="59" w:name="page60"/>
    <w:bookmarkEnd w:id="59"/>
    <w:p>
      <w:pPr>
        <w:ind w:right="3899"/>
        <w:spacing w:after="0" w:line="235" w:lineRule="auto"/>
        <w:rPr>
          <w:sz w:val="20"/>
          <w:szCs w:val="20"/>
          <w:color w:val="auto"/>
        </w:rPr>
      </w:pPr>
      <w:r>
        <w:rPr>
          <w:rFonts w:ascii="Courier New" w:cs="Courier New" w:eastAsia="Courier New" w:hAnsi="Courier New"/>
          <w:sz w:val="18"/>
          <w:szCs w:val="18"/>
          <w:color w:val="auto"/>
        </w:rPr>
        <w:t>the Certificate of Incorporation or these Bylaws directed or required to be exercised or done by the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w:t>
      </w:r>
    </w:p>
    <w:p>
      <w:pPr>
        <w:spacing w:after="0" w:line="207" w:lineRule="exact"/>
        <w:rPr>
          <w:sz w:val="20"/>
          <w:szCs w:val="20"/>
          <w:color w:val="auto"/>
        </w:rPr>
      </w:pPr>
    </w:p>
    <w:p>
      <w:pPr>
        <w:ind w:right="4319" w:firstLine="527"/>
        <w:spacing w:after="0" w:line="279" w:lineRule="auto"/>
        <w:rPr>
          <w:sz w:val="20"/>
          <w:szCs w:val="20"/>
          <w:color w:val="auto"/>
        </w:rPr>
      </w:pPr>
      <w:r>
        <w:rPr>
          <w:rFonts w:ascii="Courier New" w:cs="Courier New" w:eastAsia="Courier New" w:hAnsi="Courier New"/>
          <w:sz w:val="16"/>
          <w:szCs w:val="16"/>
          <w:color w:val="auto"/>
        </w:rPr>
        <w:t>SECTION 7. The Board of Directors of the corporation may hold meetings, both regular and special, either within or without the State of Delaware.</w:t>
      </w:r>
    </w:p>
    <w:p>
      <w:pPr>
        <w:spacing w:after="0" w:line="178"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388"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9. Regular meetings of the Board of Directors may be held without notice at such time and at such place as shall from time to time be determined by the Board.</w:t>
      </w:r>
    </w:p>
    <w:p>
      <w:pPr>
        <w:spacing w:after="0" w:line="207" w:lineRule="exact"/>
        <w:rPr>
          <w:sz w:val="20"/>
          <w:szCs w:val="20"/>
          <w:color w:val="auto"/>
        </w:rPr>
      </w:pPr>
    </w:p>
    <w:p>
      <w:pPr>
        <w:ind w:right="4099" w:firstLine="527"/>
        <w:spacing w:after="0" w:line="272" w:lineRule="auto"/>
        <w:rPr>
          <w:sz w:val="20"/>
          <w:szCs w:val="20"/>
          <w:color w:val="auto"/>
        </w:rPr>
      </w:pPr>
      <w:r>
        <w:rPr>
          <w:rFonts w:ascii="Courier New" w:cs="Courier New" w:eastAsia="Courier New" w:hAnsi="Courier New"/>
          <w:sz w:val="16"/>
          <w:szCs w:val="16"/>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86"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7" w:lineRule="exact"/>
        <w:rPr>
          <w:sz w:val="20"/>
          <w:szCs w:val="20"/>
          <w:color w:val="auto"/>
        </w:rPr>
      </w:pPr>
    </w:p>
    <w:p>
      <w:pPr>
        <w:ind w:right="3899" w:firstLine="527"/>
        <w:spacing w:after="0" w:line="273" w:lineRule="auto"/>
        <w:rPr>
          <w:sz w:val="20"/>
          <w:szCs w:val="20"/>
          <w:color w:val="auto"/>
        </w:rPr>
      </w:pPr>
      <w:r>
        <w:rPr>
          <w:rFonts w:ascii="Courier New" w:cs="Courier New" w:eastAsia="Courier New" w:hAnsi="Courier New"/>
          <w:sz w:val="16"/>
          <w:szCs w:val="16"/>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w:t>
      </w:r>
    </w:p>
    <w:p>
      <w:pPr>
        <w:sectPr>
          <w:pgSz w:w="11900" w:h="16838" w:orient="portrait"/>
          <w:cols w:equalWidth="0" w:num="1">
            <w:col w:w="10219"/>
          </w:cols>
          <w:pgMar w:left="240" w:top="520" w:right="1440" w:bottom="1440" w:gutter="0" w:footer="0" w:header="0"/>
        </w:sectPr>
      </w:pPr>
    </w:p>
    <w:bookmarkStart w:id="60" w:name="page61"/>
    <w:bookmarkEnd w:id="60"/>
    <w:p>
      <w:pPr>
        <w:ind w:right="4419"/>
        <w:spacing w:after="0" w:line="236" w:lineRule="auto"/>
        <w:rPr>
          <w:sz w:val="20"/>
          <w:szCs w:val="20"/>
          <w:color w:val="auto"/>
        </w:rPr>
      </w:pPr>
      <w:r>
        <w:rPr>
          <w:rFonts w:ascii="Courier New" w:cs="Courier New" w:eastAsia="Courier New" w:hAnsi="Courier New"/>
          <w:sz w:val="18"/>
          <w:szCs w:val="18"/>
          <w:color w:val="auto"/>
        </w:rPr>
        <w:t>as the case may be, consent thereto in writing, and the writing or writings are filed with the minutes of proceedings of the Board or committee.</w:t>
      </w:r>
    </w:p>
    <w:p>
      <w:pPr>
        <w:spacing w:after="0" w:line="203"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Unless otherwise restricted by the</w:t>
      </w:r>
    </w:p>
    <w:p>
      <w:pPr>
        <w:spacing w:after="0" w:line="4"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DIRECTORS</w:t>
      </w:r>
    </w:p>
    <w:p>
      <w:pPr>
        <w:spacing w:after="0" w:line="207"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200" w:lineRule="exact"/>
        <w:rPr>
          <w:sz w:val="20"/>
          <w:szCs w:val="20"/>
          <w:color w:val="auto"/>
        </w:rPr>
      </w:pPr>
    </w:p>
    <w:p>
      <w:pPr>
        <w:spacing w:after="0" w:line="395"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ectPr>
          <w:pgSz w:w="11900" w:h="16838" w:orient="portrait"/>
          <w:cols w:equalWidth="0" w:num="1">
            <w:col w:w="10219"/>
          </w:cols>
          <w:pgMar w:left="240" w:top="520"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16" w:lineRule="exact"/>
        <w:rPr>
          <w:sz w:val="20"/>
          <w:szCs w:val="20"/>
          <w:color w:val="auto"/>
        </w:rPr>
      </w:pPr>
    </w:p>
    <w:p>
      <w:pPr>
        <w:ind w:right="4099" w:firstLine="527"/>
        <w:spacing w:after="0" w:line="272" w:lineRule="auto"/>
        <w:rPr>
          <w:sz w:val="20"/>
          <w:szCs w:val="20"/>
          <w:color w:val="auto"/>
        </w:rPr>
      </w:pPr>
      <w:r>
        <w:rPr>
          <w:rFonts w:ascii="Courier New" w:cs="Courier New" w:eastAsia="Courier New" w:hAnsi="Courier New"/>
          <w:sz w:val="16"/>
          <w:szCs w:val="16"/>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ectPr>
          <w:pgSz w:w="11900" w:h="16838" w:orient="portrait"/>
          <w:cols w:equalWidth="0" w:num="1">
            <w:col w:w="10219"/>
          </w:cols>
          <w:pgMar w:left="240" w:top="514" w:right="1440" w:bottom="1440" w:gutter="0" w:footer="0" w:header="0"/>
        </w:sectPr>
      </w:pPr>
    </w:p>
    <w:bookmarkStart w:id="62" w:name="page63"/>
    <w:bookmarkEnd w:id="62"/>
    <w:p>
      <w:pPr>
        <w:ind w:right="3899" w:firstLine="527"/>
        <w:spacing w:after="0" w:line="237" w:lineRule="auto"/>
        <w:rPr>
          <w:sz w:val="20"/>
          <w:szCs w:val="20"/>
          <w:color w:val="auto"/>
        </w:rPr>
      </w:pPr>
      <w:r>
        <w:rPr>
          <w:rFonts w:ascii="Courier New" w:cs="Courier New" w:eastAsia="Courier New" w:hAnsi="Courier New"/>
          <w:sz w:val="18"/>
          <w:szCs w:val="18"/>
          <w:color w:val="auto"/>
        </w:rPr>
        <w:t>SECTION 2. The Board of Directors at its first meeting after each annual meeting of stockholders shall choose a president, one or more vice-presidents, a secretary and a treasurer.</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209"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SECTION 4. The salaries of all officers and agents of the corporation shall be fixed by the Board of Directors.</w:t>
      </w:r>
    </w:p>
    <w:p>
      <w:pPr>
        <w:spacing w:after="0" w:line="208" w:lineRule="exact"/>
        <w:rPr>
          <w:sz w:val="20"/>
          <w:szCs w:val="20"/>
          <w:color w:val="auto"/>
        </w:rPr>
      </w:pPr>
    </w:p>
    <w:p>
      <w:pPr>
        <w:ind w:right="4099" w:firstLine="527"/>
        <w:spacing w:after="0" w:line="237" w:lineRule="auto"/>
        <w:rPr>
          <w:sz w:val="20"/>
          <w:szCs w:val="20"/>
          <w:color w:val="auto"/>
        </w:rPr>
      </w:pPr>
      <w:r>
        <w:rPr>
          <w:rFonts w:ascii="Courier New" w:cs="Courier New" w:eastAsia="Courier New" w:hAnsi="Courier New"/>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11"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CHAIRMAN OF THE BOARD</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PRESIDENT</w:t>
      </w:r>
    </w:p>
    <w:p>
      <w:pPr>
        <w:spacing w:after="0" w:line="207"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ectPr>
          <w:pgSz w:w="11900" w:h="16838" w:orient="portrait"/>
          <w:cols w:equalWidth="0" w:num="1">
            <w:col w:w="10219"/>
          </w:cols>
          <w:pgMar w:left="240" w:top="520" w:right="1440" w:bottom="1440" w:gutter="0" w:footer="0" w:header="0"/>
        </w:sectPr>
      </w:pPr>
    </w:p>
    <w:bookmarkStart w:id="63" w:name="page64"/>
    <w:bookmarkEnd w:id="63"/>
    <w:p>
      <w:pPr>
        <w:ind w:right="3899" w:firstLine="527"/>
        <w:spacing w:after="0" w:line="237" w:lineRule="auto"/>
        <w:rPr>
          <w:sz w:val="20"/>
          <w:szCs w:val="20"/>
          <w:color w:val="auto"/>
        </w:rPr>
      </w:pPr>
      <w:r>
        <w:rPr>
          <w:rFonts w:ascii="Courier New" w:cs="Courier New" w:eastAsia="Courier New" w:hAnsi="Courier New"/>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VICE-PRESIDENTS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9. In the absence of the president or in the event of his inability or refusal to act, the vice-president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AND ASSISTANT SECRETARY</w:t>
      </w:r>
    </w:p>
    <w:p>
      <w:pPr>
        <w:spacing w:after="0" w:line="207"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395"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ectPr>
          <w:pgSz w:w="11900" w:h="16838" w:orient="portrait"/>
          <w:cols w:equalWidth="0" w:num="1">
            <w:col w:w="10219"/>
          </w:cols>
          <w:pgMar w:left="240" w:top="520"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THE TREASURER AND ASSISTANT TREASURERS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11" w:lineRule="exact"/>
        <w:rPr>
          <w:sz w:val="20"/>
          <w:szCs w:val="20"/>
          <w:color w:val="auto"/>
        </w:rPr>
      </w:pPr>
    </w:p>
    <w:p>
      <w:pPr>
        <w:ind w:right="4099" w:firstLine="527"/>
        <w:spacing w:after="0" w:line="271" w:lineRule="auto"/>
        <w:rPr>
          <w:sz w:val="20"/>
          <w:szCs w:val="20"/>
          <w:color w:val="auto"/>
        </w:rPr>
      </w:pPr>
      <w:r>
        <w:rPr>
          <w:rFonts w:ascii="Courier New" w:cs="Courier New" w:eastAsia="Courier New" w:hAnsi="Courier New"/>
          <w:sz w:val="16"/>
          <w:szCs w:val="16"/>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8"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15"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STOCK</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1.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ectPr>
          <w:pgSz w:w="11900" w:h="16838" w:orient="portrait"/>
          <w:cols w:equalWidth="0" w:num="1">
            <w:col w:w="10219"/>
          </w:cols>
          <w:pgMar w:left="240" w:top="514" w:right="1440" w:bottom="1440" w:gutter="0" w:footer="0" w:header="0"/>
        </w:sectPr>
      </w:pPr>
    </w:p>
    <w:bookmarkStart w:id="65" w:name="page66"/>
    <w:bookmarkEnd w:id="65"/>
    <w:p>
      <w:pPr>
        <w:ind w:right="4099" w:firstLine="527"/>
        <w:spacing w:after="0" w:line="273" w:lineRule="auto"/>
        <w:rPr>
          <w:sz w:val="20"/>
          <w:szCs w:val="20"/>
          <w:color w:val="auto"/>
        </w:rPr>
      </w:pPr>
      <w:r>
        <w:rPr>
          <w:rFonts w:ascii="Courier New" w:cs="Courier New" w:eastAsia="Courier New" w:hAnsi="Courier New"/>
          <w:sz w:val="16"/>
          <w:szCs w:val="16"/>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85" w:lineRule="exact"/>
        <w:rPr>
          <w:sz w:val="20"/>
          <w:szCs w:val="20"/>
          <w:color w:val="auto"/>
        </w:rPr>
      </w:pPr>
    </w:p>
    <w:p>
      <w:pPr>
        <w:ind w:right="3899" w:firstLine="527"/>
        <w:spacing w:after="0" w:line="238" w:lineRule="auto"/>
        <w:rPr>
          <w:sz w:val="20"/>
          <w:szCs w:val="20"/>
          <w:color w:val="auto"/>
        </w:rPr>
      </w:pPr>
      <w:r>
        <w:rPr>
          <w:rFonts w:ascii="Courier New" w:cs="Courier New" w:eastAsia="Courier New" w:hAnsi="Courier New"/>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Any or all of the signatures on the</w:t>
      </w:r>
    </w:p>
    <w:p>
      <w:pPr>
        <w:spacing w:after="0" w:line="4"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LOST CERTIFICATES</w:t>
      </w:r>
    </w:p>
    <w:p>
      <w:pPr>
        <w:spacing w:after="0" w:line="207"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ectPr>
          <w:pgSz w:w="11900" w:h="16838" w:orient="portrait"/>
          <w:cols w:equalWidth="0" w:num="1">
            <w:col w:w="10219"/>
          </w:cols>
          <w:pgMar w:left="240" w:top="520"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TRANSFER OF STOCK</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FIXING RECORD DATE</w:t>
      </w:r>
    </w:p>
    <w:p>
      <w:pPr>
        <w:spacing w:after="0" w:line="207" w:lineRule="exact"/>
        <w:rPr>
          <w:sz w:val="20"/>
          <w:szCs w:val="20"/>
          <w:color w:val="auto"/>
        </w:rPr>
      </w:pPr>
    </w:p>
    <w:p>
      <w:pPr>
        <w:ind w:right="3899" w:firstLine="527"/>
        <w:spacing w:after="0" w:line="269" w:lineRule="auto"/>
        <w:rPr>
          <w:sz w:val="20"/>
          <w:szCs w:val="20"/>
          <w:color w:val="auto"/>
        </w:rPr>
      </w:pPr>
      <w:r>
        <w:rPr>
          <w:rFonts w:ascii="Courier New" w:cs="Courier New" w:eastAsia="Courier New" w:hAnsi="Courier New"/>
          <w:sz w:val="16"/>
          <w:szCs w:val="16"/>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 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STOCKHOLDERS</w:t>
      </w:r>
    </w:p>
    <w:p>
      <w:pPr>
        <w:spacing w:after="0" w:line="207"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5"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w:t>
      </w:r>
    </w:p>
    <w:p>
      <w:pPr>
        <w:sectPr>
          <w:pgSz w:w="11900" w:h="16838" w:orient="portrait"/>
          <w:cols w:equalWidth="0" w:num="1">
            <w:col w:w="10219"/>
          </w:cols>
          <w:pgMar w:left="240" w:top="514" w:right="1440" w:bottom="1440" w:gutter="0" w:footer="0" w:header="0"/>
        </w:sectPr>
      </w:pPr>
    </w:p>
    <w:bookmarkStart w:id="67" w:name="page68"/>
    <w:bookmarkEnd w:id="67"/>
    <w:p>
      <w:pPr>
        <w:ind w:right="3899"/>
        <w:spacing w:after="0" w:line="237" w:lineRule="auto"/>
        <w:rPr>
          <w:sz w:val="20"/>
          <w:szCs w:val="20"/>
          <w:color w:val="auto"/>
        </w:rPr>
      </w:pPr>
      <w:r>
        <w:rPr>
          <w:rFonts w:ascii="Courier New" w:cs="Courier New" w:eastAsia="Courier New" w:hAnsi="Courier New"/>
          <w:sz w:val="18"/>
          <w:szCs w:val="18"/>
          <w:color w:val="auto"/>
        </w:rPr>
        <w:t>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11"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CHECKS</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SECTION 4. The fiscal year of the corporation shall be fixed by resolution of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ectPr>
          <w:pgSz w:w="11900" w:h="16838" w:orient="portrait"/>
          <w:cols w:equalWidth="0" w:num="1">
            <w:col w:w="10219"/>
          </w:cols>
          <w:pgMar w:left="240" w:top="520"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jc w:val="both"/>
        <w:ind w:right="4419" w:firstLine="527"/>
        <w:spacing w:after="0" w:line="279" w:lineRule="auto"/>
        <w:rPr>
          <w:sz w:val="20"/>
          <w:szCs w:val="20"/>
          <w:color w:val="auto"/>
        </w:rPr>
      </w:pPr>
      <w:r>
        <w:rPr>
          <w:rFonts w:ascii="Courier New" w:cs="Courier New" w:eastAsia="Courier New" w:hAnsi="Courier New"/>
          <w:sz w:val="16"/>
          <w:szCs w:val="16"/>
          <w:color w:val="auto"/>
        </w:rPr>
        <w:t>SECTION 6. The corporation shall indemnify its officers, directors, employees and agents to the extent permitted by the General Corporation Law of Delaware.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3899" w:firstLine="527"/>
        <w:spacing w:after="0" w:line="270" w:lineRule="auto"/>
        <w:rPr>
          <w:sz w:val="20"/>
          <w:szCs w:val="20"/>
          <w:color w:val="auto"/>
        </w:rPr>
      </w:pPr>
      <w:r>
        <w:rPr>
          <w:rFonts w:ascii="Courier New" w:cs="Courier New" w:eastAsia="Courier New" w:hAnsi="Courier New"/>
          <w:sz w:val="16"/>
          <w:szCs w:val="16"/>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392" w:lineRule="exact"/>
        <w:rPr>
          <w:sz w:val="20"/>
          <w:szCs w:val="20"/>
          <w:color w:val="auto"/>
        </w:rPr>
      </w:pPr>
    </w:p>
    <w:p>
      <w:pPr>
        <w:ind w:right="4199" w:firstLine="527"/>
        <w:spacing w:after="0" w:line="290" w:lineRule="auto"/>
        <w:rPr>
          <w:sz w:val="20"/>
          <w:szCs w:val="20"/>
          <w:color w:val="auto"/>
        </w:rPr>
      </w:pPr>
      <w:r>
        <w:rPr>
          <w:rFonts w:ascii="Courier New" w:cs="Courier New" w:eastAsia="Courier New" w:hAnsi="Courier New"/>
          <w:sz w:val="16"/>
          <w:szCs w:val="16"/>
          <w:color w:val="auto"/>
        </w:rPr>
        <w:t>I, Nancy A. Stanger, the secretary of Micron Technology, Inc., a Delaware corporation, hereby certify:</w:t>
      </w:r>
    </w:p>
    <w:p>
      <w:pPr>
        <w:spacing w:after="0" w:line="170" w:lineRule="exact"/>
        <w:rPr>
          <w:sz w:val="20"/>
          <w:szCs w:val="20"/>
          <w:color w:val="auto"/>
        </w:rPr>
      </w:pPr>
    </w:p>
    <w:p>
      <w:pPr>
        <w:ind w:right="3899" w:firstLine="527"/>
        <w:spacing w:after="0" w:line="290" w:lineRule="auto"/>
        <w:rPr>
          <w:sz w:val="20"/>
          <w:szCs w:val="20"/>
          <w:color w:val="auto"/>
        </w:rPr>
      </w:pPr>
      <w:r>
        <w:rPr>
          <w:rFonts w:ascii="Courier New" w:cs="Courier New" w:eastAsia="Courier New" w:hAnsi="Courier New"/>
          <w:sz w:val="16"/>
          <w:szCs w:val="16"/>
          <w:color w:val="auto"/>
        </w:rPr>
        <w:t>The foregoing bylaws, comprising 14 pages, were adopted as the bylaws of Micron Technology on May 21, 1984.</w:t>
      </w:r>
    </w:p>
    <w:p>
      <w:pPr>
        <w:sectPr>
          <w:pgSz w:w="11900" w:h="16838" w:orient="portrait"/>
          <w:cols w:equalWidth="0" w:num="1">
            <w:col w:w="10219"/>
          </w:cols>
          <w:pgMar w:left="240" w:top="514" w:right="1440" w:bottom="1440" w:gutter="0" w:footer="0" w:header="0"/>
        </w:sectPr>
      </w:pP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May 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19 84</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160" w:space="120"/>
            <w:col w:w="2420" w:space="0"/>
            <w:col w:w="6519"/>
          </w:cols>
          <w:pgMar w:left="240" w:top="514" w:right="1440" w:bottom="1440" w:gutter="0" w:footer="0" w:header="0"/>
          <w:type w:val="continuous"/>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Nancy A. Stanger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Nancy A. Stanger</w:t>
      </w:r>
    </w:p>
    <w:p>
      <w:pPr>
        <w:sectPr>
          <w:pgSz w:w="11900" w:h="16838" w:orient="portrait"/>
          <w:cols w:equalWidth="0" w:num="1">
            <w:col w:w="10219"/>
          </w:cols>
          <w:pgMar w:left="240" w:top="514"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514" w:right="1440" w:bottom="1440" w:gutter="0" w:footer="0" w:header="0"/>
          <w:type w:val="continuous"/>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CERTIFICATE OF FIRST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211" w:lineRule="exact"/>
        <w:rPr>
          <w:sz w:val="20"/>
          <w:szCs w:val="20"/>
          <w:color w:val="auto"/>
        </w:rPr>
      </w:pPr>
    </w:p>
    <w:p>
      <w:pPr>
        <w:ind w:right="4419" w:firstLine="527"/>
        <w:spacing w:after="0" w:line="235" w:lineRule="auto"/>
        <w:rPr>
          <w:sz w:val="20"/>
          <w:szCs w:val="20"/>
          <w:color w:val="auto"/>
        </w:rPr>
      </w:pPr>
      <w:r>
        <w:rPr>
          <w:rFonts w:ascii="Courier New" w:cs="Courier New" w:eastAsia="Courier New" w:hAnsi="Courier New"/>
          <w:sz w:val="18"/>
          <w:szCs w:val="18"/>
          <w:color w:val="auto"/>
        </w:rPr>
        <w:t>The amendment adopted was pursuant to a Resolution reading as follows:</w:t>
      </w:r>
    </w:p>
    <w:p>
      <w:pPr>
        <w:spacing w:after="0" w:line="208" w:lineRule="exact"/>
        <w:rPr>
          <w:sz w:val="20"/>
          <w:szCs w:val="20"/>
          <w:color w:val="auto"/>
        </w:rPr>
      </w:pPr>
    </w:p>
    <w:p>
      <w:pPr>
        <w:ind w:right="4199" w:firstLine="527"/>
        <w:spacing w:after="0" w:line="236" w:lineRule="auto"/>
        <w:rPr>
          <w:sz w:val="20"/>
          <w:szCs w:val="20"/>
          <w:color w:val="auto"/>
        </w:rPr>
      </w:pPr>
      <w:r>
        <w:rPr>
          <w:rFonts w:ascii="Courier New" w:cs="Courier New" w:eastAsia="Courier New" w:hAnsi="Courier New"/>
          <w:sz w:val="18"/>
          <w:szCs w:val="18"/>
          <w:color w:val="auto"/>
        </w:rPr>
        <w:t>RESOLVED: The Board hereby approves that the second paragraph of Article II Section 10 of the Bylaws of the Company be amended to read as follows:</w:t>
      </w:r>
    </w:p>
    <w:p>
      <w:pPr>
        <w:spacing w:after="0" w:line="209" w:lineRule="exact"/>
        <w:rPr>
          <w:sz w:val="20"/>
          <w:szCs w:val="20"/>
          <w:color w:val="auto"/>
        </w:rPr>
      </w:pPr>
    </w:p>
    <w:p>
      <w:pPr>
        <w:ind w:right="4939" w:firstLine="527"/>
        <w:spacing w:after="0" w:line="238" w:lineRule="auto"/>
        <w:rPr>
          <w:sz w:val="20"/>
          <w:szCs w:val="20"/>
          <w:color w:val="auto"/>
        </w:rPr>
      </w:pPr>
      <w:r>
        <w:rPr>
          <w:rFonts w:ascii="Courier New" w:cs="Courier New" w:eastAsia="Courier New" w:hAnsi="Courier New"/>
          <w:sz w:val="18"/>
          <w:szCs w:val="18"/>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WITNESS WHEREOF, we have hereunto set our hands and</w:t>
      </w:r>
    </w:p>
    <w:p>
      <w:pPr>
        <w:spacing w:after="0" w:line="16" w:lineRule="exact"/>
        <w:rPr>
          <w:sz w:val="20"/>
          <w:szCs w:val="20"/>
          <w:color w:val="auto"/>
        </w:rPr>
      </w:pPr>
    </w:p>
    <w:p>
      <w:pPr>
        <w:spacing w:after="0"/>
        <w:tabs>
          <w:tab w:leader="none" w:pos="3680" w:val="left"/>
          <w:tab w:leader="none" w:pos="4420" w:val="left"/>
          <w:tab w:leader="none" w:pos="5260" w:val="left"/>
          <w:tab w:leader="none" w:pos="6000" w:val="left"/>
        </w:tabs>
        <w:rPr>
          <w:sz w:val="20"/>
          <w:szCs w:val="20"/>
          <w:color w:val="auto"/>
        </w:rPr>
      </w:pPr>
      <w:r>
        <w:rPr>
          <w:rFonts w:ascii="Courier New" w:cs="Courier New" w:eastAsia="Courier New" w:hAnsi="Courier New"/>
          <w:sz w:val="18"/>
          <w:szCs w:val="18"/>
          <w:color w:val="auto"/>
        </w:rPr>
        <w:t>the seal of the Corporation this</w:t>
      </w:r>
      <w:r>
        <w:rPr>
          <w:sz w:val="20"/>
          <w:szCs w:val="20"/>
          <w:color w:val="auto"/>
        </w:rPr>
        <w:tab/>
      </w:r>
      <w:r>
        <w:rPr>
          <w:rFonts w:ascii="Courier New" w:cs="Courier New" w:eastAsia="Courier New" w:hAnsi="Courier New"/>
          <w:sz w:val="18"/>
          <w:szCs w:val="18"/>
          <w:color w:val="auto"/>
        </w:rPr>
        <w:t>5th</w:t>
      </w:r>
      <w:r>
        <w:rPr>
          <w:sz w:val="20"/>
          <w:szCs w:val="20"/>
          <w:color w:val="auto"/>
        </w:rPr>
        <w:tab/>
      </w:r>
      <w:r>
        <w:rPr>
          <w:rFonts w:ascii="Courier New" w:cs="Courier New" w:eastAsia="Courier New" w:hAnsi="Courier New"/>
          <w:sz w:val="18"/>
          <w:szCs w:val="18"/>
          <w:color w:val="auto"/>
        </w:rPr>
        <w:t>day of</w:t>
        <w:tab/>
        <w:t>July</w:t>
      </w:r>
      <w:r>
        <w:rPr>
          <w:sz w:val="20"/>
          <w:szCs w:val="20"/>
          <w:color w:val="auto"/>
        </w:rPr>
        <w:tab/>
      </w:r>
      <w:r>
        <w:rPr>
          <w:rFonts w:ascii="Courier New" w:cs="Courier New" w:eastAsia="Courier New" w:hAnsi="Courier New"/>
          <w:sz w:val="16"/>
          <w:szCs w:val="16"/>
          <w:color w:val="auto"/>
        </w:rPr>
        <w:t>,</w:t>
      </w:r>
    </w:p>
    <w:p>
      <w:pPr>
        <w:ind w:left="348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19 85 .</w:t>
      </w:r>
    </w:p>
    <w:p>
      <w:pPr>
        <w:spacing w:after="0" w:line="16"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L. Parkinson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L. Parkinson, President</w:t>
      </w:r>
    </w:p>
    <w:p>
      <w:pPr>
        <w:spacing w:after="0" w:line="200" w:lineRule="exact"/>
        <w:rPr>
          <w:sz w:val="20"/>
          <w:szCs w:val="20"/>
          <w:color w:val="auto"/>
        </w:rPr>
      </w:pPr>
    </w:p>
    <w:p>
      <w:pPr>
        <w:sectPr>
          <w:pgSz w:w="11900" w:h="16838" w:orient="portrait"/>
          <w:cols w:equalWidth="0" w:num="2">
            <w:col w:w="3700" w:space="520"/>
            <w:col w:w="599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 Secretary</w:t>
      </w:r>
    </w:p>
    <w:p>
      <w:pPr>
        <w:sectPr>
          <w:pgSz w:w="11900" w:h="16838" w:orient="portrait"/>
          <w:cols w:equalWidth="0" w:num="3">
            <w:col w:w="2660" w:space="720"/>
            <w:col w:w="320" w:space="520"/>
            <w:col w:w="5999"/>
          </w:cols>
          <w:pgMar w:left="240" w:top="514" w:right="1440" w:bottom="1440" w:gutter="0" w:footer="0" w:header="0"/>
          <w:type w:val="continuous"/>
        </w:sectPr>
      </w:pPr>
    </w:p>
    <w:bookmarkStart w:id="70" w:name="page71"/>
    <w:bookmarkEnd w:id="70"/>
    <w:p>
      <w:pPr>
        <w:spacing w:after="0" w:line="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IDAHO County of 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480" w:space="520"/>
            <w:col w:w="8219"/>
          </w:cols>
          <w:pgMar w:left="240" w:top="717" w:right="1440" w:bottom="1440" w:gutter="0" w:footer="0" w:header="0"/>
        </w:sectPr>
      </w:pPr>
    </w:p>
    <w:p>
      <w:pPr>
        <w:ind w:left="1280" w:right="3999" w:hanging="736"/>
        <w:spacing w:after="0" w:line="235" w:lineRule="auto"/>
        <w:tabs>
          <w:tab w:leader="none" w:pos="1260" w:val="left"/>
        </w:tabs>
        <w:rPr>
          <w:sz w:val="20"/>
          <w:szCs w:val="20"/>
          <w:color w:val="auto"/>
        </w:rPr>
      </w:pPr>
      <w:r>
        <w:rPr>
          <w:rFonts w:ascii="Courier New" w:cs="Courier New" w:eastAsia="Courier New" w:hAnsi="Courier New"/>
          <w:sz w:val="18"/>
          <w:szCs w:val="18"/>
          <w:color w:val="auto"/>
        </w:rPr>
        <w:t>On this</w:t>
        <w:tab/>
        <w:t>5th day of July , 19 85 , before me, the ------ --------- ---</w:t>
      </w:r>
    </w:p>
    <w:p>
      <w:pPr>
        <w:sectPr>
          <w:pgSz w:w="11900" w:h="16838" w:orient="portrait"/>
          <w:cols w:equalWidth="0" w:num="1">
            <w:col w:w="10219"/>
          </w:cols>
          <w:pgMar w:left="240" w:top="717" w:right="1440" w:bottom="1440" w:gutter="0" w:footer="0" w:header="0"/>
          <w:type w:val="continuous"/>
        </w:sectPr>
      </w:pPr>
    </w:p>
    <w:p>
      <w:pPr>
        <w:spacing w:after="0" w:line="6" w:lineRule="exact"/>
        <w:rPr>
          <w:sz w:val="20"/>
          <w:szCs w:val="20"/>
          <w:color w:val="auto"/>
        </w:rPr>
      </w:pPr>
    </w:p>
    <w:p>
      <w:pPr>
        <w:ind w:right="3999"/>
        <w:spacing w:after="0" w:line="272" w:lineRule="auto"/>
        <w:rPr>
          <w:sz w:val="20"/>
          <w:szCs w:val="20"/>
          <w:color w:val="auto"/>
        </w:rPr>
      </w:pPr>
      <w:r>
        <w:rPr>
          <w:rFonts w:ascii="Courier New" w:cs="Courier New" w:eastAsia="Courier New" w:hAnsi="Courier New"/>
          <w:sz w:val="16"/>
          <w:szCs w:val="16"/>
          <w:color w:val="auto"/>
        </w:rPr>
        <w:t>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86" w:lineRule="exact"/>
        <w:rPr>
          <w:sz w:val="20"/>
          <w:szCs w:val="20"/>
          <w:color w:val="auto"/>
        </w:rPr>
      </w:pPr>
    </w:p>
    <w:p>
      <w:pPr>
        <w:jc w:val="both"/>
        <w:ind w:right="4319" w:firstLine="527"/>
        <w:spacing w:after="0" w:line="236" w:lineRule="auto"/>
        <w:rPr>
          <w:sz w:val="20"/>
          <w:szCs w:val="20"/>
          <w:color w:val="auto"/>
        </w:rPr>
      </w:pPr>
      <w:r>
        <w:rPr>
          <w:rFonts w:ascii="Courier New" w:cs="Courier New" w:eastAsia="Courier New" w:hAnsi="Courier New"/>
          <w:sz w:val="18"/>
          <w:szCs w:val="18"/>
          <w:color w:val="auto"/>
        </w:rPr>
        <w:t>IN WITNESS WHEREOF, I have hereunto set my hand and affixed my official seal in said County the day and year first above written.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Jill L. Henson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Notary Public for Idaho</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Residing at Boise</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CERTIFICATE OF SECOND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March 3, 1986:</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620" w:val="left"/>
        </w:tabs>
        <w:rPr>
          <w:sz w:val="20"/>
          <w:szCs w:val="20"/>
          <w:color w:val="auto"/>
        </w:rPr>
      </w:pPr>
      <w:r>
        <w:rPr>
          <w:rFonts w:ascii="Courier New" w:cs="Courier New" w:eastAsia="Courier New" w:hAnsi="Courier New"/>
          <w:sz w:val="18"/>
          <w:szCs w:val="18"/>
          <w:color w:val="auto"/>
        </w:rPr>
        <w:t>ten.</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have hereunto set my hand and affixed the corporate seal of said corporation effective as of the 3rd day of March, 1986.</w:t>
      </w:r>
    </w:p>
    <w:p>
      <w:pPr>
        <w:spacing w:after="0" w:line="1" w:lineRule="exact"/>
        <w:rPr>
          <w:sz w:val="20"/>
          <w:szCs w:val="20"/>
          <w:color w:val="auto"/>
        </w:rPr>
      </w:pPr>
    </w:p>
    <w:p>
      <w:pPr>
        <w:ind w:left="1900" w:hanging="1155"/>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Cathy L. Smith</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CERTIFICATE THIRD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November 24, 1986:</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720" w:val="left"/>
        </w:tabs>
        <w:rPr>
          <w:sz w:val="20"/>
          <w:szCs w:val="20"/>
          <w:color w:val="auto"/>
        </w:rPr>
      </w:pPr>
      <w:r>
        <w:rPr>
          <w:rFonts w:ascii="Courier New" w:cs="Courier New" w:eastAsia="Courier New" w:hAnsi="Courier New"/>
          <w:sz w:val="18"/>
          <w:szCs w:val="18"/>
          <w:color w:val="auto"/>
        </w:rPr>
        <w:t>nine.</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24th day of November, 1986.</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 - ----</w:t>
      </w:r>
      <w:r>
        <w:rPr>
          <w:sz w:val="20"/>
          <w:szCs w:val="20"/>
          <w:color w:val="auto"/>
        </w:rPr>
        <w:tab/>
      </w:r>
      <w:r>
        <w:rPr>
          <w:rFonts w:ascii="Courier New" w:cs="Courier New" w:eastAsia="Courier New" w:hAnsi="Courier New"/>
          <w:sz w:val="16"/>
          <w:szCs w:val="16"/>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Cathy L. Smith</w:t>
      </w: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CERTIFICATE OF FOURTH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28, 1987:</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840" w:val="left"/>
        </w:tabs>
        <w:rPr>
          <w:sz w:val="20"/>
          <w:szCs w:val="20"/>
          <w:color w:val="auto"/>
        </w:rPr>
      </w:pPr>
      <w:r>
        <w:rPr>
          <w:rFonts w:ascii="Courier New" w:cs="Courier New" w:eastAsia="Courier New" w:hAnsi="Courier New"/>
          <w:sz w:val="18"/>
          <w:szCs w:val="18"/>
          <w:color w:val="auto"/>
        </w:rPr>
        <w:t>eight.</w:t>
        <w:tab/>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WITNESS WHEREOF, I hereunto set my hand and affixed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corporate seal of said corporation effective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28th day of September, 1987.</w:t>
      </w:r>
    </w:p>
    <w:p>
      <w:pPr>
        <w:spacing w:after="0"/>
        <w:tabs>
          <w:tab w:leader="none" w:pos="1680" w:val="left"/>
        </w:tabs>
        <w:rPr>
          <w:sz w:val="20"/>
          <w:szCs w:val="20"/>
          <w:color w:val="auto"/>
        </w:rPr>
      </w:pPr>
      <w:r>
        <w:rPr>
          <w:rFonts w:ascii="Courier New" w:cs="Courier New" w:eastAsia="Courier New" w:hAnsi="Courier New"/>
          <w:sz w:val="18"/>
          <w:szCs w:val="18"/>
          <w:color w:val="auto"/>
        </w:rPr>
        <w:t>- -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Cathy L. Smith</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Cathy L. Smith</w:t>
      </w:r>
    </w:p>
    <w:p>
      <w:pPr>
        <w:ind w:left="348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CERTIFICATE OF FIFTH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March 28, 1988:</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720" w:val="left"/>
        </w:tabs>
        <w:rPr>
          <w:sz w:val="20"/>
          <w:szCs w:val="20"/>
          <w:color w:val="auto"/>
        </w:rPr>
      </w:pPr>
      <w:r>
        <w:rPr>
          <w:rFonts w:ascii="Courier New" w:cs="Courier New" w:eastAsia="Courier New" w:hAnsi="Courier New"/>
          <w:sz w:val="18"/>
          <w:szCs w:val="18"/>
          <w:color w:val="auto"/>
        </w:rPr>
        <w:t>nine.</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28th day of March, 1988.</w:t>
      </w:r>
    </w:p>
    <w:p>
      <w:pPr>
        <w:spacing w:after="0" w:line="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 -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Cathy L. Smith</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CERTIFICATE OF SIXTH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October 3, 1988:</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620" w:val="left"/>
        </w:tabs>
        <w:rPr>
          <w:sz w:val="20"/>
          <w:szCs w:val="20"/>
          <w:color w:val="auto"/>
        </w:rPr>
      </w:pPr>
      <w:r>
        <w:rPr>
          <w:rFonts w:ascii="Courier New" w:cs="Courier New" w:eastAsia="Courier New" w:hAnsi="Courier New"/>
          <w:sz w:val="18"/>
          <w:szCs w:val="18"/>
          <w:color w:val="auto"/>
        </w:rPr>
        <w:t>ten.</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17th day of October, 1988.</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Cathy L. Smith</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CERTIFICATE OF SEVENTH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25, 1989:</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720" w:val="left"/>
        </w:tabs>
        <w:rPr>
          <w:sz w:val="20"/>
          <w:szCs w:val="20"/>
          <w:color w:val="auto"/>
        </w:rPr>
      </w:pPr>
      <w:r>
        <w:rPr>
          <w:rFonts w:ascii="Courier New" w:cs="Courier New" w:eastAsia="Courier New" w:hAnsi="Courier New"/>
          <w:sz w:val="18"/>
          <w:szCs w:val="18"/>
          <w:color w:val="auto"/>
        </w:rPr>
        <w:t>nine.</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28th day September, 1989.</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Cathy L. Smith</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CERTIFICATE OF EIGHTH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October 30, 1989:</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840" w:val="left"/>
        </w:tabs>
        <w:rPr>
          <w:sz w:val="20"/>
          <w:szCs w:val="20"/>
          <w:color w:val="auto"/>
        </w:rPr>
      </w:pPr>
      <w:r>
        <w:rPr>
          <w:rFonts w:ascii="Courier New" w:cs="Courier New" w:eastAsia="Courier New" w:hAnsi="Courier New"/>
          <w:sz w:val="18"/>
          <w:szCs w:val="18"/>
          <w:color w:val="auto"/>
        </w:rPr>
        <w:t>eight.</w:t>
        <w:tab/>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30th day of October, 1989.</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Cathy L. Smith</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CERTIFICATE OF NINTH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August 27, 1990:</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720" w:val="left"/>
        </w:tabs>
        <w:rPr>
          <w:sz w:val="20"/>
          <w:szCs w:val="20"/>
          <w:color w:val="auto"/>
        </w:rPr>
      </w:pPr>
      <w:r>
        <w:rPr>
          <w:rFonts w:ascii="Courier New" w:cs="Courier New" w:eastAsia="Courier New" w:hAnsi="Courier New"/>
          <w:sz w:val="18"/>
          <w:szCs w:val="18"/>
          <w:color w:val="auto"/>
        </w:rPr>
        <w:t>nine.</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27th day of August, 1990.</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Cathy L. Smith</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CERTIFICATE OF TENTH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24, 1990:</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amended to</w:t>
      </w:r>
    </w:p>
    <w:p>
      <w:pPr>
        <w:spacing w:after="0"/>
        <w:rPr>
          <w:sz w:val="20"/>
          <w:szCs w:val="20"/>
          <w:color w:val="auto"/>
        </w:rPr>
      </w:pPr>
      <w:r>
        <w:rPr>
          <w:rFonts w:ascii="Courier New" w:cs="Courier New" w:eastAsia="Courier New" w:hAnsi="Courier New"/>
          <w:sz w:val="18"/>
          <w:szCs w:val="18"/>
          <w:color w:val="auto"/>
        </w:rPr>
        <w:t>read as 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620" w:val="left"/>
        </w:tabs>
        <w:rPr>
          <w:sz w:val="20"/>
          <w:szCs w:val="20"/>
          <w:color w:val="auto"/>
        </w:rPr>
      </w:pPr>
      <w:r>
        <w:rPr>
          <w:rFonts w:ascii="Courier New" w:cs="Courier New" w:eastAsia="Courier New" w:hAnsi="Courier New"/>
          <w:sz w:val="18"/>
          <w:szCs w:val="18"/>
          <w:color w:val="auto"/>
        </w:rPr>
        <w:t>ten.</w:t>
      </w:r>
      <w:r>
        <w:rPr>
          <w:sz w:val="20"/>
          <w:szCs w:val="20"/>
          <w:color w:val="auto"/>
        </w:rPr>
        <w:tab/>
      </w:r>
      <w:r>
        <w:rPr>
          <w:rFonts w:ascii="Courier New" w:cs="Courier New" w:eastAsia="Courier New" w:hAnsi="Courier New"/>
          <w:sz w:val="16"/>
          <w:szCs w:val="16"/>
          <w:color w:val="auto"/>
        </w:rPr>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24th day of September, 1990.</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CERTIFICATE OF ELEVENTH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July 27, 1992:</w:t>
      </w:r>
    </w:p>
    <w:p>
      <w:pPr>
        <w:spacing w:after="0" w:line="202"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RESOLVED:</w:t>
      </w:r>
      <w:r>
        <w:rPr>
          <w:sz w:val="20"/>
          <w:szCs w:val="20"/>
          <w:color w:val="auto"/>
        </w:rPr>
        <w:tab/>
      </w:r>
      <w:r>
        <w:rPr>
          <w:rFonts w:ascii="Courier New" w:cs="Courier New" w:eastAsia="Courier New" w:hAnsi="Courier New"/>
          <w:sz w:val="16"/>
          <w:szCs w:val="16"/>
          <w:color w:val="auto"/>
        </w:rPr>
        <w:t>Article III Section 1 of the</w:t>
      </w:r>
    </w:p>
    <w:p>
      <w:pPr>
        <w:spacing w:after="0" w:line="238" w:lineRule="auto"/>
        <w:rPr>
          <w:sz w:val="20"/>
          <w:szCs w:val="20"/>
          <w:color w:val="auto"/>
        </w:rPr>
      </w:pPr>
      <w:r>
        <w:rPr>
          <w:rFonts w:ascii="Courier New" w:cs="Courier New" w:eastAsia="Courier New" w:hAnsi="Courier New"/>
          <w:sz w:val="18"/>
          <w:szCs w:val="18"/>
          <w:color w:val="auto"/>
        </w:rPr>
        <w:t>Bylaws of this corporation are hereby to read as</w:t>
      </w:r>
    </w:p>
    <w:p>
      <w:pPr>
        <w:spacing w:after="0"/>
        <w:rPr>
          <w:sz w:val="20"/>
          <w:szCs w:val="20"/>
          <w:color w:val="auto"/>
        </w:rPr>
      </w:pPr>
      <w:r>
        <w:rPr>
          <w:rFonts w:ascii="Courier New" w:cs="Courier New" w:eastAsia="Courier New" w:hAnsi="Courier New"/>
          <w:sz w:val="18"/>
          <w:szCs w:val="18"/>
          <w:color w:val="auto"/>
        </w:rPr>
        <w:t>follows:</w:t>
      </w:r>
    </w:p>
    <w:p>
      <w:pPr>
        <w:spacing w:after="0" w:line="200"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authorized number</w:t>
      </w:r>
    </w:p>
    <w:p>
      <w:pPr>
        <w:spacing w:after="0" w:line="238" w:lineRule="auto"/>
        <w:rPr>
          <w:sz w:val="20"/>
          <w:szCs w:val="20"/>
          <w:color w:val="auto"/>
        </w:rPr>
      </w:pPr>
      <w:r>
        <w:rPr>
          <w:rFonts w:ascii="Courier New" w:cs="Courier New" w:eastAsia="Courier New" w:hAnsi="Courier New"/>
          <w:sz w:val="18"/>
          <w:szCs w:val="18"/>
          <w:color w:val="auto"/>
        </w:rPr>
        <w:t>of directors of the Corporation shall be</w:t>
      </w:r>
    </w:p>
    <w:p>
      <w:pPr>
        <w:spacing w:after="0"/>
        <w:tabs>
          <w:tab w:leader="none" w:pos="840" w:val="left"/>
        </w:tabs>
        <w:rPr>
          <w:sz w:val="20"/>
          <w:szCs w:val="20"/>
          <w:color w:val="auto"/>
        </w:rPr>
      </w:pPr>
      <w:r>
        <w:rPr>
          <w:rFonts w:ascii="Courier New" w:cs="Courier New" w:eastAsia="Courier New" w:hAnsi="Courier New"/>
          <w:sz w:val="18"/>
          <w:szCs w:val="18"/>
          <w:color w:val="auto"/>
        </w:rPr>
        <w:t>eight.</w:t>
        <w:tab/>
        <w:t>The number of directors provided</w:t>
      </w:r>
    </w:p>
    <w:p>
      <w:pPr>
        <w:spacing w:after="0" w:line="237" w:lineRule="auto"/>
        <w:rPr>
          <w:sz w:val="20"/>
          <w:szCs w:val="20"/>
          <w:color w:val="auto"/>
        </w:rPr>
      </w:pPr>
      <w:r>
        <w:rPr>
          <w:rFonts w:ascii="Courier New" w:cs="Courier New" w:eastAsia="Courier New" w:hAnsi="Courier New"/>
          <w:sz w:val="18"/>
          <w:szCs w:val="18"/>
          <w:color w:val="auto"/>
        </w:rPr>
        <w:t>in this Section 1 may be changed by a</w:t>
      </w:r>
    </w:p>
    <w:p>
      <w:pPr>
        <w:spacing w:after="0" w:line="238" w:lineRule="auto"/>
        <w:rPr>
          <w:sz w:val="20"/>
          <w:szCs w:val="20"/>
          <w:color w:val="auto"/>
        </w:rPr>
      </w:pPr>
      <w:r>
        <w:rPr>
          <w:rFonts w:ascii="Courier New" w:cs="Courier New" w:eastAsia="Courier New" w:hAnsi="Courier New"/>
          <w:sz w:val="18"/>
          <w:szCs w:val="18"/>
          <w:color w:val="auto"/>
        </w:rPr>
        <w:t>Bylaw duly adopted by the affirmative</w:t>
      </w:r>
    </w:p>
    <w:p>
      <w:pPr>
        <w:spacing w:after="0"/>
        <w:rPr>
          <w:sz w:val="20"/>
          <w:szCs w:val="20"/>
          <w:color w:val="auto"/>
        </w:rPr>
      </w:pPr>
      <w:r>
        <w:rPr>
          <w:rFonts w:ascii="Courier New" w:cs="Courier New" w:eastAsia="Courier New" w:hAnsi="Courier New"/>
          <w:sz w:val="18"/>
          <w:szCs w:val="18"/>
          <w:color w:val="auto"/>
        </w:rPr>
        <w:t>vote of a majority of the outstanding</w:t>
      </w:r>
    </w:p>
    <w:p>
      <w:pPr>
        <w:spacing w:after="0" w:line="237" w:lineRule="auto"/>
        <w:rPr>
          <w:sz w:val="20"/>
          <w:szCs w:val="20"/>
          <w:color w:val="auto"/>
        </w:rPr>
      </w:pPr>
      <w:r>
        <w:rPr>
          <w:rFonts w:ascii="Courier New" w:cs="Courier New" w:eastAsia="Courier New" w:hAnsi="Courier New"/>
          <w:sz w:val="18"/>
          <w:szCs w:val="18"/>
          <w:color w:val="auto"/>
        </w:rPr>
        <w:t>shares entitled to vote or by a</w:t>
      </w:r>
    </w:p>
    <w:p>
      <w:pPr>
        <w:spacing w:after="0"/>
        <w:rPr>
          <w:sz w:val="20"/>
          <w:szCs w:val="20"/>
          <w:color w:val="auto"/>
        </w:rPr>
      </w:pPr>
      <w:r>
        <w:rPr>
          <w:rFonts w:ascii="Courier New" w:cs="Courier New" w:eastAsia="Courier New" w:hAnsi="Courier New"/>
          <w:sz w:val="18"/>
          <w:szCs w:val="18"/>
          <w:color w:val="auto"/>
        </w:rPr>
        <w:t>resolution of the Board of Directors.</w:t>
      </w:r>
    </w:p>
    <w:p>
      <w:pPr>
        <w:spacing w:after="0" w:line="206" w:lineRule="exact"/>
        <w:rPr>
          <w:sz w:val="20"/>
          <w:szCs w:val="20"/>
          <w:color w:val="auto"/>
        </w:rPr>
      </w:pPr>
    </w:p>
    <w:p>
      <w:pPr>
        <w:ind w:right="399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27th day of July, 1992.</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CERTIFICATE OF TWELFTH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May 23, 1994:</w:t>
      </w:r>
    </w:p>
    <w:p>
      <w:pPr>
        <w:spacing w:after="0" w:line="209"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RESOLVED: Article III, Section I of the Bylaws of this corporation are hereby amended to read as follows:</w:t>
      </w:r>
    </w:p>
    <w:p>
      <w:pPr>
        <w:spacing w:after="0" w:line="208" w:lineRule="exact"/>
        <w:rPr>
          <w:sz w:val="20"/>
          <w:szCs w:val="20"/>
          <w:color w:val="auto"/>
        </w:rPr>
      </w:pPr>
    </w:p>
    <w:p>
      <w:pPr>
        <w:ind w:right="3679" w:firstLine="527"/>
        <w:spacing w:after="0" w:line="273" w:lineRule="auto"/>
        <w:rPr>
          <w:sz w:val="20"/>
          <w:szCs w:val="20"/>
          <w:color w:val="auto"/>
        </w:rPr>
      </w:pPr>
      <w:r>
        <w:rPr>
          <w:rFonts w:ascii="Courier New" w:cs="Courier New" w:eastAsia="Courier New" w:hAnsi="Courier New"/>
          <w:sz w:val="16"/>
          <w:szCs w:val="16"/>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85"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23rd day of May, 1994.</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514"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CERTIFICATE OF THIRTEENTH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September 1, 1994:</w:t>
      </w:r>
    </w:p>
    <w:p>
      <w:pPr>
        <w:spacing w:after="0" w:line="178"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RESOLVED: Article III, Section I of the Bylaws of this corporation are hereby amended to read as follows:</w:t>
      </w:r>
    </w:p>
    <w:p>
      <w:pPr>
        <w:spacing w:after="0" w:line="208" w:lineRule="exact"/>
        <w:rPr>
          <w:sz w:val="20"/>
          <w:szCs w:val="20"/>
          <w:color w:val="auto"/>
        </w:rPr>
      </w:pPr>
    </w:p>
    <w:p>
      <w:pPr>
        <w:ind w:right="3679" w:firstLine="527"/>
        <w:spacing w:after="0" w:line="273" w:lineRule="auto"/>
        <w:rPr>
          <w:sz w:val="20"/>
          <w:szCs w:val="20"/>
          <w:color w:val="auto"/>
        </w:rPr>
      </w:pPr>
      <w:r>
        <w:rPr>
          <w:rFonts w:ascii="Courier New" w:cs="Courier New" w:eastAsia="Courier New" w:hAnsi="Courier New"/>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85"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1st day of September, 1994.</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Cathy L. Smith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83" w:name="page84"/>
    <w:bookmarkEnd w:id="83"/>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jc w:val="center"/>
        <w:ind w:right="2399"/>
        <w:spacing w:after="0" w:line="238" w:lineRule="auto"/>
        <w:rPr>
          <w:sz w:val="20"/>
          <w:szCs w:val="20"/>
          <w:color w:val="auto"/>
        </w:rPr>
      </w:pPr>
      <w:r>
        <w:rPr>
          <w:rFonts w:ascii="Courier New" w:cs="Courier New" w:eastAsia="Courier New" w:hAnsi="Courier New"/>
          <w:sz w:val="18"/>
          <w:szCs w:val="18"/>
          <w:color w:val="auto"/>
        </w:rPr>
        <w:t>Exhibit 11.1</w:t>
      </w:r>
    </w:p>
    <w:p>
      <w:pPr>
        <w:jc w:val="center"/>
        <w:ind w:right="2519"/>
        <w:spacing w:after="0"/>
        <w:rPr>
          <w:sz w:val="20"/>
          <w:szCs w:val="20"/>
          <w:color w:val="auto"/>
        </w:rPr>
      </w:pPr>
      <w:r>
        <w:rPr>
          <w:rFonts w:ascii="Courier New" w:cs="Courier New" w:eastAsia="Courier New" w:hAnsi="Courier New"/>
          <w:sz w:val="18"/>
          <w:szCs w:val="18"/>
          <w:color w:val="auto"/>
        </w:rPr>
        <w:t>Computation of Per Share Earnings</w:t>
      </w:r>
    </w:p>
    <w:tbl>
      <w:tblPr>
        <w:tblLayout w:type="fixed"/>
        <w:tblInd w:w="0" w:type="dxa"/>
        <w:tblCellMar>
          <w:top w:w="0" w:type="dxa"/>
          <w:left w:w="0" w:type="dxa"/>
          <w:bottom w:w="0" w:type="dxa"/>
          <w:right w:w="0" w:type="dxa"/>
        </w:tblCellMar>
      </w:tblPr>
      <w:tr>
        <w:trPr>
          <w:trHeight w:val="202"/>
        </w:trPr>
        <w:tc>
          <w:tcPr>
            <w:tcW w:w="6860" w:type="dxa"/>
            <w:vAlign w:val="bottom"/>
            <w:gridSpan w:val="5"/>
          </w:tcPr>
          <w:p>
            <w:pPr>
              <w:jc w:val="right"/>
              <w:ind w:right="552"/>
              <w:spacing w:after="0" w:line="202" w:lineRule="exact"/>
              <w:rPr>
                <w:sz w:val="20"/>
                <w:szCs w:val="20"/>
                <w:color w:val="auto"/>
              </w:rPr>
            </w:pPr>
            <w:r>
              <w:rPr>
                <w:rFonts w:ascii="Courier New" w:cs="Courier New" w:eastAsia="Courier New" w:hAnsi="Courier New"/>
                <w:sz w:val="18"/>
                <w:szCs w:val="18"/>
                <w:color w:val="auto"/>
              </w:rPr>
              <w:t>(Amounts in millions except per share amounts)</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810"/>
        </w:trPr>
        <w:tc>
          <w:tcPr>
            <w:tcW w:w="4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w w:val="94"/>
              </w:rPr>
              <w:t>Year Ended</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42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September 1,</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September 2,</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5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1993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52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Weighted average shares outstanding</w:t>
            </w:r>
          </w:p>
        </w:tc>
        <w:tc>
          <w:tcPr>
            <w:tcW w:w="5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101.2</w:t>
            </w:r>
          </w:p>
        </w:tc>
        <w:tc>
          <w:tcPr>
            <w:tcW w:w="68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98.2</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94.5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Net effect of dilutive stock options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warrants</w:t>
            </w:r>
          </w:p>
        </w:tc>
        <w:tc>
          <w:tcPr>
            <w:tcW w:w="5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c>
          <w:tcPr>
            <w:tcW w:w="68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5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104.5</w:t>
            </w:r>
          </w:p>
        </w:tc>
        <w:tc>
          <w:tcPr>
            <w:tcW w:w="68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100.2</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97.3</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$ 400.5</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$ 104.1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amount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3.83</w:t>
            </w:r>
          </w:p>
        </w:tc>
        <w:tc>
          <w:tcPr>
            <w:tcW w:w="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$ 0.07</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Weighted average shares outstanding</w:t>
            </w:r>
          </w:p>
        </w:tc>
        <w:tc>
          <w:tcPr>
            <w:tcW w:w="5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101.2</w:t>
            </w:r>
          </w:p>
        </w:tc>
        <w:tc>
          <w:tcPr>
            <w:tcW w:w="68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98.2</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94.5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Net effect of dilutive stock options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warrants</w:t>
            </w:r>
          </w:p>
        </w:tc>
        <w:tc>
          <w:tcPr>
            <w:tcW w:w="5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c>
          <w:tcPr>
            <w:tcW w:w="68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580" w:type="dxa"/>
            <w:vAlign w:val="bottom"/>
          </w:tcPr>
          <w:p>
            <w:pPr>
              <w:spacing w:after="0"/>
              <w:rPr>
                <w:sz w:val="17"/>
                <w:szCs w:val="17"/>
                <w:color w:val="auto"/>
              </w:rPr>
            </w:pP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105.2</w:t>
            </w:r>
          </w:p>
        </w:tc>
        <w:tc>
          <w:tcPr>
            <w:tcW w:w="68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101.3</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97.3</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$ 400.5</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$ 104.1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amount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3.80</w:t>
            </w:r>
          </w:p>
        </w:tc>
        <w:tc>
          <w:tcPr>
            <w:tcW w:w="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$ 0.07</w:t>
            </w:r>
          </w:p>
        </w:tc>
      </w:tr>
      <w:tr>
        <w:trPr>
          <w:trHeight w:val="203"/>
        </w:trPr>
        <w:tc>
          <w:tcPr>
            <w:tcW w:w="4020" w:type="dxa"/>
            <w:vAlign w:val="bottom"/>
          </w:tcPr>
          <w:p>
            <w:pPr>
              <w:spacing w:after="0"/>
              <w:rPr>
                <w:sz w:val="17"/>
                <w:szCs w:val="17"/>
                <w:color w:val="auto"/>
              </w:rPr>
            </w:pPr>
          </w:p>
        </w:tc>
        <w:tc>
          <w:tcPr>
            <w:tcW w:w="12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84" w:name="page85"/>
    <w:bookmarkEnd w:id="84"/>
    <w:p>
      <w:pPr>
        <w:jc w:val="center"/>
        <w:ind w:right="1459"/>
        <w:spacing w:after="0"/>
        <w:rPr>
          <w:sz w:val="20"/>
          <w:szCs w:val="20"/>
          <w:color w:val="auto"/>
        </w:rPr>
      </w:pPr>
      <w:r>
        <w:rPr>
          <w:rFonts w:ascii="Courier New" w:cs="Courier New" w:eastAsia="Courier New" w:hAnsi="Courier New"/>
          <w:sz w:val="18"/>
          <w:szCs w:val="18"/>
          <w:color w:val="auto"/>
        </w:rPr>
        <w:t>MICRON TECHNOLOGY,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Exhibit 21.1</w:t>
      </w:r>
    </w:p>
    <w:p>
      <w:pPr>
        <w:jc w:val="center"/>
        <w:ind w:right="1779"/>
        <w:spacing w:after="0"/>
        <w:rPr>
          <w:sz w:val="20"/>
          <w:szCs w:val="20"/>
          <w:color w:val="auto"/>
        </w:rPr>
      </w:pPr>
      <w:r>
        <w:rPr>
          <w:rFonts w:ascii="Courier New" w:cs="Courier New" w:eastAsia="Courier New" w:hAnsi="Courier New"/>
          <w:sz w:val="18"/>
          <w:szCs w:val="18"/>
          <w:color w:val="auto"/>
        </w:rPr>
        <w:t>Subsidiaries of the Registrant</w:t>
      </w:r>
    </w:p>
    <w:p>
      <w:pPr>
        <w:spacing w:after="0" w:line="200" w:lineRule="exact"/>
        <w:rPr>
          <w:sz w:val="20"/>
          <w:szCs w:val="20"/>
          <w:color w:val="auto"/>
        </w:rPr>
      </w:pPr>
    </w:p>
    <w:p>
      <w:pPr>
        <w:spacing w:after="0" w:line="203" w:lineRule="exact"/>
        <w:rPr>
          <w:sz w:val="20"/>
          <w:szCs w:val="20"/>
          <w:color w:val="auto"/>
        </w:rPr>
      </w:pPr>
    </w:p>
    <w:p>
      <w:pPr>
        <w:ind w:left="4540"/>
        <w:spacing w:after="0"/>
        <w:tabs>
          <w:tab w:leader="none" w:pos="7160" w:val="left"/>
        </w:tabs>
        <w:rPr>
          <w:sz w:val="20"/>
          <w:szCs w:val="20"/>
          <w:color w:val="auto"/>
        </w:rPr>
      </w:pPr>
      <w:r>
        <w:rPr>
          <w:rFonts w:ascii="Courier New" w:cs="Courier New" w:eastAsia="Courier New" w:hAnsi="Courier New"/>
          <w:sz w:val="18"/>
          <w:szCs w:val="18"/>
          <w:color w:val="auto"/>
        </w:rPr>
        <w:t>State (or jurisdiction)</w:t>
      </w:r>
      <w:r>
        <w:rPr>
          <w:sz w:val="20"/>
          <w:szCs w:val="20"/>
          <w:color w:val="auto"/>
        </w:rPr>
        <w:tab/>
      </w:r>
      <w:r>
        <w:rPr>
          <w:rFonts w:ascii="Courier New" w:cs="Courier New" w:eastAsia="Courier New" w:hAnsi="Courier New"/>
          <w:sz w:val="16"/>
          <w:szCs w:val="16"/>
          <w:color w:val="auto"/>
        </w:rPr>
        <w:t>Percentage</w:t>
      </w:r>
    </w:p>
    <w:p>
      <w:pPr>
        <w:ind w:left="5280"/>
        <w:spacing w:after="0"/>
        <w:tabs>
          <w:tab w:leader="none" w:pos="7160" w:val="left"/>
        </w:tabs>
        <w:rPr>
          <w:sz w:val="20"/>
          <w:szCs w:val="20"/>
          <w:color w:val="auto"/>
        </w:rPr>
      </w:pPr>
      <w:r>
        <w:rPr>
          <w:rFonts w:ascii="Courier New" w:cs="Courier New" w:eastAsia="Courier New" w:hAnsi="Courier New"/>
          <w:sz w:val="18"/>
          <w:szCs w:val="18"/>
          <w:color w:val="auto"/>
        </w:rPr>
        <w:t>in which</w:t>
      </w:r>
      <w:r>
        <w:rPr>
          <w:sz w:val="20"/>
          <w:szCs w:val="20"/>
          <w:color w:val="auto"/>
        </w:rPr>
        <w:tab/>
      </w:r>
      <w:r>
        <w:rPr>
          <w:rFonts w:ascii="Courier New" w:cs="Courier New" w:eastAsia="Courier New" w:hAnsi="Courier New"/>
          <w:sz w:val="16"/>
          <w:szCs w:val="16"/>
          <w:color w:val="auto"/>
        </w:rPr>
        <w:t>Ownership</w:t>
      </w:r>
    </w:p>
    <w:p>
      <w:pPr>
        <w:spacing w:after="0"/>
        <w:tabs>
          <w:tab w:leader="none" w:pos="5040" w:val="left"/>
          <w:tab w:leader="none" w:pos="7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Incorporated</w:t>
      </w:r>
      <w:r>
        <w:rPr>
          <w:sz w:val="20"/>
          <w:szCs w:val="20"/>
          <w:color w:val="auto"/>
        </w:rPr>
        <w:tab/>
      </w:r>
      <w:r>
        <w:rPr>
          <w:rFonts w:ascii="Courier New" w:cs="Courier New" w:eastAsia="Courier New" w:hAnsi="Courier New"/>
          <w:sz w:val="16"/>
          <w:szCs w:val="16"/>
          <w:color w:val="auto"/>
        </w:rPr>
        <w:t>by Registrant</w:t>
      </w:r>
    </w:p>
    <w:tbl>
      <w:tblPr>
        <w:tblLayout w:type="fixed"/>
        <w:tblInd w:w="0" w:type="dxa"/>
        <w:tblCellMar>
          <w:top w:w="0" w:type="dxa"/>
          <w:left w:w="0" w:type="dxa"/>
          <w:bottom w:w="0" w:type="dxa"/>
          <w:right w:w="0" w:type="dxa"/>
        </w:tblCellMar>
      </w:tblPr>
      <w:tr>
        <w:trPr>
          <w:trHeight w:val="202"/>
        </w:trPr>
        <w:tc>
          <w:tcPr>
            <w:tcW w:w="73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w w:val="97"/>
              </w:rPr>
              <w:t>- - ------------------------------------------ -----------------------</w:t>
            </w:r>
          </w:p>
        </w:tc>
        <w:tc>
          <w:tcPr>
            <w:tcW w:w="1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Micron Semiconductor, Inc.</w:t>
            </w:r>
          </w:p>
        </w:tc>
        <w:tc>
          <w:tcPr>
            <w:tcW w:w="2420" w:type="dxa"/>
            <w:vAlign w:val="bottom"/>
          </w:tcPr>
          <w:p>
            <w:pPr>
              <w:ind w:left="420"/>
              <w:spacing w:after="0"/>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2"/>
              </w:rPr>
              <w:t>100%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Custom Manufacturing Services,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Computer,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Communications,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Construction,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Construction of New Mexico,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New Mexico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Display Technology,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Europe Limited</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Kingdom</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Investments,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Overseas Trading,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Virgin Islands</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Quantum Devices,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California</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Micromate,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Washington</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Sales Northwest,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Oregon</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Semiconductor Asia Pacific Pte. Ltd.</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Singapore</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Semiconductor Asia Pacific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Semiconductor (Deutschland) GmbH</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Germany</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 Systems Integration, Inc.</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Idaho</w:t>
            </w: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90%</w:t>
            </w:r>
          </w:p>
        </w:tc>
      </w:tr>
    </w:tbl>
    <w:p>
      <w:pPr>
        <w:sectPr>
          <w:pgSz w:w="11900" w:h="16838" w:orient="portrait"/>
          <w:cols w:equalWidth="0" w:num="1">
            <w:col w:w="10219"/>
          </w:cols>
          <w:pgMar w:left="240" w:top="136" w:right="1440" w:bottom="1440" w:gutter="0" w:footer="0" w:header="0"/>
        </w:sectPr>
      </w:pPr>
    </w:p>
    <w:bookmarkStart w:id="85" w:name="page86"/>
    <w:bookmarkEnd w:id="85"/>
    <w:p>
      <w:pPr>
        <w:ind w:left="2540"/>
        <w:spacing w:after="0"/>
        <w:rPr>
          <w:sz w:val="20"/>
          <w:szCs w:val="20"/>
          <w:color w:val="auto"/>
        </w:rPr>
      </w:pPr>
      <w:r>
        <w:rPr>
          <w:rFonts w:ascii="Courier New" w:cs="Courier New" w:eastAsia="Courier New" w:hAnsi="Courier New"/>
          <w:sz w:val="18"/>
          <w:szCs w:val="18"/>
          <w:color w:val="auto"/>
        </w:rPr>
        <w:t>MICRON TECHNOLOGY, INC.</w:t>
      </w:r>
    </w:p>
    <w:p>
      <w:pPr>
        <w:ind w:left="2960"/>
        <w:spacing w:after="0" w:line="238" w:lineRule="auto"/>
        <w:rPr>
          <w:sz w:val="20"/>
          <w:szCs w:val="20"/>
          <w:color w:val="auto"/>
        </w:rPr>
      </w:pPr>
      <w:r>
        <w:rPr>
          <w:rFonts w:ascii="Courier New" w:cs="Courier New" w:eastAsia="Courier New" w:hAnsi="Courier New"/>
          <w:sz w:val="18"/>
          <w:szCs w:val="18"/>
          <w:color w:val="auto"/>
        </w:rPr>
        <w:t>Exhibit 23.1</w:t>
      </w:r>
    </w:p>
    <w:p>
      <w:pPr>
        <w:ind w:left="21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6"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of Micron Technology, Inc., and subsidiaries on Forms S-8 (File Nos. 33-3686, 33-16832, 33-27078, 33-38665, 33-38926, 33-65050, and 33-52653) of our report, which includes an explanatory paragraph regarding contingencies related to product and process technology, dated September 22, 1994, on our audits of the consolidated financial statements and financial statement schedules of Micron Technology, Inc., and subsidiaries as of September 1, 1994, and September 2, 1993, and for each of the three years in the period ended September 1, 1994, which report is included in this Annual Report on Form 10-K.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September 22, 1994</w:t>
      </w:r>
    </w:p>
    <w:p>
      <w:pPr>
        <w:sectPr>
          <w:pgSz w:w="11900" w:h="16838" w:orient="portrait"/>
          <w:cols w:equalWidth="0" w:num="1">
            <w:col w:w="10219"/>
          </w:cols>
          <w:pgMar w:left="240" w:top="339"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YEAR</w:t>
      </w:r>
    </w:p>
    <w:p>
      <w:pPr>
        <w:ind w:left="2620"/>
        <w:spacing w:after="0" w:line="238" w:lineRule="auto"/>
        <w:rPr>
          <w:sz w:val="20"/>
          <w:szCs w:val="20"/>
          <w:color w:val="auto"/>
        </w:rPr>
      </w:pPr>
      <w:r>
        <w:rPr>
          <w:rFonts w:ascii="Courier New" w:cs="Courier New" w:eastAsia="Courier New" w:hAnsi="Courier New"/>
          <w:sz w:val="18"/>
          <w:szCs w:val="18"/>
          <w:color w:val="auto"/>
        </w:rPr>
        <w:t>SEP-01-1994</w:t>
      </w:r>
    </w:p>
    <w:p>
      <w:pPr>
        <w:ind w:left="3160"/>
        <w:spacing w:after="0"/>
        <w:rPr>
          <w:sz w:val="20"/>
          <w:szCs w:val="20"/>
          <w:color w:val="auto"/>
        </w:rPr>
      </w:pPr>
      <w:r>
        <w:rPr>
          <w:rFonts w:ascii="Courier New" w:cs="Courier New" w:eastAsia="Courier New" w:hAnsi="Courier New"/>
          <w:sz w:val="18"/>
          <w:szCs w:val="18"/>
          <w:color w:val="auto"/>
        </w:rPr>
        <w:t>SEP-01-1994</w:t>
      </w:r>
    </w:p>
    <w:p>
      <w:pPr>
        <w:jc w:val="center"/>
        <w:ind w:right="439"/>
        <w:spacing w:after="0" w:line="237" w:lineRule="auto"/>
        <w:rPr>
          <w:sz w:val="20"/>
          <w:szCs w:val="20"/>
          <w:color w:val="auto"/>
        </w:rPr>
      </w:pPr>
      <w:r>
        <w:rPr>
          <w:rFonts w:ascii="Courier New" w:cs="Courier New" w:eastAsia="Courier New" w:hAnsi="Courier New"/>
          <w:sz w:val="18"/>
          <w:szCs w:val="18"/>
          <w:color w:val="auto"/>
        </w:rPr>
        <w:t>78</w:t>
      </w:r>
    </w:p>
    <w:p>
      <w:pPr>
        <w:ind w:left="4000"/>
        <w:spacing w:after="0" w:line="238" w:lineRule="auto"/>
        <w:rPr>
          <w:sz w:val="20"/>
          <w:szCs w:val="20"/>
          <w:color w:val="auto"/>
        </w:rPr>
      </w:pPr>
      <w:r>
        <w:rPr>
          <w:rFonts w:ascii="Courier New" w:cs="Courier New" w:eastAsia="Courier New" w:hAnsi="Courier New"/>
          <w:sz w:val="18"/>
          <w:szCs w:val="18"/>
          <w:color w:val="auto"/>
        </w:rPr>
        <w:t>354</w:t>
      </w:r>
    </w:p>
    <w:p>
      <w:pPr>
        <w:ind w:left="3900"/>
        <w:spacing w:after="0"/>
        <w:rPr>
          <w:sz w:val="20"/>
          <w:szCs w:val="20"/>
          <w:color w:val="auto"/>
        </w:rPr>
      </w:pPr>
      <w:r>
        <w:rPr>
          <w:rFonts w:ascii="Courier New" w:cs="Courier New" w:eastAsia="Courier New" w:hAnsi="Courier New"/>
          <w:sz w:val="18"/>
          <w:szCs w:val="18"/>
          <w:color w:val="auto"/>
        </w:rPr>
        <w:t>244</w:t>
      </w:r>
    </w:p>
    <w:p>
      <w:pPr>
        <w:jc w:val="center"/>
        <w:ind w:right="1599"/>
        <w:spacing w:after="0" w:line="237" w:lineRule="auto"/>
        <w:rPr>
          <w:sz w:val="20"/>
          <w:szCs w:val="20"/>
          <w:color w:val="auto"/>
        </w:rPr>
      </w:pPr>
      <w:r>
        <w:rPr>
          <w:rFonts w:ascii="Courier New" w:cs="Courier New" w:eastAsia="Courier New" w:hAnsi="Courier New"/>
          <w:sz w:val="18"/>
          <w:szCs w:val="18"/>
          <w:color w:val="auto"/>
        </w:rPr>
        <w:t>8</w:t>
      </w:r>
    </w:p>
    <w:p>
      <w:pPr>
        <w:jc w:val="center"/>
        <w:ind w:right="1599"/>
        <w:spacing w:after="0"/>
        <w:rPr>
          <w:sz w:val="20"/>
          <w:szCs w:val="20"/>
          <w:color w:val="auto"/>
        </w:rPr>
      </w:pPr>
      <w:r>
        <w:rPr>
          <w:rFonts w:ascii="Courier New" w:cs="Courier New" w:eastAsia="Courier New" w:hAnsi="Courier New"/>
          <w:sz w:val="18"/>
          <w:szCs w:val="18"/>
          <w:color w:val="auto"/>
        </w:rPr>
        <w:t>101</w:t>
      </w:r>
    </w:p>
    <w:p>
      <w:pPr>
        <w:ind w:left="3580"/>
        <w:spacing w:after="0" w:line="237" w:lineRule="auto"/>
        <w:rPr>
          <w:sz w:val="20"/>
          <w:szCs w:val="20"/>
          <w:color w:val="auto"/>
        </w:rPr>
      </w:pPr>
      <w:r>
        <w:rPr>
          <w:rFonts w:ascii="Courier New" w:cs="Courier New" w:eastAsia="Courier New" w:hAnsi="Courier New"/>
          <w:sz w:val="18"/>
          <w:szCs w:val="18"/>
          <w:color w:val="auto"/>
        </w:rPr>
        <w:t>793</w:t>
      </w:r>
    </w:p>
    <w:p>
      <w:pPr>
        <w:ind w:left="4420"/>
        <w:spacing w:after="0"/>
        <w:rPr>
          <w:sz w:val="20"/>
          <w:szCs w:val="20"/>
          <w:color w:val="auto"/>
        </w:rPr>
      </w:pPr>
      <w:r>
        <w:rPr>
          <w:rFonts w:ascii="Courier New" w:cs="Courier New" w:eastAsia="Courier New" w:hAnsi="Courier New"/>
          <w:sz w:val="18"/>
          <w:szCs w:val="18"/>
          <w:color w:val="auto"/>
        </w:rPr>
        <w:t>1,162</w:t>
      </w:r>
    </w:p>
    <w:p>
      <w:pPr>
        <w:ind w:left="3780"/>
        <w:spacing w:after="0" w:line="237" w:lineRule="auto"/>
        <w:rPr>
          <w:sz w:val="20"/>
          <w:szCs w:val="20"/>
          <w:color w:val="auto"/>
        </w:rPr>
      </w:pPr>
      <w:r>
        <w:rPr>
          <w:rFonts w:ascii="Courier New" w:cs="Courier New" w:eastAsia="Courier New" w:hAnsi="Courier New"/>
          <w:sz w:val="18"/>
          <w:szCs w:val="18"/>
          <w:color w:val="auto"/>
        </w:rPr>
        <w:t>499</w:t>
      </w:r>
    </w:p>
    <w:p>
      <w:pPr>
        <w:ind w:left="3580"/>
        <w:spacing w:after="0" w:line="238" w:lineRule="auto"/>
        <w:rPr>
          <w:sz w:val="20"/>
          <w:szCs w:val="20"/>
          <w:color w:val="auto"/>
        </w:rPr>
      </w:pPr>
      <w:r>
        <w:rPr>
          <w:rFonts w:ascii="Courier New" w:cs="Courier New" w:eastAsia="Courier New" w:hAnsi="Courier New"/>
          <w:sz w:val="18"/>
          <w:szCs w:val="18"/>
          <w:color w:val="auto"/>
        </w:rPr>
        <w:t>1,530</w:t>
      </w:r>
    </w:p>
    <w:p>
      <w:pPr>
        <w:ind w:left="3040"/>
        <w:spacing w:after="0"/>
        <w:rPr>
          <w:sz w:val="20"/>
          <w:szCs w:val="20"/>
          <w:color w:val="auto"/>
        </w:rPr>
      </w:pPr>
      <w:r>
        <w:rPr>
          <w:rFonts w:ascii="Courier New" w:cs="Courier New" w:eastAsia="Courier New" w:hAnsi="Courier New"/>
          <w:sz w:val="18"/>
          <w:szCs w:val="18"/>
          <w:color w:val="auto"/>
        </w:rPr>
        <w:t>274</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10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1,039</w:t>
      </w:r>
    </w:p>
    <w:p>
      <w:pPr>
        <w:ind w:left="2100"/>
        <w:spacing w:after="0" w:line="238" w:lineRule="auto"/>
        <w:rPr>
          <w:sz w:val="20"/>
          <w:szCs w:val="20"/>
          <w:color w:val="auto"/>
        </w:rPr>
      </w:pPr>
      <w:r>
        <w:rPr>
          <w:rFonts w:ascii="Courier New" w:cs="Courier New" w:eastAsia="Courier New" w:hAnsi="Courier New"/>
          <w:sz w:val="18"/>
          <w:szCs w:val="18"/>
          <w:color w:val="auto"/>
        </w:rPr>
        <w:t>1,530</w:t>
      </w:r>
    </w:p>
    <w:p>
      <w:pPr>
        <w:ind w:left="4320"/>
        <w:spacing w:after="0"/>
        <w:rPr>
          <w:sz w:val="20"/>
          <w:szCs w:val="20"/>
          <w:color w:val="auto"/>
        </w:rPr>
      </w:pPr>
      <w:r>
        <w:rPr>
          <w:rFonts w:ascii="Courier New" w:cs="Courier New" w:eastAsia="Courier New" w:hAnsi="Courier New"/>
          <w:sz w:val="18"/>
          <w:szCs w:val="18"/>
          <w:color w:val="auto"/>
        </w:rPr>
        <w:t>1,629</w:t>
      </w:r>
    </w:p>
    <w:p>
      <w:pPr>
        <w:ind w:left="3360"/>
        <w:spacing w:after="0" w:line="237" w:lineRule="auto"/>
        <w:rPr>
          <w:sz w:val="20"/>
          <w:szCs w:val="20"/>
          <w:color w:val="auto"/>
        </w:rPr>
      </w:pPr>
      <w:r>
        <w:rPr>
          <w:rFonts w:ascii="Courier New" w:cs="Courier New" w:eastAsia="Courier New" w:hAnsi="Courier New"/>
          <w:sz w:val="18"/>
          <w:szCs w:val="18"/>
          <w:color w:val="auto"/>
        </w:rPr>
        <w:t>1,629</w:t>
      </w:r>
    </w:p>
    <w:p>
      <w:pPr>
        <w:spacing w:after="0" w:line="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789</w:t>
      </w:r>
    </w:p>
    <w:p>
      <w:pPr>
        <w:spacing w:after="0" w:line="16"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1,009</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(6)</w:t>
      </w:r>
    </w:p>
    <w:p>
      <w:pPr>
        <w:ind w:left="3680"/>
        <w:spacing w:after="0" w:line="238" w:lineRule="auto"/>
        <w:rPr>
          <w:sz w:val="20"/>
          <w:szCs w:val="20"/>
          <w:color w:val="auto"/>
        </w:rPr>
      </w:pPr>
      <w:r>
        <w:rPr>
          <w:rFonts w:ascii="Courier New" w:cs="Courier New" w:eastAsia="Courier New" w:hAnsi="Courier New"/>
          <w:sz w:val="18"/>
          <w:szCs w:val="18"/>
          <w:color w:val="auto"/>
        </w:rPr>
        <w:t>626</w:t>
      </w:r>
    </w:p>
    <w:p>
      <w:pPr>
        <w:ind w:left="4000"/>
        <w:spacing w:after="0"/>
        <w:rPr>
          <w:sz w:val="20"/>
          <w:szCs w:val="20"/>
          <w:color w:val="auto"/>
        </w:rPr>
      </w:pPr>
      <w:r>
        <w:rPr>
          <w:rFonts w:ascii="Courier New" w:cs="Courier New" w:eastAsia="Courier New" w:hAnsi="Courier New"/>
          <w:sz w:val="18"/>
          <w:szCs w:val="18"/>
          <w:color w:val="auto"/>
        </w:rPr>
        <w:t>225</w:t>
      </w:r>
    </w:p>
    <w:p>
      <w:pPr>
        <w:ind w:left="3460"/>
        <w:spacing w:after="0" w:line="237" w:lineRule="auto"/>
        <w:rPr>
          <w:sz w:val="20"/>
          <w:szCs w:val="20"/>
          <w:color w:val="auto"/>
        </w:rPr>
      </w:pPr>
      <w:r>
        <w:rPr>
          <w:rFonts w:ascii="Courier New" w:cs="Courier New" w:eastAsia="Courier New" w:hAnsi="Courier New"/>
          <w:sz w:val="18"/>
          <w:szCs w:val="18"/>
          <w:color w:val="auto"/>
        </w:rPr>
        <w:t>0</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401</w:t>
      </w:r>
    </w:p>
    <w:p>
      <w:pPr>
        <w:ind w:left="3780"/>
        <w:spacing w:after="0" w:line="238" w:lineRule="auto"/>
        <w:rPr>
          <w:sz w:val="20"/>
          <w:szCs w:val="20"/>
          <w:color w:val="auto"/>
        </w:rPr>
      </w:pPr>
      <w:r>
        <w:rPr>
          <w:rFonts w:ascii="Courier New" w:cs="Courier New" w:eastAsia="Courier New" w:hAnsi="Courier New"/>
          <w:sz w:val="18"/>
          <w:szCs w:val="18"/>
          <w:color w:val="auto"/>
        </w:rPr>
        <w:t>3.83</w:t>
      </w:r>
    </w:p>
    <w:p>
      <w:pPr>
        <w:ind w:left="3780"/>
        <w:spacing w:after="0"/>
        <w:rPr>
          <w:sz w:val="20"/>
          <w:szCs w:val="20"/>
          <w:color w:val="auto"/>
        </w:rPr>
      </w:pPr>
      <w:r>
        <w:rPr>
          <w:rFonts w:ascii="Courier New" w:cs="Courier New" w:eastAsia="Courier New" w:hAnsi="Courier New"/>
          <w:sz w:val="18"/>
          <w:szCs w:val="18"/>
          <w:color w:val="auto"/>
        </w:rPr>
        <w:t>3.80</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lowerLetter"/>
      <w:start w:val="3"/>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decimal"/>
      <w:start w:val="6"/>
    </w:lvl>
  </w:abstractNum>
  <w:abstractNum w:abstractNumId="15">
    <w:nsid w:val="257130A3"/>
    <w:multiLevelType w:val="hybridMultilevel"/>
    <w:lvl w:ilvl="0">
      <w:lvlJc w:val="left"/>
      <w:lvlText w:val="%1."/>
      <w:numFmt w:val="decimal"/>
      <w:start w:val="9"/>
    </w:lvl>
  </w:abstractNum>
  <w:abstractNum w:abstractNumId="16">
    <w:nsid w:val="62BBD95A"/>
    <w:multiLevelType w:val="hybridMultilevel"/>
    <w:lvl w:ilvl="0">
      <w:lvlJc w:val="left"/>
      <w:lvlText w:val="%1."/>
      <w:numFmt w:val="decimal"/>
      <w:start w:val="10"/>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4"/>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4"/>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2019-12-13T13:02:57Z</dcterms:created>
  <dcterms:modified xsi:type="dcterms:W3CDTF">2019-12-13T13:02:57Z</dcterms:modified>
</cp:coreProperties>
</file>