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23, 2025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wp:posOffset>
            </wp:positionV>
            <wp:extent cx="16459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September 23, 2025, Micron Technology, Inc. (the "Company", "we" or "our") announced the financial results for our fourth quarter and full year of fiscal 2025 ended August 28, 2025.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BD03F7"/>
              </w:rPr>
              <w:t>Press Release issued on September 23, 2025</w:t>
            </w:r>
          </w:p>
        </w:tc>
        <w:tc>
          <w:tcPr>
            <w:tcW w:w="2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shd w:val="clear" w:color="auto" w:fill="BD03F7"/>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20" w:type="dxa"/>
            <w:vAlign w:val="bottom"/>
          </w:tcPr>
          <w:p>
            <w:pPr>
              <w:spacing w:after="0"/>
              <w:rPr>
                <w:sz w:val="21"/>
                <w:szCs w:val="21"/>
                <w:color w:val="auto"/>
              </w:rPr>
            </w:pPr>
          </w:p>
        </w:tc>
        <w:tc>
          <w:tcPr>
            <w:tcW w:w="73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20" w:type="dxa"/>
            <w:vAlign w:val="bottom"/>
          </w:tcPr>
          <w:p>
            <w:pPr>
              <w:spacing w:after="0"/>
              <w:rPr>
                <w:sz w:val="20"/>
                <w:szCs w:val="20"/>
                <w:color w:val="auto"/>
              </w:rPr>
            </w:pPr>
            <w:r>
              <w:rPr>
                <w:rFonts w:ascii="Arial" w:cs="Arial" w:eastAsia="Arial" w:hAnsi="Arial"/>
                <w:sz w:val="18"/>
                <w:szCs w:val="18"/>
                <w:color w:val="auto"/>
              </w:rPr>
              <w:t>Date:   September 23, 2025</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920" w:type="dxa"/>
            <w:vAlign w:val="bottom"/>
          </w:tcPr>
          <w:p>
            <w:pPr>
              <w:spacing w:after="0"/>
              <w:rPr>
                <w:sz w:val="18"/>
                <w:szCs w:val="18"/>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920" w:type="dxa"/>
            <w:vAlign w:val="bottom"/>
          </w:tcPr>
          <w:p>
            <w:pPr>
              <w:spacing w:after="0"/>
              <w:rPr>
                <w:sz w:val="20"/>
                <w:szCs w:val="20"/>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1780" w:type="dxa"/>
            <w:vAlign w:val="bottom"/>
          </w:tcPr>
          <w:p>
            <w:pPr>
              <w:spacing w:after="0"/>
              <w:rPr>
                <w:sz w:val="20"/>
                <w:szCs w:val="20"/>
                <w:color w:val="auto"/>
              </w:rPr>
            </w:pPr>
            <w:r>
              <w:rPr>
                <w:rFonts w:ascii="Arial" w:cs="Arial" w:eastAsia="Arial" w:hAnsi="Arial"/>
                <w:sz w:val="18"/>
                <w:szCs w:val="18"/>
                <w:color w:val="auto"/>
              </w:rPr>
              <w:t>Mark Plungy</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1780" w:type="dxa"/>
            <w:vAlign w:val="bottom"/>
          </w:tcPr>
          <w:p>
            <w:pPr>
              <w:spacing w:after="0" w:line="195" w:lineRule="exact"/>
              <w:rPr>
                <w:sz w:val="20"/>
                <w:szCs w:val="20"/>
                <w:color w:val="auto"/>
              </w:rPr>
            </w:pPr>
            <w:r>
              <w:rPr>
                <w:rFonts w:ascii="Arial" w:cs="Arial" w:eastAsia="Arial" w:hAnsi="Arial"/>
                <w:sz w:val="18"/>
                <w:szCs w:val="18"/>
                <w:color w:val="BD03F7"/>
                <w:w w:val="98"/>
              </w:rPr>
              <w:t>mplungy@micron.com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203-2910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AND FULL YEAR OF FISCAL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fiscal Q4 and full-year revenue driven by AI data center growth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Forecasting $1.2 billion in sequential revenue growth with gross margins exceeding 50%</w:t>
      </w:r>
    </w:p>
    <w:p>
      <w:pPr>
        <w:spacing w:after="0" w:line="22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September 23, 2025 – Micron Technology, Inc. (Nasdaq: MU) today announced results for its fourth quarter and full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2025, which ended August 28, 2025.</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Q4 2025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$11.32 billion versus $9.30 billion for the prior quarter and $7.75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$3.20 billion, or $2.83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$3.47 billion, or $3.03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$5.73 billion versus $4.61 billion for the prior quarter and $3.41 billion for the same period last year</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Fiscal 2025 highlights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$37.38 billion versus $25.11 billion for the prior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$8.54 billion, or $7.59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$9.47 billion, or $8.29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$17.53 billion versus $8.51 billion for the prior year</w:t>
      </w:r>
    </w:p>
    <w:p>
      <w:pPr>
        <w:spacing w:after="0" w:line="22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“Micron closed out a record-breaking fiscal year with exceptional Q4 performance, underscoring our leadership in technology, products, and operational execution,” said Sanjay Mehrotra, Chairman, President and CEO of Micron Technology. “In fiscal 2025, we achieved all-time highs across our data center business and are entering fiscal 2026 with strong momentum and our most competitive portfolio to date. As the only U.S.-based memory manufacturer, Micron is uniquely positioned to capitalize on the AI opportunity ahead.”</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4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GAAP</w:t>
            </w:r>
            <w:r>
              <w:rPr>
                <w:rFonts w:ascii="Arial" w:cs="Arial" w:eastAsia="Arial" w:hAnsi="Arial"/>
                <w:sz w:val="23"/>
                <w:szCs w:val="23"/>
                <w:b w:val="1"/>
                <w:bCs w:val="1"/>
                <w:color w:val="auto"/>
                <w:w w:val="98"/>
                <w:vertAlign w:val="superscript"/>
              </w:rPr>
              <w:t>(1)</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8"/>
              </w:rPr>
              <w:t>Non-GAAP</w:t>
            </w:r>
            <w:r>
              <w:rPr>
                <w:rFonts w:ascii="Arial" w:cs="Arial" w:eastAsia="Arial" w:hAnsi="Arial"/>
                <w:sz w:val="23"/>
                <w:szCs w:val="23"/>
                <w:b w:val="1"/>
                <w:bCs w:val="1"/>
                <w:color w:val="auto"/>
                <w:w w:val="98"/>
                <w:vertAlign w:val="superscript"/>
              </w:rPr>
              <w:t>(2)</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FQ4-25</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FQ3-25</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FQ4-24</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FQ4-25</w:t>
            </w:r>
          </w:p>
        </w:tc>
        <w:tc>
          <w:tcPr>
            <w:tcW w:w="2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FQ3-25</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FQ4-24</w:t>
            </w:r>
          </w:p>
        </w:tc>
      </w:tr>
      <w:tr>
        <w:trPr>
          <w:trHeight w:val="34"/>
        </w:trPr>
        <w:tc>
          <w:tcPr>
            <w:tcW w:w="4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29"/>
        </w:trPr>
        <w:tc>
          <w:tcPr>
            <w:tcW w:w="4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11,315</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9,301</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11,315</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9,301</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7,750</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5,054</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3,508</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5,169</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3,623</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2,826</w:t>
            </w:r>
          </w:p>
        </w:tc>
      </w:tr>
      <w:tr>
        <w:trPr>
          <w:trHeight w:val="230"/>
        </w:trPr>
        <w:tc>
          <w:tcPr>
            <w:tcW w:w="424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44.7 %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37.7 %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35.3 %</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45.7 %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39.0 %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36.5 %</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1,339</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1,133</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1,081</w:t>
            </w:r>
          </w:p>
        </w:tc>
      </w:tr>
      <w:tr>
        <w:trPr>
          <w:trHeight w:val="229"/>
        </w:trPr>
        <w:tc>
          <w:tcPr>
            <w:tcW w:w="4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3,654</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2,169</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3,955</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2,490</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1,745</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32.3 %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23.3 %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19.6 %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35.0 %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26.8 %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22.5 %</w:t>
            </w:r>
          </w:p>
        </w:tc>
      </w:tr>
      <w:tr>
        <w:trPr>
          <w:trHeight w:val="230"/>
        </w:trPr>
        <w:tc>
          <w:tcPr>
            <w:tcW w:w="424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3,201</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1,885</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DDDDDD"/>
          </w:tcPr>
          <w:p>
            <w:pPr>
              <w:spacing w:after="0"/>
              <w:rPr>
                <w:sz w:val="19"/>
                <w:szCs w:val="19"/>
                <w:color w:val="auto"/>
              </w:rPr>
            </w:pPr>
          </w:p>
        </w:tc>
        <w:tc>
          <w:tcPr>
            <w:tcW w:w="11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3,469</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2,181</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1,342</w:t>
            </w:r>
          </w:p>
        </w:tc>
      </w:tr>
      <w:tr>
        <w:trPr>
          <w:trHeight w:val="239"/>
        </w:trPr>
        <w:tc>
          <w:tcPr>
            <w:tcW w:w="42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Annual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00" w:type="dxa"/>
            <w:vAlign w:val="bottom"/>
          </w:tcPr>
          <w:p>
            <w:pPr>
              <w:spacing w:after="0"/>
              <w:rPr>
                <w:sz w:val="22"/>
                <w:szCs w:val="2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r>
      <w:tr>
        <w:trPr>
          <w:trHeight w:val="250"/>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FY-25</w:t>
            </w:r>
          </w:p>
        </w:tc>
        <w:tc>
          <w:tcPr>
            <w:tcW w:w="3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FY-24</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FY-25</w:t>
            </w:r>
          </w:p>
        </w:tc>
        <w:tc>
          <w:tcPr>
            <w:tcW w:w="22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FY-24</w:t>
            </w:r>
          </w:p>
        </w:tc>
      </w:tr>
      <w:tr>
        <w:trPr>
          <w:trHeight w:val="34"/>
        </w:trPr>
        <w:tc>
          <w:tcPr>
            <w:tcW w:w="640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29"/>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37,378</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25,111</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37,378</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25,111</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14,873</w:t>
            </w:r>
          </w:p>
        </w:tc>
        <w:tc>
          <w:tcPr>
            <w:tcW w:w="3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15,286</w:t>
            </w:r>
          </w:p>
        </w:tc>
        <w:tc>
          <w:tcPr>
            <w:tcW w:w="22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5,943</w:t>
            </w:r>
          </w:p>
        </w:tc>
      </w:tr>
      <w:tr>
        <w:trPr>
          <w:trHeight w:val="229"/>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39.8 %</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22.4 %</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40.9 %</w:t>
            </w: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23.7 %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5,103</w:t>
            </w:r>
          </w:p>
        </w:tc>
        <w:tc>
          <w:tcPr>
            <w:tcW w:w="3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4,309</w:t>
            </w:r>
          </w:p>
        </w:tc>
        <w:tc>
          <w:tcPr>
            <w:tcW w:w="10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4,440</w:t>
            </w:r>
          </w:p>
        </w:tc>
        <w:tc>
          <w:tcPr>
            <w:tcW w:w="22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4,008</w:t>
            </w:r>
          </w:p>
        </w:tc>
      </w:tr>
      <w:tr>
        <w:trPr>
          <w:trHeight w:val="230"/>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9,770</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10,846</w:t>
            </w: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1,935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26.1 %</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5.2 %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29.0 %</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7.7 %</w:t>
            </w:r>
          </w:p>
        </w:tc>
      </w:tr>
      <w:tr>
        <w:trPr>
          <w:trHeight w:val="230"/>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8,539</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DDDDDD"/>
          </w:tcPr>
          <w:p>
            <w:pPr>
              <w:spacing w:after="0"/>
              <w:rPr>
                <w:sz w:val="19"/>
                <w:szCs w:val="19"/>
                <w:color w:val="auto"/>
              </w:rPr>
            </w:pP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9,470</w:t>
            </w: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1,472</w:t>
            </w:r>
          </w:p>
        </w:tc>
      </w:tr>
      <w:tr>
        <w:trPr>
          <w:trHeight w:val="239"/>
        </w:trPr>
        <w:tc>
          <w:tcPr>
            <w:tcW w:w="64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7.59</w:t>
            </w:r>
          </w:p>
        </w:tc>
        <w:tc>
          <w:tcPr>
            <w:tcW w:w="3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1.30</w:t>
            </w:r>
          </w:p>
        </w:tc>
      </w:tr>
    </w:tbl>
    <w:p>
      <w:pPr>
        <w:spacing w:after="0" w:line="307" w:lineRule="exact"/>
        <w:rPr>
          <w:sz w:val="20"/>
          <w:szCs w:val="20"/>
          <w:color w:val="auto"/>
        </w:rPr>
      </w:pPr>
    </w:p>
    <w:p>
      <w:pPr>
        <w:ind w:right="360"/>
        <w:spacing w:after="0" w:line="230"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$4.93 billion for the fourth quarter of 2025 and $13.80 billion for the full year of 2025. Adjusted free cash flow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$803 million for the fourth quarter of 2025 and $3.72 billion for the full year of 2025. Micron ended the year with cash, marketable investments, and restricted cash of $11.94 billion. On September 23, 2025, Micron’s Board of Directors declared a quarterly dividend of $0.115 per share, payable in cash on October 21, 2025, to shareholders of record as of the close of business on October 3, 2025.</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Business Unit Financial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FQ4-25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FQ3-25</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FQ4-24</w:t>
            </w:r>
          </w:p>
        </w:tc>
      </w:tr>
      <w:tr>
        <w:trPr>
          <w:trHeight w:val="34"/>
        </w:trPr>
        <w:tc>
          <w:tcPr>
            <w:tcW w:w="5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562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Cloud Memory Business Unit</w:t>
            </w:r>
          </w:p>
        </w:tc>
        <w:tc>
          <w:tcPr>
            <w:tcW w:w="222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4,543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1,449</w:t>
            </w:r>
          </w:p>
        </w:tc>
      </w:tr>
      <w:tr>
        <w:trPr>
          <w:trHeight w:val="230"/>
        </w:trPr>
        <w:tc>
          <w:tcPr>
            <w:tcW w:w="5620" w:type="dxa"/>
            <w:vAlign w:val="bottom"/>
            <w:shd w:val="clear" w:color="auto" w:fill="DDDDDD"/>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0"/>
        </w:trPr>
        <w:tc>
          <w:tcPr>
            <w:tcW w:w="5620" w:type="dxa"/>
            <w:vAlign w:val="bottom"/>
            <w:shd w:val="clear" w:color="auto" w:fill="DDDDDD"/>
          </w:tcPr>
          <w:p>
            <w:pPr>
              <w:spacing w:after="0"/>
              <w:rPr>
                <w:sz w:val="23"/>
                <w:szCs w:val="23"/>
                <w:color w:val="auto"/>
              </w:rPr>
            </w:pPr>
          </w:p>
        </w:tc>
        <w:tc>
          <w:tcPr>
            <w:tcW w:w="222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Core Data Center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20" w:type="dxa"/>
            <w:vAlign w:val="bottom"/>
            <w:shd w:val="clear" w:color="auto" w:fill="DDDDDD"/>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1,530</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2,048</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5620" w:type="dxa"/>
            <w:vAlign w:val="bottom"/>
            <w:shd w:val="clear" w:color="auto" w:fill="DDDDDD"/>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25 %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27 %</w:t>
            </w:r>
          </w:p>
        </w:tc>
      </w:tr>
      <w:tr>
        <w:trPr>
          <w:trHeight w:val="270"/>
        </w:trPr>
        <w:tc>
          <w:tcPr>
            <w:tcW w:w="56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62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Mobile and Client Business Unit</w:t>
            </w:r>
          </w:p>
        </w:tc>
        <w:tc>
          <w:tcPr>
            <w:tcW w:w="222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3,760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3,255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3,019</w:t>
            </w:r>
          </w:p>
        </w:tc>
      </w:tr>
      <w:tr>
        <w:trPr>
          <w:trHeight w:val="230"/>
        </w:trPr>
        <w:tc>
          <w:tcPr>
            <w:tcW w:w="5620" w:type="dxa"/>
            <w:vAlign w:val="bottom"/>
            <w:shd w:val="clear" w:color="auto" w:fill="DDDDDD"/>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0"/>
        </w:trPr>
        <w:tc>
          <w:tcPr>
            <w:tcW w:w="5620" w:type="dxa"/>
            <w:vAlign w:val="bottom"/>
            <w:shd w:val="clear" w:color="auto" w:fill="DDDDDD"/>
          </w:tcPr>
          <w:p>
            <w:pPr>
              <w:spacing w:after="0"/>
              <w:rPr>
                <w:sz w:val="23"/>
                <w:szCs w:val="23"/>
                <w:color w:val="auto"/>
              </w:rPr>
            </w:pPr>
          </w:p>
        </w:tc>
        <w:tc>
          <w:tcPr>
            <w:tcW w:w="222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000" w:type="dxa"/>
            <w:vAlign w:val="bottom"/>
            <w:shd w:val="clear" w:color="auto" w:fill="DDDDDD"/>
          </w:tcPr>
          <w:p>
            <w:pPr>
              <w:spacing w:after="0"/>
              <w:rPr>
                <w:sz w:val="23"/>
                <w:szCs w:val="23"/>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Automotive and Embedded Business Unit</w:t>
            </w:r>
          </w:p>
        </w:tc>
        <w:tc>
          <w:tcPr>
            <w:tcW w:w="2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20" w:type="dxa"/>
            <w:vAlign w:val="bottom"/>
            <w:shd w:val="clear" w:color="auto" w:fill="DDDDDD"/>
          </w:tcPr>
          <w:p>
            <w:pPr>
              <w:ind w:left="180"/>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1,230</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620" w:type="dxa"/>
            <w:vAlign w:val="bottom"/>
            <w:shd w:val="clear" w:color="auto" w:fill="DDDDDD"/>
          </w:tcPr>
          <w:p>
            <w:pPr>
              <w:ind w:left="180"/>
              <w:spacing w:after="0"/>
              <w:rPr>
                <w:sz w:val="20"/>
                <w:szCs w:val="20"/>
                <w:color w:val="auto"/>
              </w:rPr>
            </w:pPr>
            <w:r>
              <w:rPr>
                <w:rFonts w:ascii="Arial" w:cs="Arial" w:eastAsia="Arial" w:hAnsi="Arial"/>
                <w:sz w:val="18"/>
                <w:szCs w:val="18"/>
                <w:color w:val="auto"/>
              </w:rPr>
              <w:t>Operating margin</w:t>
            </w:r>
          </w:p>
        </w:tc>
        <w:tc>
          <w:tcPr>
            <w:tcW w:w="222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628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2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451"/>
        </w:trPr>
        <w:tc>
          <w:tcPr>
            <w:tcW w:w="628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first quarter of 2026:</w:t>
            </w:r>
          </w:p>
        </w:tc>
        <w:tc>
          <w:tcPr>
            <w:tcW w:w="26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5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FQ1-26</w:t>
            </w:r>
          </w:p>
        </w:tc>
        <w:tc>
          <w:tcPr>
            <w:tcW w:w="2620" w:type="dxa"/>
            <w:vAlign w:val="bottom"/>
            <w:tcBorders>
              <w:bottom w:val="single" w:sz="8" w:color="auto"/>
            </w:tcBorders>
          </w:tcPr>
          <w:p>
            <w:pPr>
              <w:jc w:val="right"/>
              <w:ind w:right="49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340" w:type="dxa"/>
            <w:vAlign w:val="bottom"/>
            <w:tcBorders>
              <w:bottom w:val="single" w:sz="8" w:color="auto"/>
            </w:tcBorders>
          </w:tcPr>
          <w:p>
            <w:pPr>
              <w:jc w:val="right"/>
              <w:ind w:right="21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0"/>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$12.50 billion ± $300 million</w:t>
            </w:r>
          </w:p>
        </w:tc>
        <w:tc>
          <w:tcPr>
            <w:tcW w:w="2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$12.50 billion ± $300 million</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50.5% ± 1.0%</w:t>
            </w:r>
          </w:p>
        </w:tc>
        <w:tc>
          <w:tcPr>
            <w:tcW w:w="2340" w:type="dxa"/>
            <w:vAlign w:val="bottom"/>
          </w:tcPr>
          <w:p>
            <w:pPr>
              <w:jc w:val="right"/>
              <w:spacing w:after="0"/>
              <w:rPr>
                <w:sz w:val="20"/>
                <w:szCs w:val="20"/>
                <w:color w:val="auto"/>
              </w:rPr>
            </w:pPr>
            <w:r>
              <w:rPr>
                <w:rFonts w:ascii="Arial" w:cs="Arial" w:eastAsia="Arial" w:hAnsi="Arial"/>
                <w:sz w:val="18"/>
                <w:szCs w:val="18"/>
                <w:color w:val="auto"/>
              </w:rPr>
              <w:t>51.5% ± 1.0%</w:t>
            </w:r>
          </w:p>
        </w:tc>
      </w:tr>
      <w:tr>
        <w:trPr>
          <w:trHeight w:val="229"/>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$1.49 billion ± $20 million</w:t>
            </w:r>
          </w:p>
        </w:tc>
        <w:tc>
          <w:tcPr>
            <w:tcW w:w="2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$1.34 billion ± $20 million</w:t>
            </w: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$3.56 ± $0.15</w:t>
            </w:r>
          </w:p>
        </w:tc>
        <w:tc>
          <w:tcPr>
            <w:tcW w:w="2340" w:type="dxa"/>
            <w:vAlign w:val="bottom"/>
          </w:tcPr>
          <w:p>
            <w:pPr>
              <w:jc w:val="right"/>
              <w:spacing w:after="0"/>
              <w:rPr>
                <w:sz w:val="20"/>
                <w:szCs w:val="20"/>
                <w:color w:val="auto"/>
              </w:rPr>
            </w:pPr>
            <w:r>
              <w:rPr>
                <w:rFonts w:ascii="Arial" w:cs="Arial" w:eastAsia="Arial" w:hAnsi="Arial"/>
                <w:sz w:val="18"/>
                <w:szCs w:val="18"/>
                <w:color w:val="auto"/>
              </w:rPr>
              <w:t>$3.75 ± $0.15</w:t>
            </w:r>
          </w:p>
        </w:tc>
      </w:tr>
    </w:tbl>
    <w:p>
      <w:pPr>
        <w:spacing w:after="0" w:line="3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Micron will host a conference call on Tuesday, September 23, 2025 at 2:30 p.m. Mountain Time to discuss its fourth quarter financial results and provide forward-looking guidance for its first quarter. A live webcast of the call will be available online at </w:t>
      </w:r>
      <w:r>
        <w:rPr>
          <w:rFonts w:ascii="Arial" w:cs="Arial" w:eastAsia="Arial" w:hAnsi="Arial"/>
          <w:sz w:val="18"/>
          <w:szCs w:val="18"/>
          <w:u w:val="single" w:color="auto"/>
          <w:color w:val="BD03F7"/>
        </w:rPr>
        <w:t>investors.micron.com</w:t>
      </w:r>
      <w:r>
        <w:rPr>
          <w:rFonts w:ascii="Arial" w:cs="Arial" w:eastAsia="Arial" w:hAnsi="Arial"/>
          <w:sz w:val="18"/>
          <w:szCs w:val="18"/>
          <w:color w:val="auto"/>
        </w:rPr>
        <w:t>. A webcast replay will be available for one year after the call.</w:t>
      </w:r>
    </w:p>
    <w:p>
      <w:pPr>
        <w:spacing w:after="0" w:line="184"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We encourage you to visit our website at micron.com throughout the quarter for the most current information on the company, including information on financial conferences that we may be attending. You can also follow us on LinkedIn, X (@MicronTech) and YouTube (@MicronTechnology).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85"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2025 Micron Technology, Inc. All rights reserved. Micron, the Micron logo, and all other Micron trademarks are the property of Micron Technology, Inc.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and our financial and operating results, including our guidance for the first quarter and full year fiscal 2026.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000000"/>
        </w:rPr>
        <w:t>. Although we believe that the expectations reflected in the forward-looking statements are reasonable, we</w:t>
      </w:r>
      <w:r>
        <w:rPr>
          <w:rFonts w:ascii="Arial" w:cs="Arial" w:eastAsia="Arial" w:hAnsi="Arial"/>
          <w:sz w:val="18"/>
          <w:szCs w:val="18"/>
          <w:color w:val="BD03F7"/>
        </w:rPr>
        <w:t xml:space="preserve"> </w:t>
      </w:r>
      <w:r>
        <w:rPr>
          <w:rFonts w:ascii="Arial" w:cs="Arial" w:eastAsia="Arial" w:hAnsi="Arial"/>
          <w:sz w:val="18"/>
          <w:szCs w:val="18"/>
          <w:color w:val="000000"/>
        </w:rPr>
        <w:t>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2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5"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investments in capital expenditures, net;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9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4th Qtr.</w:t>
            </w: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180" w:type="dxa"/>
            <w:vAlign w:val="bottom"/>
          </w:tcPr>
          <w:p>
            <w:pPr>
              <w:spacing w:after="0"/>
              <w:rPr>
                <w:sz w:val="19"/>
                <w:szCs w:val="19"/>
                <w:color w:val="auto"/>
              </w:rPr>
            </w:pPr>
          </w:p>
        </w:tc>
        <w:tc>
          <w:tcPr>
            <w:tcW w:w="25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181"/>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August 28,</w:t>
            </w:r>
          </w:p>
        </w:tc>
        <w:tc>
          <w:tcPr>
            <w:tcW w:w="220" w:type="dxa"/>
            <w:vAlign w:val="bottom"/>
          </w:tcPr>
          <w:p>
            <w:pPr>
              <w:spacing w:after="0"/>
              <w:rPr>
                <w:sz w:val="15"/>
                <w:szCs w:val="15"/>
                <w:color w:val="auto"/>
              </w:rPr>
            </w:pPr>
          </w:p>
        </w:tc>
        <w:tc>
          <w:tcPr>
            <w:tcW w:w="110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8"/>
              </w:rPr>
              <w:t>May 29,</w:t>
            </w:r>
          </w:p>
        </w:tc>
        <w:tc>
          <w:tcPr>
            <w:tcW w:w="160" w:type="dxa"/>
            <w:vAlign w:val="bottom"/>
          </w:tcPr>
          <w:p>
            <w:pPr>
              <w:spacing w:after="0"/>
              <w:rPr>
                <w:sz w:val="15"/>
                <w:szCs w:val="15"/>
                <w:color w:val="auto"/>
              </w:rPr>
            </w:pPr>
          </w:p>
        </w:tc>
        <w:tc>
          <w:tcPr>
            <w:tcW w:w="11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August 29,</w:t>
            </w:r>
          </w:p>
        </w:tc>
        <w:tc>
          <w:tcPr>
            <w:tcW w:w="180" w:type="dxa"/>
            <w:vAlign w:val="bottom"/>
          </w:tcPr>
          <w:p>
            <w:pPr>
              <w:spacing w:after="0"/>
              <w:rPr>
                <w:sz w:val="15"/>
                <w:szCs w:val="15"/>
                <w:color w:val="auto"/>
              </w:rPr>
            </w:pPr>
          </w:p>
        </w:tc>
        <w:tc>
          <w:tcPr>
            <w:tcW w:w="11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28,</w:t>
            </w:r>
          </w:p>
        </w:tc>
        <w:tc>
          <w:tcPr>
            <w:tcW w:w="160" w:type="dxa"/>
            <w:vAlign w:val="bottom"/>
          </w:tcPr>
          <w:p>
            <w:pPr>
              <w:spacing w:after="0"/>
              <w:rPr>
                <w:sz w:val="15"/>
                <w:szCs w:val="15"/>
                <w:color w:val="auto"/>
              </w:rPr>
            </w:pPr>
          </w:p>
        </w:tc>
        <w:tc>
          <w:tcPr>
            <w:tcW w:w="118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29,</w:t>
            </w:r>
          </w:p>
        </w:tc>
      </w:tr>
      <w:tr>
        <w:trPr>
          <w:trHeight w:val="243"/>
        </w:trPr>
        <w:tc>
          <w:tcPr>
            <w:tcW w:w="46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2024</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34"/>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11,315</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9,301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37,378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25,111</w:t>
            </w:r>
          </w:p>
        </w:tc>
      </w:tr>
      <w:tr>
        <w:trPr>
          <w:trHeight w:val="229"/>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r>
      <w:tr>
        <w:trPr>
          <w:trHeight w:val="223"/>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5,054</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2,737</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14,873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5,613</w:t>
            </w:r>
          </w:p>
        </w:tc>
      </w:tr>
      <w:tr>
        <w:trPr>
          <w:trHeight w:val="257"/>
        </w:trPr>
        <w:tc>
          <w:tcPr>
            <w:tcW w:w="4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3,430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3,654</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2,169</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9,770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1,304</w:t>
            </w:r>
          </w:p>
        </w:tc>
      </w:tr>
      <w:tr>
        <w:trPr>
          <w:trHeight w:val="256"/>
        </w:trPr>
        <w:tc>
          <w:tcPr>
            <w:tcW w:w="4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529</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9,654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57"/>
        </w:trPr>
        <w:tc>
          <w:tcPr>
            <w:tcW w:w="46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4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6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0"/>
        </w:trPr>
        <w:tc>
          <w:tcPr>
            <w:tcW w:w="46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7"/>
        </w:trPr>
        <w:tc>
          <w:tcPr>
            <w:tcW w:w="46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1,105</w:t>
            </w:r>
          </w:p>
        </w:tc>
      </w:tr>
      <w:tr>
        <w:trPr>
          <w:trHeight w:val="239"/>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28,</w:t>
            </w:r>
          </w:p>
        </w:tc>
        <w:tc>
          <w:tcPr>
            <w:tcW w:w="24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29,</w:t>
            </w:r>
          </w:p>
        </w:tc>
        <w:tc>
          <w:tcPr>
            <w:tcW w:w="160" w:type="dxa"/>
            <w:vAlign w:val="bottom"/>
          </w:tcPr>
          <w:p>
            <w:pPr>
              <w:spacing w:after="0"/>
              <w:rPr>
                <w:sz w:val="17"/>
                <w:szCs w:val="17"/>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9,642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8,355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28,841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27,919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46,590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44,773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78,397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9,649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8,761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10,135</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14,017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1,443</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13,339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48,583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45,559</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50,748</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5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82,798</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78,397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28,</w:t>
            </w:r>
          </w:p>
        </w:tc>
        <w:tc>
          <w:tcPr>
            <w:tcW w:w="1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8,352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836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(15,857)</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1,698</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(4,619)</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4,430</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used for financing activities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2,594</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9,646</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22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160" w:type="dxa"/>
            <w:vAlign w:val="bottom"/>
          </w:tcPr>
          <w:p>
            <w:pPr>
              <w:spacing w:after="0"/>
              <w:rPr>
                <w:sz w:val="19"/>
                <w:szCs w:val="19"/>
                <w:color w:val="auto"/>
              </w:rPr>
            </w:pPr>
          </w:p>
        </w:tc>
        <w:tc>
          <w:tcPr>
            <w:tcW w:w="24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28,</w:t>
            </w:r>
          </w:p>
        </w:tc>
        <w:tc>
          <w:tcPr>
            <w:tcW w:w="220" w:type="dxa"/>
            <w:vAlign w:val="bottom"/>
          </w:tcPr>
          <w:p>
            <w:pPr>
              <w:spacing w:after="0"/>
              <w:rPr>
                <w:sz w:val="15"/>
                <w:szCs w:val="15"/>
                <w:color w:val="auto"/>
              </w:rPr>
            </w:pPr>
          </w:p>
        </w:tc>
        <w:tc>
          <w:tcPr>
            <w:tcW w:w="108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May 29,</w:t>
            </w:r>
          </w:p>
        </w:tc>
        <w:tc>
          <w:tcPr>
            <w:tcW w:w="160" w:type="dxa"/>
            <w:vAlign w:val="bottom"/>
          </w:tcPr>
          <w:p>
            <w:pPr>
              <w:spacing w:after="0"/>
              <w:rPr>
                <w:sz w:val="15"/>
                <w:szCs w:val="15"/>
                <w:color w:val="auto"/>
              </w:rPr>
            </w:pPr>
          </w:p>
        </w:tc>
        <w:tc>
          <w:tcPr>
            <w:tcW w:w="11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August 29,</w:t>
            </w:r>
          </w:p>
        </w:tc>
        <w:tc>
          <w:tcPr>
            <w:tcW w:w="160" w:type="dxa"/>
            <w:vAlign w:val="bottom"/>
          </w:tcPr>
          <w:p>
            <w:pPr>
              <w:spacing w:after="0"/>
              <w:rPr>
                <w:sz w:val="15"/>
                <w:szCs w:val="15"/>
                <w:color w:val="auto"/>
              </w:rPr>
            </w:pPr>
          </w:p>
        </w:tc>
        <w:tc>
          <w:tcPr>
            <w:tcW w:w="1140" w:type="dxa"/>
            <w:vAlign w:val="bottom"/>
          </w:tcPr>
          <w:p>
            <w:pPr>
              <w:jc w:val="right"/>
              <w:ind w:right="90"/>
              <w:spacing w:after="0" w:line="181" w:lineRule="exact"/>
              <w:rPr>
                <w:sz w:val="20"/>
                <w:szCs w:val="20"/>
                <w:color w:val="auto"/>
              </w:rPr>
            </w:pPr>
            <w:r>
              <w:rPr>
                <w:rFonts w:ascii="Arial" w:cs="Arial" w:eastAsia="Arial" w:hAnsi="Arial"/>
                <w:sz w:val="18"/>
                <w:szCs w:val="18"/>
                <w:b w:val="1"/>
                <w:bCs w:val="1"/>
                <w:color w:val="auto"/>
              </w:rPr>
              <w:t>August 28,</w:t>
            </w:r>
          </w:p>
        </w:tc>
        <w:tc>
          <w:tcPr>
            <w:tcW w:w="160" w:type="dxa"/>
            <w:vAlign w:val="bottom"/>
          </w:tcPr>
          <w:p>
            <w:pPr>
              <w:spacing w:after="0"/>
              <w:rPr>
                <w:sz w:val="15"/>
                <w:szCs w:val="15"/>
                <w:color w:val="auto"/>
              </w:rPr>
            </w:pPr>
          </w:p>
        </w:tc>
        <w:tc>
          <w:tcPr>
            <w:tcW w:w="11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5,054</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3,508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2,737</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14,873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5,103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Patent cross-license agreement gain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9,770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Patent cross-license agreement gain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8,539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Loss on debt prepayments</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cross-license agreement gain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GAAP weighted-average common shares outstanding</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1,131</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 Diluted</w:t>
            </w: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55"/>
        </w:trPr>
        <w:tc>
          <w:tcPr>
            <w:tcW w:w="47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Non-GAAP weighted-average common shares</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outstanding - Diluted</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10" w:name="page11"/>
    <w:bookmarkEnd w:id="1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8720" w:type="dxa"/>
            <w:vAlign w:val="bottom"/>
            <w:gridSpan w:val="8"/>
          </w:tcPr>
          <w:p>
            <w:pPr>
              <w:ind w:left="286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82"/>
        </w:trPr>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22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180" w:type="dxa"/>
            <w:vAlign w:val="bottom"/>
          </w:tcPr>
          <w:p>
            <w:pPr>
              <w:spacing w:after="0"/>
              <w:rPr>
                <w:sz w:val="24"/>
                <w:szCs w:val="24"/>
                <w:color w:val="auto"/>
              </w:rPr>
            </w:pPr>
          </w:p>
        </w:tc>
        <w:tc>
          <w:tcPr>
            <w:tcW w:w="24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r>
      <w:tr>
        <w:trPr>
          <w:trHeight w:val="181"/>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August 28,</w:t>
            </w:r>
          </w:p>
        </w:tc>
        <w:tc>
          <w:tcPr>
            <w:tcW w:w="220" w:type="dxa"/>
            <w:vAlign w:val="bottom"/>
          </w:tcPr>
          <w:p>
            <w:pPr>
              <w:spacing w:after="0"/>
              <w:rPr>
                <w:sz w:val="15"/>
                <w:szCs w:val="15"/>
                <w:color w:val="auto"/>
              </w:rPr>
            </w:pPr>
          </w:p>
        </w:tc>
        <w:tc>
          <w:tcPr>
            <w:tcW w:w="10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rPr>
              <w:t>May 29,</w:t>
            </w: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29,</w:t>
            </w:r>
          </w:p>
        </w:tc>
        <w:tc>
          <w:tcPr>
            <w:tcW w:w="180" w:type="dxa"/>
            <w:vAlign w:val="bottom"/>
          </w:tcPr>
          <w:p>
            <w:pPr>
              <w:spacing w:after="0"/>
              <w:rPr>
                <w:sz w:val="15"/>
                <w:szCs w:val="15"/>
                <w:color w:val="auto"/>
              </w:rPr>
            </w:pPr>
          </w:p>
        </w:tc>
        <w:tc>
          <w:tcPr>
            <w:tcW w:w="114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w w:val="99"/>
              </w:rPr>
              <w:t>August 28,</w:t>
            </w:r>
          </w:p>
        </w:tc>
        <w:tc>
          <w:tcPr>
            <w:tcW w:w="160" w:type="dxa"/>
            <w:vAlign w:val="bottom"/>
          </w:tcPr>
          <w:p>
            <w:pPr>
              <w:spacing w:after="0"/>
              <w:rPr>
                <w:sz w:val="15"/>
                <w:szCs w:val="15"/>
                <w:color w:val="auto"/>
              </w:rPr>
            </w:pPr>
          </w:p>
        </w:tc>
        <w:tc>
          <w:tcPr>
            <w:tcW w:w="11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rPr>
              <w:t>August 29,</w:t>
            </w:r>
          </w:p>
        </w:tc>
      </w:tr>
      <w:tr>
        <w:trPr>
          <w:trHeight w:val="243"/>
        </w:trPr>
        <w:tc>
          <w:tcPr>
            <w:tcW w:w="46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34"/>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6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5,730</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4,609</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3,405</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17,525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8,507</w:t>
            </w:r>
          </w:p>
        </w:tc>
      </w:tr>
      <w:tr>
        <w:trPr>
          <w:trHeight w:val="256"/>
        </w:trPr>
        <w:tc>
          <w:tcPr>
            <w:tcW w:w="4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6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(5,658)</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(2,938)</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(3,120)</w:t>
            </w:r>
          </w:p>
        </w:tc>
        <w:tc>
          <w:tcPr>
            <w:tcW w:w="1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(15,857)</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(8,386)</w:t>
            </w:r>
          </w:p>
        </w:tc>
      </w:tr>
      <w:tr>
        <w:trPr>
          <w:trHeight w:val="229"/>
        </w:trPr>
        <w:tc>
          <w:tcPr>
            <w:tcW w:w="4640" w:type="dxa"/>
            <w:vAlign w:val="bottom"/>
          </w:tcPr>
          <w:p>
            <w:pPr>
              <w:ind w:left="180"/>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46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464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Proceeds from government incentives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4640" w:type="dxa"/>
            <w:vAlign w:val="bottom"/>
            <w:shd w:val="clear" w:color="auto" w:fill="DBDBDB"/>
          </w:tcPr>
          <w:p>
            <w:pPr>
              <w:ind w:left="180"/>
              <w:spacing w:after="0"/>
              <w:rPr>
                <w:sz w:val="20"/>
                <w:szCs w:val="20"/>
                <w:color w:val="auto"/>
              </w:rPr>
            </w:pPr>
            <w:r>
              <w:rPr>
                <w:rFonts w:ascii="Arial" w:cs="Arial" w:eastAsia="Arial" w:hAnsi="Arial"/>
                <w:sz w:val="18"/>
                <w:szCs w:val="18"/>
                <w:b w:val="1"/>
                <w:bCs w:val="1"/>
                <w:color w:val="auto"/>
              </w:rPr>
              <w:t>Investments in capital expenditures, net</w:t>
            </w: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(4,927)</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(2,660)</w:t>
            </w: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(3,082)</w:t>
            </w:r>
          </w:p>
        </w:tc>
        <w:tc>
          <w:tcPr>
            <w:tcW w:w="18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(13,804)</w:t>
            </w:r>
          </w:p>
        </w:tc>
        <w:tc>
          <w:tcPr>
            <w:tcW w:w="1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(8,121)</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1"/>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prepayments;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 and</w:t>
      </w:r>
    </w:p>
    <w:p>
      <w:pPr>
        <w:spacing w:after="0" w:line="9" w:lineRule="exact"/>
        <w:rPr>
          <w:rFonts w:ascii="Arial" w:cs="Arial" w:eastAsia="Arial" w:hAnsi="Arial"/>
          <w:sz w:val="18"/>
          <w:szCs w:val="18"/>
          <w:color w:val="auto"/>
        </w:rPr>
      </w:pPr>
    </w:p>
    <w:p>
      <w:pPr>
        <w:ind w:left="660" w:right="4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benefit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FQ1-26</w:t>
            </w:r>
          </w:p>
        </w:tc>
        <w:tc>
          <w:tcPr>
            <w:tcW w:w="3260" w:type="dxa"/>
            <w:vAlign w:val="bottom"/>
            <w:gridSpan w:val="2"/>
          </w:tcPr>
          <w:p>
            <w:pPr>
              <w:ind w:left="134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Adjustments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jc w:val="right"/>
              <w:ind w:right="27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20" w:type="dxa"/>
            <w:vAlign w:val="bottom"/>
          </w:tcPr>
          <w:p>
            <w:pPr>
              <w:spacing w:after="0"/>
              <w:rPr>
                <w:sz w:val="2"/>
                <w:szCs w:val="2"/>
                <w:color w:val="auto"/>
              </w:rPr>
            </w:pPr>
          </w:p>
        </w:tc>
        <w:tc>
          <w:tcPr>
            <w:tcW w:w="318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326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$12.50 billion ± $300 million</w:t>
            </w:r>
          </w:p>
        </w:tc>
        <w:tc>
          <w:tcPr>
            <w:tcW w:w="2380" w:type="dxa"/>
            <w:vAlign w:val="bottom"/>
            <w:gridSpan w:val="2"/>
            <w:shd w:val="clear" w:color="auto" w:fill="D1D2D4"/>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1D2D4"/>
          </w:tcPr>
          <w:p>
            <w:pPr>
              <w:spacing w:after="0"/>
              <w:rPr>
                <w:sz w:val="19"/>
                <w:szCs w:val="19"/>
                <w:color w:val="auto"/>
              </w:rPr>
            </w:pPr>
          </w:p>
        </w:tc>
        <w:tc>
          <w:tcPr>
            <w:tcW w:w="226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w w:val="99"/>
              </w:rPr>
              <w:t>$12.50 billion ± $300 million</w:t>
            </w: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margin</w:t>
            </w:r>
          </w:p>
        </w:tc>
        <w:tc>
          <w:tcPr>
            <w:tcW w:w="3160" w:type="dxa"/>
            <w:vAlign w:val="bottom"/>
          </w:tcPr>
          <w:p>
            <w:pPr>
              <w:jc w:val="right"/>
              <w:spacing w:after="0"/>
              <w:rPr>
                <w:sz w:val="20"/>
                <w:szCs w:val="20"/>
                <w:color w:val="auto"/>
              </w:rPr>
            </w:pPr>
            <w:r>
              <w:rPr>
                <w:rFonts w:ascii="Arial" w:cs="Arial" w:eastAsia="Arial" w:hAnsi="Arial"/>
                <w:sz w:val="18"/>
                <w:szCs w:val="18"/>
                <w:color w:val="auto"/>
              </w:rPr>
              <w:t>50.5% ± 1.0%</w:t>
            </w:r>
          </w:p>
        </w:tc>
        <w:tc>
          <w:tcPr>
            <w:tcW w:w="100" w:type="dxa"/>
            <w:vAlign w:val="bottom"/>
          </w:tcPr>
          <w:p>
            <w:pPr>
              <w:spacing w:after="0"/>
              <w:rPr>
                <w:sz w:val="19"/>
                <w:szCs w:val="19"/>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 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51.5% ± 1.0%</w:t>
            </w:r>
          </w:p>
        </w:tc>
      </w:tr>
      <w:tr>
        <w:trPr>
          <w:trHeight w:val="229"/>
        </w:trPr>
        <w:tc>
          <w:tcPr>
            <w:tcW w:w="20" w:type="dxa"/>
            <w:vAlign w:val="bottom"/>
          </w:tcPr>
          <w:p>
            <w:pPr>
              <w:spacing w:after="0"/>
              <w:rPr>
                <w:sz w:val="19"/>
                <w:szCs w:val="19"/>
                <w:color w:val="auto"/>
              </w:rPr>
            </w:pPr>
          </w:p>
        </w:tc>
        <w:tc>
          <w:tcPr>
            <w:tcW w:w="318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326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$1.49 billion ± $20 million</w:t>
            </w:r>
          </w:p>
        </w:tc>
        <w:tc>
          <w:tcPr>
            <w:tcW w:w="238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$148 million B</w:t>
            </w:r>
          </w:p>
        </w:tc>
        <w:tc>
          <w:tcPr>
            <w:tcW w:w="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 billion ± $20 million</w:t>
            </w:r>
          </w:p>
        </w:tc>
      </w:tr>
      <w:tr>
        <w:trPr>
          <w:trHeight w:val="311"/>
        </w:trPr>
        <w:tc>
          <w:tcPr>
            <w:tcW w:w="2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160" w:type="dxa"/>
            <w:vAlign w:val="bottom"/>
          </w:tcPr>
          <w:p>
            <w:pPr>
              <w:jc w:val="right"/>
              <w:spacing w:after="0"/>
              <w:rPr>
                <w:sz w:val="20"/>
                <w:szCs w:val="20"/>
                <w:color w:val="auto"/>
              </w:rPr>
            </w:pPr>
            <w:r>
              <w:rPr>
                <w:rFonts w:ascii="Arial" w:cs="Arial" w:eastAsia="Arial" w:hAnsi="Arial"/>
                <w:sz w:val="18"/>
                <w:szCs w:val="18"/>
                <w:color w:val="auto"/>
              </w:rPr>
              <w:t>$3.56 ± $0.15</w:t>
            </w:r>
          </w:p>
        </w:tc>
        <w:tc>
          <w:tcPr>
            <w:tcW w:w="10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$0.19 A, B, 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$3.75 ± $0.15</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40"/>
        </w:trPr>
        <w:tc>
          <w:tcPr>
            <w:tcW w:w="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3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r>
      <w:tr>
        <w:trPr>
          <w:trHeight w:val="37"/>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30"/>
        </w:trPr>
        <w:tc>
          <w:tcPr>
            <w:tcW w:w="20" w:type="dxa"/>
            <w:vAlign w:val="bottom"/>
            <w:shd w:val="clear" w:color="auto" w:fill="D1D2D4"/>
          </w:tcPr>
          <w:p>
            <w:pPr>
              <w:spacing w:after="0"/>
              <w:rPr>
                <w:sz w:val="19"/>
                <w:szCs w:val="19"/>
                <w:color w:val="auto"/>
              </w:rPr>
            </w:pPr>
          </w:p>
        </w:tc>
        <w:tc>
          <w:tcPr>
            <w:tcW w:w="644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22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gridSpan w:val="2"/>
            <w:shd w:val="clear" w:color="auto" w:fill="D1D2D4"/>
          </w:tcPr>
          <w:p>
            <w:pPr>
              <w:ind w:left="1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2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B  Stock-based compensation – research and development</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20" w:type="dxa"/>
            <w:vAlign w:val="bottom"/>
            <w:shd w:val="clear" w:color="auto" w:fill="D1D2D4"/>
          </w:tcPr>
          <w:p>
            <w:pPr>
              <w:spacing w:after="0"/>
              <w:rPr>
                <w:sz w:val="19"/>
                <w:szCs w:val="19"/>
                <w:color w:val="auto"/>
              </w:rPr>
            </w:pPr>
          </w:p>
        </w:tc>
        <w:tc>
          <w:tcPr>
            <w:tcW w:w="6440" w:type="dxa"/>
            <w:vAlign w:val="bottom"/>
            <w:gridSpan w:val="3"/>
            <w:shd w:val="clear" w:color="auto" w:fill="D1D2D4"/>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22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2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Borders>
              <w:bottom w:val="single" w:sz="8" w:color="D1D2D4"/>
            </w:tcBorders>
          </w:tcPr>
          <w:p>
            <w:pPr>
              <w:spacing w:after="0"/>
              <w:rPr>
                <w:sz w:val="19"/>
                <w:szCs w:val="19"/>
                <w:color w:val="auto"/>
              </w:rPr>
            </w:pPr>
          </w:p>
        </w:tc>
        <w:tc>
          <w:tcPr>
            <w:tcW w:w="6440" w:type="dxa"/>
            <w:vAlign w:val="bottom"/>
            <w:tcBorders>
              <w:bottom w:val="single" w:sz="8" w:color="D1D2D4"/>
            </w:tcBorders>
            <w:gridSpan w:val="3"/>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228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20" w:type="dxa"/>
            <w:vAlign w:val="bottom"/>
            <w:tcBorders>
              <w:bottom w:val="single" w:sz="8" w:color="D1D2D4"/>
            </w:tcBorders>
            <w:shd w:val="clear" w:color="auto" w:fill="D1D2D4"/>
          </w:tcPr>
          <w:p>
            <w:pPr>
              <w:spacing w:after="0"/>
              <w:rPr>
                <w:sz w:val="21"/>
                <w:szCs w:val="21"/>
                <w:color w:val="auto"/>
              </w:rPr>
            </w:pPr>
          </w:p>
        </w:tc>
        <w:tc>
          <w:tcPr>
            <w:tcW w:w="3180" w:type="dxa"/>
            <w:vAlign w:val="bottom"/>
            <w:tcBorders>
              <w:bottom w:val="single" w:sz="8" w:color="D1D2D4"/>
            </w:tcBorders>
            <w:shd w:val="clear" w:color="auto" w:fill="D1D2D4"/>
          </w:tcPr>
          <w:p>
            <w:pPr>
              <w:spacing w:after="0"/>
              <w:rPr>
                <w:sz w:val="21"/>
                <w:szCs w:val="21"/>
                <w:color w:val="auto"/>
              </w:rPr>
            </w:pPr>
          </w:p>
        </w:tc>
        <w:tc>
          <w:tcPr>
            <w:tcW w:w="316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228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0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20" w:type="dxa"/>
            <w:vAlign w:val="bottom"/>
            <w:tcBorders>
              <w:top w:val="single" w:sz="8" w:color="D1D2D4"/>
            </w:tcBorders>
          </w:tcPr>
          <w:p>
            <w:pPr>
              <w:spacing w:after="0" w:line="20" w:lineRule="exact"/>
              <w:rPr>
                <w:sz w:val="1"/>
                <w:szCs w:val="1"/>
                <w:color w:val="auto"/>
              </w:rPr>
            </w:pPr>
          </w:p>
        </w:tc>
        <w:tc>
          <w:tcPr>
            <w:tcW w:w="3180" w:type="dxa"/>
            <w:vAlign w:val="bottom"/>
            <w:tcBorders>
              <w:top w:val="single" w:sz="8" w:color="D1D2D4"/>
            </w:tcBorders>
          </w:tcPr>
          <w:p>
            <w:pPr>
              <w:spacing w:after="0" w:line="20" w:lineRule="exact"/>
              <w:rPr>
                <w:sz w:val="1"/>
                <w:szCs w:val="1"/>
                <w:color w:val="auto"/>
              </w:rPr>
            </w:pPr>
          </w:p>
        </w:tc>
        <w:tc>
          <w:tcPr>
            <w:tcW w:w="316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8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210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1.15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2025-09-23T15:12:20Z</dcterms:created>
  <dcterms:modified xsi:type="dcterms:W3CDTF">2025-09-23T15:12:20Z</dcterms:modified>
</cp:coreProperties>
</file>