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3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ind w:left="6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440" w:type="dxa"/>
            <w:vAlign w:val="bottom"/>
            <w:gridSpan w:val="12"/>
          </w:tcPr>
          <w:p>
            <w:pPr>
              <w:jc w:val="center"/>
              <w:ind w:right="8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  <w:vMerge w:val="restart"/>
          </w:tcPr>
          <w:p>
            <w:pPr>
              <w:jc w:val="center"/>
              <w:ind w:left="33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ind w:left="2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20" w:type="dxa"/>
            <w:vAlign w:val="bottom"/>
            <w:gridSpan w:val="6"/>
            <w:vMerge w:val="restart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2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9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Sadana Sumit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jc w:val="center"/>
              <w:ind w:right="420"/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4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09/01/2022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Chief Business Officer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-1767205</wp:posOffset>
            </wp:positionV>
            <wp:extent cx="6988810" cy="62598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8810" cy="6259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</w:sectPr>
      </w:pPr>
    </w:p>
    <w:p>
      <w:pPr>
        <w:spacing w:after="0" w:line="32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27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11/11/2021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167,899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11/11/2021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33,000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03/04/2022</w:t>
            </w: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G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2C2C2C"/>
            </w:tcBorders>
            <w:gridSpan w:val="5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32,500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14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5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held in a Trust for the benefit of the reporting person and his family, with the reporting person as a co-trustee with his spouse.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 Beard, Attorney-in-fact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10/11/2022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5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-2820670</wp:posOffset>
            </wp:positionV>
            <wp:extent cx="29845" cy="18065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8" Type="http://schemas.openxmlformats.org/officeDocument/2006/relationships/hyperlink" Target="http://www.sec.gov/cgi-bin/browse-edgar?action=getcompany&amp;CIK=0001311079" TargetMode="External"/><Relationship Id="rId9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2022-10-11T19:22:38Z</dcterms:created>
  <dcterms:modified xsi:type="dcterms:W3CDTF">2022-10-11T19:22:38Z</dcterms:modified>
</cp:coreProperties>
</file>