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9"/>
        <w:spacing w:after="0"/>
        <w:rPr>
          <w:sz w:val="20"/>
          <w:szCs w:val="20"/>
          <w:color w:val="auto"/>
        </w:rPr>
      </w:pPr>
      <w:r>
        <w:rPr>
          <w:rFonts w:ascii="Courier New" w:cs="Courier New" w:eastAsia="Courier New" w:hAnsi="Courier New"/>
          <w:sz w:val="16"/>
          <w:szCs w:val="16"/>
          <w:color w:val="auto"/>
        </w:rPr>
        <w:t>SCHEDULE 14A INFORMATION</w:t>
      </w:r>
    </w:p>
    <w:p>
      <w:pPr>
        <w:spacing w:after="0" w:line="191" w:lineRule="exact"/>
        <w:rPr>
          <w:sz w:val="24"/>
          <w:szCs w:val="24"/>
          <w:color w:val="auto"/>
        </w:rPr>
      </w:pPr>
    </w:p>
    <w:p>
      <w:pPr>
        <w:ind w:left="961"/>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5" w:lineRule="exact"/>
        <w:rPr>
          <w:sz w:val="24"/>
          <w:szCs w:val="24"/>
          <w:color w:val="auto"/>
        </w:rPr>
      </w:pPr>
    </w:p>
    <w:p>
      <w:pPr>
        <w:ind w:left="1841"/>
        <w:spacing w:after="0"/>
        <w:tabs>
          <w:tab w:leader="none" w:pos="5400" w:val="left"/>
        </w:tabs>
        <w:rPr>
          <w:sz w:val="20"/>
          <w:szCs w:val="20"/>
          <w:color w:val="auto"/>
        </w:rPr>
      </w:pPr>
      <w:r>
        <w:rPr>
          <w:rFonts w:ascii="Courier New" w:cs="Courier New" w:eastAsia="Courier New" w:hAnsi="Courier New"/>
          <w:sz w:val="16"/>
          <w:szCs w:val="16"/>
          <w:color w:val="auto"/>
        </w:rPr>
        <w:t>Exchange Act of 1934 (Amendment No.</w:t>
        <w:tab/>
        <w:t>)</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the Registrant /X/</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pacing w:after="0" w:line="191" w:lineRule="exact"/>
        <w:rPr>
          <w:sz w:val="24"/>
          <w:szCs w:val="24"/>
          <w:color w:val="auto"/>
        </w:rPr>
      </w:pPr>
    </w:p>
    <w:p>
      <w:pPr>
        <w:ind w:left="1"/>
        <w:spacing w:after="0"/>
        <w:tabs>
          <w:tab w:leader="none" w:pos="460" w:val="left"/>
        </w:tabs>
        <w:rPr>
          <w:sz w:val="20"/>
          <w:szCs w:val="20"/>
          <w:color w:val="auto"/>
        </w:rPr>
      </w:pPr>
      <w:r>
        <w:rPr>
          <w:rFonts w:ascii="Courier New" w:cs="Courier New" w:eastAsia="Courier New" w:hAnsi="Courier New"/>
          <w:sz w:val="16"/>
          <w:szCs w:val="16"/>
          <w:color w:val="auto"/>
        </w:rPr>
        <w:t>/X/</w:t>
        <w:tab/>
        <w:t>Preliminary Proxy Statement</w:t>
      </w:r>
    </w:p>
    <w:p>
      <w:pPr>
        <w:spacing w:after="0" w:line="191"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Proxy Statement</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spacing w:after="0" w:line="191" w:lineRule="exact"/>
        <w:rPr>
          <w:rFonts w:ascii="Courier New" w:cs="Courier New" w:eastAsia="Courier New" w:hAnsi="Courier New"/>
          <w:sz w:val="16"/>
          <w:szCs w:val="16"/>
          <w:color w:val="auto"/>
        </w:rPr>
      </w:pPr>
    </w:p>
    <w:p>
      <w:pPr>
        <w:ind w:left="481" w:right="3539" w:hanging="481"/>
        <w:spacing w:after="0" w:line="248" w:lineRule="auto"/>
        <w:tabs>
          <w:tab w:leader="none" w:pos="19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Section 240.14a-11(c) or Section 240.14a-12</w:t>
      </w:r>
    </w:p>
    <w:p>
      <w:pPr>
        <w:spacing w:after="0" w:line="184" w:lineRule="exact"/>
        <w:rPr>
          <w:sz w:val="24"/>
          <w:szCs w:val="24"/>
          <w:color w:val="auto"/>
        </w:rPr>
      </w:pPr>
    </w:p>
    <w:p>
      <w:pPr>
        <w:ind w:left="2521"/>
        <w:spacing w:after="0"/>
        <w:rPr>
          <w:sz w:val="20"/>
          <w:szCs w:val="20"/>
          <w:color w:val="auto"/>
        </w:rPr>
      </w:pPr>
      <w:r>
        <w:rPr>
          <w:rFonts w:ascii="Courier New" w:cs="Courier New" w:eastAsia="Courier New" w:hAnsi="Courier New"/>
          <w:sz w:val="16"/>
          <w:szCs w:val="16"/>
          <w:color w:val="auto"/>
        </w:rPr>
        <w:t>MICRON TECHNOLOGY INC.</w:t>
      </w:r>
    </w:p>
    <w:p>
      <w:pPr>
        <w:spacing w:after="0" w:line="191"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3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Registrant as Specified In Its Charter)</w:t>
      </w:r>
    </w:p>
    <w:p>
      <w:pPr>
        <w:spacing w:after="0" w:line="378" w:lineRule="exact"/>
        <w:rPr>
          <w:sz w:val="24"/>
          <w:szCs w:val="24"/>
          <w:color w:val="auto"/>
        </w:rPr>
      </w:pPr>
    </w:p>
    <w:p>
      <w:pPr>
        <w:ind w:left="2521"/>
        <w:spacing w:after="0"/>
        <w:rPr>
          <w:sz w:val="20"/>
          <w:szCs w:val="20"/>
          <w:color w:val="auto"/>
        </w:rPr>
      </w:pPr>
      <w:r>
        <w:rPr>
          <w:rFonts w:ascii="Courier New" w:cs="Courier New" w:eastAsia="Courier New" w:hAnsi="Courier New"/>
          <w:sz w:val="16"/>
          <w:szCs w:val="16"/>
          <w:color w:val="auto"/>
        </w:rPr>
        <w:t>MICRON TECHNOLOGY INC.</w:t>
      </w:r>
    </w:p>
    <w:p>
      <w:pPr>
        <w:spacing w:after="0" w:line="191"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5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Proxy Statement)</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91" w:lineRule="exact"/>
        <w:rPr>
          <w:sz w:val="24"/>
          <w:szCs w:val="24"/>
          <w:color w:val="auto"/>
        </w:rPr>
      </w:pPr>
    </w:p>
    <w:p>
      <w:pPr>
        <w:ind w:left="1"/>
        <w:spacing w:after="0"/>
        <w:tabs>
          <w:tab w:leader="none" w:pos="460" w:val="left"/>
        </w:tabs>
        <w:rPr>
          <w:sz w:val="20"/>
          <w:szCs w:val="20"/>
          <w:color w:val="auto"/>
        </w:rPr>
      </w:pPr>
      <w:r>
        <w:rPr>
          <w:rFonts w:ascii="Courier New" w:cs="Courier New" w:eastAsia="Courier New" w:hAnsi="Courier New"/>
          <w:sz w:val="16"/>
          <w:szCs w:val="16"/>
          <w:color w:val="auto"/>
        </w:rPr>
        <w:t>/X/</w:t>
        <w:tab/>
        <w:t>$125 per Exchange Act Rules 0-11(c)(1)(ii), 14a-6(i)(1), or 14a-6(j)(2).</w:t>
      </w:r>
    </w:p>
    <w:p>
      <w:pPr>
        <w:spacing w:after="0" w:line="191" w:lineRule="exact"/>
        <w:rPr>
          <w:sz w:val="24"/>
          <w:szCs w:val="24"/>
          <w:color w:val="auto"/>
        </w:rPr>
      </w:pPr>
    </w:p>
    <w:p>
      <w:pPr>
        <w:ind w:left="481" w:right="3139" w:hanging="481"/>
        <w:spacing w:after="0" w:line="248" w:lineRule="auto"/>
        <w:tabs>
          <w:tab w:leader="none" w:pos="19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$500 per each party to the controversy pursuant to Exchange Act Rule 14a-6(i)(3).</w:t>
      </w:r>
    </w:p>
    <w:p>
      <w:pPr>
        <w:spacing w:after="0" w:line="184"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 0-11.</w:t>
      </w:r>
    </w:p>
    <w:p>
      <w:pPr>
        <w:spacing w:after="0" w:line="191" w:lineRule="exact"/>
        <w:rPr>
          <w:rFonts w:ascii="Courier New" w:cs="Courier New" w:eastAsia="Courier New" w:hAnsi="Courier New"/>
          <w:sz w:val="16"/>
          <w:szCs w:val="16"/>
          <w:color w:val="auto"/>
        </w:rPr>
      </w:pPr>
    </w:p>
    <w:p>
      <w:pPr>
        <w:ind w:left="781" w:hanging="296"/>
        <w:spacing w:after="0"/>
        <w:tabs>
          <w:tab w:leader="none" w:pos="78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5" w:lineRule="exact"/>
        <w:rPr>
          <w:rFonts w:ascii="Courier New" w:cs="Courier New" w:eastAsia="Courier New" w:hAnsi="Courier New"/>
          <w:sz w:val="16"/>
          <w:szCs w:val="16"/>
          <w:color w:val="auto"/>
        </w:rPr>
      </w:pPr>
    </w:p>
    <w:p>
      <w:pPr>
        <w:ind w:left="781" w:hanging="296"/>
        <w:spacing w:after="0"/>
        <w:tabs>
          <w:tab w:leader="none" w:pos="78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5" w:lineRule="exact"/>
        <w:rPr>
          <w:rFonts w:ascii="Courier New" w:cs="Courier New" w:eastAsia="Courier New" w:hAnsi="Courier New"/>
          <w:sz w:val="16"/>
          <w:szCs w:val="16"/>
          <w:color w:val="auto"/>
        </w:rPr>
      </w:pPr>
    </w:p>
    <w:p>
      <w:pPr>
        <w:ind w:left="781" w:right="3239" w:hanging="296"/>
        <w:spacing w:after="0" w:line="246" w:lineRule="auto"/>
        <w:tabs>
          <w:tab w:leader="none" w:pos="78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w:t>
      </w:r>
    </w:p>
    <w:p>
      <w:pPr>
        <w:spacing w:after="0" w:line="1" w:lineRule="exact"/>
        <w:rPr>
          <w:rFonts w:ascii="Courier New" w:cs="Courier New" w:eastAsia="Courier New" w:hAnsi="Courier New"/>
          <w:sz w:val="16"/>
          <w:szCs w:val="16"/>
          <w:color w:val="auto"/>
        </w:rPr>
      </w:pPr>
    </w:p>
    <w:p>
      <w:pPr>
        <w:ind w:left="781" w:hanging="296"/>
        <w:spacing w:after="0"/>
        <w:tabs>
          <w:tab w:leader="none" w:pos="78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1" w:lineRule="exact"/>
        <w:rPr>
          <w:sz w:val="24"/>
          <w:szCs w:val="24"/>
          <w:color w:val="auto"/>
        </w:rPr>
      </w:pPr>
    </w:p>
    <w:p>
      <w:pPr>
        <w:ind w:left="1" w:right="2759"/>
        <w:spacing w:after="0" w:line="248" w:lineRule="auto"/>
        <w:rPr>
          <w:sz w:val="20"/>
          <w:szCs w:val="20"/>
          <w:color w:val="auto"/>
        </w:rPr>
      </w:pPr>
      <w:r>
        <w:rPr>
          <w:rFonts w:ascii="Courier New" w:cs="Courier New" w:eastAsia="Courier New" w:hAnsi="Courier New"/>
          <w:sz w:val="16"/>
          <w:szCs w:val="16"/>
          <w:color w:val="auto"/>
        </w:rPr>
        <w:t>*Set forth the amount on which the filing fee is calculated and state how it was determined.</w:t>
      </w:r>
    </w:p>
    <w:p>
      <w:pPr>
        <w:spacing w:after="0" w:line="184" w:lineRule="exact"/>
        <w:rPr>
          <w:sz w:val="24"/>
          <w:szCs w:val="24"/>
          <w:color w:val="auto"/>
        </w:rPr>
      </w:pPr>
    </w:p>
    <w:p>
      <w:pPr>
        <w:ind w:left="1" w:right="2759" w:hanging="1"/>
        <w:spacing w:after="0" w:line="247" w:lineRule="auto"/>
        <w:tabs>
          <w:tab w:leader="none" w:pos="19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5" w:lineRule="exact"/>
        <w:rPr>
          <w:rFonts w:ascii="Courier New" w:cs="Courier New" w:eastAsia="Courier New" w:hAnsi="Courier New"/>
          <w:sz w:val="16"/>
          <w:szCs w:val="16"/>
          <w:color w:val="auto"/>
        </w:rPr>
      </w:pPr>
    </w:p>
    <w:p>
      <w:pPr>
        <w:ind w:left="1561" w:hanging="785"/>
        <w:spacing w:after="0"/>
        <w:tabs>
          <w:tab w:leader="none" w:pos="15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5" w:lineRule="exact"/>
        <w:rPr>
          <w:rFonts w:ascii="Courier New" w:cs="Courier New" w:eastAsia="Courier New" w:hAnsi="Courier New"/>
          <w:sz w:val="16"/>
          <w:szCs w:val="16"/>
          <w:color w:val="auto"/>
        </w:rPr>
      </w:pPr>
    </w:p>
    <w:p>
      <w:pPr>
        <w:ind w:left="1561" w:hanging="785"/>
        <w:spacing w:after="0"/>
        <w:tabs>
          <w:tab w:leader="none" w:pos="15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5" w:lineRule="exact"/>
        <w:rPr>
          <w:rFonts w:ascii="Courier New" w:cs="Courier New" w:eastAsia="Courier New" w:hAnsi="Courier New"/>
          <w:sz w:val="16"/>
          <w:szCs w:val="16"/>
          <w:color w:val="auto"/>
        </w:rPr>
      </w:pPr>
    </w:p>
    <w:p>
      <w:pPr>
        <w:ind w:left="1561" w:hanging="785"/>
        <w:spacing w:after="0"/>
        <w:tabs>
          <w:tab w:leader="none" w:pos="15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5" w:lineRule="exact"/>
        <w:rPr>
          <w:rFonts w:ascii="Courier New" w:cs="Courier New" w:eastAsia="Courier New" w:hAnsi="Courier New"/>
          <w:sz w:val="16"/>
          <w:szCs w:val="16"/>
          <w:color w:val="auto"/>
        </w:rPr>
      </w:pPr>
    </w:p>
    <w:p>
      <w:pPr>
        <w:ind w:left="1561" w:hanging="785"/>
        <w:spacing w:after="0"/>
        <w:tabs>
          <w:tab w:leader="none" w:pos="15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Notes:</w:t>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2901"/>
        <w:spacing w:after="0"/>
        <w:rPr>
          <w:sz w:val="20"/>
          <w:szCs w:val="20"/>
          <w:color w:val="auto"/>
        </w:rPr>
      </w:pPr>
      <w:r>
        <w:rPr>
          <w:rFonts w:ascii="Courier New" w:cs="Courier New" w:eastAsia="Courier New" w:hAnsi="Courier New"/>
          <w:sz w:val="16"/>
          <w:szCs w:val="16"/>
          <w:color w:val="auto"/>
        </w:rPr>
        <w:t>"PRELIMINARY COPY"</w:t>
      </w:r>
    </w:p>
    <w:p>
      <w:pPr>
        <w:spacing w:after="0" w:line="191"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MICRON TECHNOLOGY, INC.</w:t>
      </w:r>
    </w:p>
    <w:p>
      <w:pPr>
        <w:spacing w:after="0" w:line="5"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1941"/>
        <w:spacing w:after="0"/>
        <w:rPr>
          <w:sz w:val="20"/>
          <w:szCs w:val="20"/>
          <w:color w:val="auto"/>
        </w:rPr>
      </w:pPr>
      <w:r>
        <w:rPr>
          <w:rFonts w:ascii="Courier New" w:cs="Courier New" w:eastAsia="Courier New" w:hAnsi="Courier New"/>
          <w:sz w:val="16"/>
          <w:szCs w:val="16"/>
          <w:color w:val="auto"/>
        </w:rPr>
        <w:t>Notice of 1994 Annual Meeting of Shareholders</w:t>
      </w:r>
    </w:p>
    <w:p>
      <w:pPr>
        <w:spacing w:after="0" w:line="5" w:lineRule="exact"/>
        <w:rPr>
          <w:sz w:val="24"/>
          <w:szCs w:val="24"/>
          <w:color w:val="auto"/>
        </w:rPr>
      </w:pPr>
    </w:p>
    <w:p>
      <w:pPr>
        <w:ind w:left="2721"/>
        <w:spacing w:after="0"/>
        <w:rPr>
          <w:sz w:val="20"/>
          <w:szCs w:val="20"/>
          <w:color w:val="auto"/>
        </w:rPr>
      </w:pPr>
      <w:r>
        <w:rPr>
          <w:rFonts w:ascii="Courier New" w:cs="Courier New" w:eastAsia="Courier New" w:hAnsi="Courier New"/>
          <w:sz w:val="16"/>
          <w:szCs w:val="16"/>
          <w:color w:val="auto"/>
        </w:rPr>
        <w:t>Monday, January 30, 1995</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TO THE SHAREHOLDERS:</w:t>
      </w:r>
    </w:p>
    <w:p>
      <w:pPr>
        <w:spacing w:after="0" w:line="191" w:lineRule="exact"/>
        <w:rPr>
          <w:sz w:val="24"/>
          <w:szCs w:val="24"/>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NOTICE IS HEREBY GIVEN that the 1994 Annual Meeting of Shareholders of Micron Technology, Inc., a Delaware corporation (the "Company"), will be held on January 30, 1995, at 9:00 a.m., Mountain Standard Time, at the Company's principal office located at 2805 East Columbia Road, Boise, Idaho 83706-9698, for the following purposes:</w:t>
      </w:r>
    </w:p>
    <w:p>
      <w:pPr>
        <w:spacing w:after="0" w:line="185" w:lineRule="exact"/>
        <w:rPr>
          <w:sz w:val="24"/>
          <w:szCs w:val="24"/>
          <w:color w:val="auto"/>
        </w:rPr>
      </w:pPr>
    </w:p>
    <w:p>
      <w:pPr>
        <w:ind w:left="1" w:right="2759" w:firstLine="968"/>
        <w:spacing w:after="0" w:line="248" w:lineRule="auto"/>
        <w:tabs>
          <w:tab w:leader="none" w:pos="12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directors to serve for the ensuing year and until their successors are elected.</w:t>
      </w:r>
    </w:p>
    <w:p>
      <w:pPr>
        <w:spacing w:after="0" w:line="184" w:lineRule="exact"/>
        <w:rPr>
          <w:rFonts w:ascii="Courier New" w:cs="Courier New" w:eastAsia="Courier New" w:hAnsi="Courier New"/>
          <w:sz w:val="16"/>
          <w:szCs w:val="16"/>
          <w:color w:val="auto"/>
        </w:rPr>
      </w:pPr>
    </w:p>
    <w:p>
      <w:pPr>
        <w:ind w:left="1" w:right="2759" w:firstLine="968"/>
        <w:spacing w:after="0" w:line="247" w:lineRule="auto"/>
        <w:tabs>
          <w:tab w:leader="none" w:pos="12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Company's Certificate of Incorporation increasing the number of authorized shares of Common Stock from 150,000,000 shares to 300,000,000 shares.</w:t>
      </w:r>
    </w:p>
    <w:p>
      <w:pPr>
        <w:spacing w:after="0" w:line="185" w:lineRule="exact"/>
        <w:rPr>
          <w:rFonts w:ascii="Courier New" w:cs="Courier New" w:eastAsia="Courier New" w:hAnsi="Courier New"/>
          <w:sz w:val="16"/>
          <w:szCs w:val="16"/>
          <w:color w:val="auto"/>
        </w:rPr>
      </w:pPr>
    </w:p>
    <w:p>
      <w:pPr>
        <w:ind w:left="1" w:right="2959" w:firstLine="968"/>
        <w:spacing w:after="0" w:line="248" w:lineRule="auto"/>
        <w:tabs>
          <w:tab w:leader="none" w:pos="12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Company's 1994 Stock Option Plan and to reserve 1,000,000 shares of the Company's Common Stock for issuance thereunder.</w:t>
      </w:r>
    </w:p>
    <w:p>
      <w:pPr>
        <w:sectPr>
          <w:pgSz w:w="11900" w:h="16838" w:orient="portrait"/>
          <w:cols w:equalWidth="0" w:num="1">
            <w:col w:w="10220"/>
          </w:cols>
          <w:pgMar w:left="239" w:top="241" w:right="1440" w:bottom="0" w:gutter="0" w:footer="0" w:header="0"/>
        </w:sectPr>
      </w:pPr>
    </w:p>
    <w:bookmarkStart w:id="1" w:name="page2"/>
    <w:bookmarkEnd w:id="1"/>
    <w:p>
      <w:pPr>
        <w:ind w:left="1360" w:hanging="392"/>
        <w:spacing w:after="0"/>
        <w:tabs>
          <w:tab w:leader="none" w:pos="13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Company's Executive Bonus Plan.</w:t>
      </w:r>
    </w:p>
    <w:p>
      <w:pPr>
        <w:spacing w:after="0" w:line="191" w:lineRule="exact"/>
        <w:rPr>
          <w:rFonts w:ascii="Courier New" w:cs="Courier New" w:eastAsia="Courier New" w:hAnsi="Courier New"/>
          <w:sz w:val="16"/>
          <w:szCs w:val="16"/>
          <w:color w:val="auto"/>
        </w:rPr>
      </w:pPr>
    </w:p>
    <w:p>
      <w:pPr>
        <w:ind w:right="3239" w:firstLine="968"/>
        <w:spacing w:after="0" w:line="247" w:lineRule="auto"/>
        <w:tabs>
          <w:tab w:leader="none" w:pos="12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Coopers &amp; Lybrand L.L.P. as independent public accountants of the Company for the fiscal year ending August 31, 1995.</w:t>
      </w:r>
    </w:p>
    <w:p>
      <w:pPr>
        <w:spacing w:after="0" w:line="185" w:lineRule="exact"/>
        <w:rPr>
          <w:rFonts w:ascii="Courier New" w:cs="Courier New" w:eastAsia="Courier New" w:hAnsi="Courier New"/>
          <w:sz w:val="16"/>
          <w:szCs w:val="16"/>
          <w:color w:val="auto"/>
        </w:rPr>
      </w:pPr>
    </w:p>
    <w:p>
      <w:pPr>
        <w:ind w:right="2859" w:firstLine="968"/>
        <w:spacing w:after="0" w:line="248" w:lineRule="auto"/>
        <w:tabs>
          <w:tab w:leader="none" w:pos="12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thereof.</w:t>
      </w:r>
    </w:p>
    <w:p>
      <w:pPr>
        <w:spacing w:after="0" w:line="184" w:lineRule="exact"/>
        <w:rPr>
          <w:sz w:val="20"/>
          <w:szCs w:val="20"/>
          <w:color w:val="auto"/>
        </w:rPr>
      </w:pPr>
    </w:p>
    <w:p>
      <w:pPr>
        <w:ind w:right="3039" w:firstLine="484"/>
        <w:spacing w:after="0" w:line="248" w:lineRule="auto"/>
        <w:rPr>
          <w:sz w:val="20"/>
          <w:szCs w:val="20"/>
          <w:color w:val="auto"/>
        </w:rPr>
      </w:pPr>
      <w:r>
        <w:rPr>
          <w:rFonts w:ascii="Courier New" w:cs="Courier New" w:eastAsia="Courier New" w:hAnsi="Courier New"/>
          <w:sz w:val="16"/>
          <w:szCs w:val="16"/>
          <w:color w:val="auto"/>
        </w:rPr>
        <w:t>The foregoing items of business are more fully described in the Proxy Statement accompanying this Notice.</w:t>
      </w:r>
    </w:p>
    <w:p>
      <w:pPr>
        <w:spacing w:after="0" w:line="184" w:lineRule="exact"/>
        <w:rPr>
          <w:sz w:val="20"/>
          <w:szCs w:val="20"/>
          <w:color w:val="auto"/>
        </w:rPr>
      </w:pPr>
    </w:p>
    <w:p>
      <w:pPr>
        <w:ind w:right="3239" w:firstLine="484"/>
        <w:spacing w:after="0" w:line="248" w:lineRule="auto"/>
        <w:rPr>
          <w:sz w:val="20"/>
          <w:szCs w:val="20"/>
          <w:color w:val="auto"/>
        </w:rPr>
      </w:pPr>
      <w:r>
        <w:rPr>
          <w:rFonts w:ascii="Courier New" w:cs="Courier New" w:eastAsia="Courier New" w:hAnsi="Courier New"/>
          <w:sz w:val="16"/>
          <w:szCs w:val="16"/>
          <w:color w:val="auto"/>
        </w:rPr>
        <w:t>Only shareholders of record at the close of business on December 1, 1994, are entitled to notice of and to vote at the meeting.</w:t>
      </w:r>
    </w:p>
    <w:p>
      <w:pPr>
        <w:spacing w:after="0" w:line="184"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All shareholders are cordially invited to attend the meeting in person. However, to ensure your representation at the meeting, you are urged to vote, sign, date, and return the enclosed Proxy as promptly as possible in the postage-prepaid envelope enclosed for that purpose. The shareholders attending the meeting may vote in person even if they have returned a proxy.</w:t>
      </w:r>
    </w:p>
    <w:p>
      <w:pPr>
        <w:spacing w:after="0" w:line="18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78"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CATHY L. SMITH</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Secretary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Boise, Idaho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19, 1994</w:t>
      </w:r>
    </w:p>
    <w:p>
      <w:pPr>
        <w:spacing w:after="0" w:line="191"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YOUR VOTE IS IMPORTANT NO MATTER HOW MANY SHARES YOU OWN</w:t>
      </w:r>
    </w:p>
    <w:p>
      <w:pPr>
        <w:spacing w:after="0" w:line="191" w:lineRule="exact"/>
        <w:rPr>
          <w:sz w:val="20"/>
          <w:szCs w:val="20"/>
          <w:color w:val="auto"/>
        </w:rPr>
      </w:pPr>
    </w:p>
    <w:p>
      <w:pPr>
        <w:jc w:val="both"/>
        <w:ind w:right="2859" w:firstLine="775"/>
        <w:spacing w:after="0" w:line="247" w:lineRule="auto"/>
        <w:rPr>
          <w:sz w:val="20"/>
          <w:szCs w:val="20"/>
          <w:color w:val="auto"/>
        </w:rPr>
      </w:pPr>
      <w:r>
        <w:rPr>
          <w:rFonts w:ascii="Courier New" w:cs="Courier New" w:eastAsia="Courier New" w:hAnsi="Courier New"/>
          <w:sz w:val="16"/>
          <w:szCs w:val="16"/>
          <w:color w:val="auto"/>
        </w:rPr>
        <w:t>Please indicate your voting instructions on the enclosed proxy card, date and sign it, and return it in the envelope provided, which is addressed for your convenience. No postage is required if mailed in the United States.</w:t>
      </w:r>
    </w:p>
    <w:p>
      <w:pPr>
        <w:spacing w:after="0" w:line="186"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PLEASE MAIL YOUR PROXY PROMPTLY</w:t>
      </w:r>
    </w:p>
    <w:p>
      <w:pPr>
        <w:sectPr>
          <w:pgSz w:w="11900" w:h="16838" w:orient="portrait"/>
          <w:cols w:equalWidth="0" w:num="1">
            <w:col w:w="10219"/>
          </w:cols>
          <w:pgMar w:left="240" w:top="328" w:right="1440" w:bottom="1440" w:gutter="0" w:footer="0" w:header="0"/>
        </w:sectPr>
      </w:pPr>
    </w:p>
    <w:bookmarkStart w:id="2" w:name="page3"/>
    <w:bookmarkEnd w:id="2"/>
    <w:p>
      <w:pPr>
        <w:ind w:left="2800"/>
        <w:spacing w:after="0"/>
        <w:rPr>
          <w:sz w:val="20"/>
          <w:szCs w:val="20"/>
          <w:color w:val="auto"/>
        </w:rPr>
      </w:pPr>
      <w:r>
        <w:rPr>
          <w:rFonts w:ascii="Courier New" w:cs="Courier New" w:eastAsia="Courier New" w:hAnsi="Courier New"/>
          <w:sz w:val="16"/>
          <w:szCs w:val="16"/>
          <w:color w:val="auto"/>
        </w:rPr>
        <w:t>"PRELIMINARY COPY"</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MICRON TECHNOLOGY, INC.</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2805 East Columbia Road</w:t>
      </w:r>
    </w:p>
    <w:p>
      <w:pPr>
        <w:spacing w:after="0" w:line="5" w:lineRule="exact"/>
        <w:rPr>
          <w:sz w:val="20"/>
          <w:szCs w:val="20"/>
          <w:color w:val="auto"/>
        </w:rPr>
      </w:pPr>
    </w:p>
    <w:p>
      <w:pPr>
        <w:ind w:left="2520"/>
        <w:spacing w:after="0"/>
        <w:tabs>
          <w:tab w:leader="none" w:pos="3860" w:val="left"/>
        </w:tabs>
        <w:rPr>
          <w:sz w:val="20"/>
          <w:szCs w:val="20"/>
          <w:color w:val="auto"/>
        </w:rPr>
      </w:pPr>
      <w:r>
        <w:rPr>
          <w:rFonts w:ascii="Courier New" w:cs="Courier New" w:eastAsia="Courier New" w:hAnsi="Courier New"/>
          <w:sz w:val="16"/>
          <w:szCs w:val="16"/>
          <w:color w:val="auto"/>
        </w:rPr>
        <w:t>Boise, Idaho</w:t>
      </w:r>
      <w:r>
        <w:rPr>
          <w:sz w:val="20"/>
          <w:szCs w:val="20"/>
          <w:color w:val="auto"/>
        </w:rPr>
        <w:tab/>
      </w:r>
      <w:r>
        <w:rPr>
          <w:rFonts w:ascii="Courier New" w:cs="Courier New" w:eastAsia="Courier New" w:hAnsi="Courier New"/>
          <w:sz w:val="15"/>
          <w:szCs w:val="15"/>
          <w:color w:val="auto"/>
        </w:rPr>
        <w:t>83706-9698</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PROXY STATEMENT</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INFORMATION CONCERNING SOLICITATION AND VOTING</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1"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The enclosed Proxy is solicited on behalf of the Board of Directors of Micron Technology, Inc. (the "Company") for use at the 1994 Annual Meeting of Shareholders to be held on January 30, 1995, at 9:00 a.m., Mountain Standard Time, or at any adjournment thereof (the "Annual Meeting"). The purposes of the Annual Meeting are set forth herein and in the accompanying Notice of 1994 Annual Meeting of Shareholders. The Annual Meeting will be held at the Company's principal office located at 2805 East Columbia Road, Boise, Idaho 83706-9698. The Company's telephone number is (208) 368-4000.</w:t>
      </w:r>
    </w:p>
    <w:p>
      <w:pPr>
        <w:spacing w:after="0" w:line="191"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This Proxy Statement and enclosed Proxy were mailed on or about December 19, 1994, to all shareholders entitled to vote at the meeting.</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Date</w:t>
      </w:r>
    </w:p>
    <w:p>
      <w:pPr>
        <w:spacing w:after="0" w:line="191"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Shareholders of record at the close of business on December 1, 1994 (the "Record Date"), are entitled to notice of and to vote at the meeting.</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Deadline for Receipt of Shareholder Proposals for 1995 Annual Meeting</w:t>
      </w:r>
    </w:p>
    <w:p>
      <w:pPr>
        <w:spacing w:after="0" w:line="191" w:lineRule="exact"/>
        <w:rPr>
          <w:sz w:val="20"/>
          <w:szCs w:val="20"/>
          <w:color w:val="auto"/>
        </w:rPr>
      </w:pPr>
    </w:p>
    <w:p>
      <w:pPr>
        <w:jc w:val="both"/>
        <w:ind w:right="3339" w:firstLine="484"/>
        <w:spacing w:after="0" w:line="246" w:lineRule="auto"/>
        <w:rPr>
          <w:sz w:val="20"/>
          <w:szCs w:val="20"/>
          <w:color w:val="auto"/>
        </w:rPr>
      </w:pPr>
      <w:r>
        <w:rPr>
          <w:rFonts w:ascii="Courier New" w:cs="Courier New" w:eastAsia="Courier New" w:hAnsi="Courier New"/>
          <w:sz w:val="16"/>
          <w:szCs w:val="16"/>
          <w:color w:val="auto"/>
        </w:rPr>
        <w:t>Proposals of shareholders of the Company which are intended to be presented at the Company's 1995 Annual Meeting of Shareholders must be received by the Company no later than August 22, 1995, and be otherwise</w:t>
      </w:r>
    </w:p>
    <w:p>
      <w:pPr>
        <w:spacing w:after="0" w:line="2"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in compliance with applicable laws and regulations in order to be included in the proxy statement and form of proxy relating to that meeting.</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Revocability of Proxies</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Any proxy given pursuant to this solicitation may be revoked by the person giving it at any time before its use by delivering to the Company a written notice of revocation or a duly executed proxy bearing a later date or by attending the meeting and voting in person.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Solicitation</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cost of soliciting proxies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or telegram.</w:t>
      </w:r>
    </w:p>
    <w:p>
      <w:pPr>
        <w:spacing w:after="0" w:line="18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VOTING SECURITIES AND PRINCIPAL HOLDERS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Shares</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Company has only one class of stock outstanding, the Company's common stock, $.10 par value per share (the "Common Stock"). At the Record Date, 102,128,550 shares of the Company's Common Stock were issued and outstanding.</w:t>
      </w:r>
    </w:p>
    <w:p>
      <w:pPr>
        <w:sectPr>
          <w:pgSz w:w="11900" w:h="16838" w:orient="portrait"/>
          <w:cols w:equalWidth="0" w:num="1">
            <w:col w:w="10219"/>
          </w:cols>
          <w:pgMar w:left="240" w:top="67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Voting Rights</w:t>
      </w:r>
    </w:p>
    <w:p>
      <w:pPr>
        <w:spacing w:after="0" w:line="191"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Each shareholder will be entitled to one vote for each share of Common Stock held at the Record Date for all matters, including the election of directors, unless cumulative voting for the election of directors is required. Cumulative voting for the election of directors shall not be required unless at least one shareholder has given notice at the meeting prior to the voting</w:t>
      </w:r>
    </w:p>
    <w:p>
      <w:pPr>
        <w:spacing w:after="0" w:line="3"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of the intention to cumulate votes. In the event cumulative voting is requested, every shareholder voting for the election of directors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ten (10) candidates. In the event cumulative voting is required, the persons authorized to vote shares represented by proxies shall have the authority and discretion to vote such shares cumulatively for any candidate or candidates for whom authority to vote has not been withheld.</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 Ownership of Certain Beneficial Owners and Management</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following table sets forth security ownership information as of December 1, 1994, for (i) persons known by the Company to own beneficially more than five percent (5%) of the Company's Common Stock, (ii) each director, (iii) each Named Executive Officer listed in the "SUMMARY COMPENSATION TABLE" set forth on page __, and (iv) all directors and executive officers as a group:</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40" w:type="dxa"/>
            <w:vAlign w:val="bottom"/>
          </w:tcPr>
          <w:p>
            <w:pPr>
              <w:spacing w:after="0"/>
              <w:rPr>
                <w:sz w:val="15"/>
                <w:szCs w:val="15"/>
                <w:color w:val="auto"/>
              </w:rPr>
            </w:pPr>
          </w:p>
        </w:tc>
        <w:tc>
          <w:tcPr>
            <w:tcW w:w="1160" w:type="dxa"/>
            <w:vAlign w:val="bottom"/>
          </w:tcPr>
          <w:p>
            <w:pPr>
              <w:ind w:left="160"/>
              <w:spacing w:after="0"/>
              <w:rPr>
                <w:sz w:val="20"/>
                <w:szCs w:val="20"/>
                <w:color w:val="auto"/>
              </w:rPr>
            </w:pPr>
            <w:r>
              <w:rPr>
                <w:rFonts w:ascii="Courier New" w:cs="Courier New" w:eastAsia="Courier New" w:hAnsi="Courier New"/>
                <w:sz w:val="16"/>
                <w:szCs w:val="16"/>
                <w:color w:val="auto"/>
              </w:rPr>
              <w:t>Amount and</w:t>
            </w: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6"/>
        </w:trPr>
        <w:tc>
          <w:tcPr>
            <w:tcW w:w="3240" w:type="dxa"/>
            <w:vAlign w:val="bottom"/>
          </w:tcPr>
          <w:p>
            <w:pPr>
              <w:spacing w:after="0"/>
              <w:rPr>
                <w:sz w:val="16"/>
                <w:szCs w:val="16"/>
                <w:color w:val="auto"/>
              </w:rPr>
            </w:pPr>
          </w:p>
        </w:tc>
        <w:tc>
          <w:tcPr>
            <w:tcW w:w="1160" w:type="dxa"/>
            <w:vAlign w:val="bottom"/>
          </w:tcPr>
          <w:p>
            <w:pPr>
              <w:ind w:left="160"/>
              <w:spacing w:after="0"/>
              <w:rPr>
                <w:sz w:val="20"/>
                <w:szCs w:val="20"/>
                <w:color w:val="auto"/>
              </w:rPr>
            </w:pPr>
            <w:r>
              <w:rPr>
                <w:rFonts w:ascii="Courier New" w:cs="Courier New" w:eastAsia="Courier New" w:hAnsi="Courier New"/>
                <w:sz w:val="16"/>
                <w:szCs w:val="16"/>
                <w:color w:val="auto"/>
              </w:rPr>
              <w:t>Nature of</w:t>
            </w: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240" w:type="dxa"/>
            <w:vAlign w:val="bottom"/>
          </w:tcPr>
          <w:p>
            <w:pPr>
              <w:ind w:left="200"/>
              <w:spacing w:after="0"/>
              <w:rPr>
                <w:sz w:val="20"/>
                <w:szCs w:val="20"/>
                <w:color w:val="auto"/>
              </w:rPr>
            </w:pPr>
            <w:r>
              <w:rPr>
                <w:rFonts w:ascii="Courier New" w:cs="Courier New" w:eastAsia="Courier New" w:hAnsi="Courier New"/>
                <w:sz w:val="16"/>
                <w:szCs w:val="16"/>
                <w:color w:val="auto"/>
              </w:rPr>
              <w:t>Name and Address</w:t>
            </w:r>
          </w:p>
        </w:tc>
        <w:tc>
          <w:tcPr>
            <w:tcW w:w="1160" w:type="dxa"/>
            <w:vAlign w:val="bottom"/>
          </w:tcPr>
          <w:p>
            <w:pPr>
              <w:ind w:left="160"/>
              <w:spacing w:after="0"/>
              <w:rPr>
                <w:sz w:val="20"/>
                <w:szCs w:val="20"/>
                <w:color w:val="auto"/>
              </w:rPr>
            </w:pPr>
            <w:r>
              <w:rPr>
                <w:rFonts w:ascii="Courier New" w:cs="Courier New" w:eastAsia="Courier New" w:hAnsi="Courier New"/>
                <w:sz w:val="16"/>
                <w:szCs w:val="16"/>
                <w:color w:val="auto"/>
              </w:rPr>
              <w:t>Beneficial</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Percent of</w:t>
            </w:r>
          </w:p>
        </w:tc>
      </w:tr>
      <w:tr>
        <w:trPr>
          <w:trHeight w:val="186"/>
        </w:trPr>
        <w:tc>
          <w:tcPr>
            <w:tcW w:w="3240" w:type="dxa"/>
            <w:vAlign w:val="bottom"/>
          </w:tcPr>
          <w:p>
            <w:pPr>
              <w:ind w:left="200"/>
              <w:spacing w:after="0"/>
              <w:rPr>
                <w:sz w:val="20"/>
                <w:szCs w:val="20"/>
                <w:color w:val="auto"/>
              </w:rPr>
            </w:pPr>
            <w:r>
              <w:rPr>
                <w:rFonts w:ascii="Courier New" w:cs="Courier New" w:eastAsia="Courier New" w:hAnsi="Courier New"/>
                <w:sz w:val="16"/>
                <w:szCs w:val="16"/>
                <w:color w:val="auto"/>
              </w:rPr>
              <w:t>of Beneficial Owner</w:t>
            </w:r>
          </w:p>
        </w:tc>
        <w:tc>
          <w:tcPr>
            <w:tcW w:w="1160" w:type="dxa"/>
            <w:vAlign w:val="bottom"/>
          </w:tcPr>
          <w:p>
            <w:pPr>
              <w:ind w:left="160"/>
              <w:spacing w:after="0"/>
              <w:rPr>
                <w:sz w:val="20"/>
                <w:szCs w:val="20"/>
                <w:color w:val="auto"/>
              </w:rPr>
            </w:pPr>
            <w:r>
              <w:rPr>
                <w:rFonts w:ascii="Courier New" w:cs="Courier New" w:eastAsia="Courier New" w:hAnsi="Courier New"/>
                <w:sz w:val="16"/>
                <w:szCs w:val="16"/>
                <w:color w:val="auto"/>
              </w:rPr>
              <w:t>Ownership</w:t>
            </w:r>
          </w:p>
        </w:tc>
        <w:tc>
          <w:tcPr>
            <w:tcW w:w="780" w:type="dxa"/>
            <w:vAlign w:val="bottom"/>
          </w:tcPr>
          <w:p>
            <w:pPr>
              <w:spacing w:after="0"/>
              <w:rPr>
                <w:sz w:val="16"/>
                <w:szCs w:val="16"/>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Class</w:t>
            </w:r>
          </w:p>
        </w:tc>
      </w:tr>
      <w:tr>
        <w:trPr>
          <w:trHeight w:val="186"/>
        </w:trPr>
        <w:tc>
          <w:tcPr>
            <w:tcW w:w="32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3240" w:type="dxa"/>
            <w:vAlign w:val="bottom"/>
          </w:tcPr>
          <w:p>
            <w:pPr>
              <w:spacing w:after="0"/>
              <w:rPr>
                <w:sz w:val="20"/>
                <w:szCs w:val="20"/>
                <w:color w:val="auto"/>
              </w:rPr>
            </w:pPr>
            <w:r>
              <w:rPr>
                <w:rFonts w:ascii="Courier New" w:cs="Courier New" w:eastAsia="Courier New" w:hAnsi="Courier New"/>
                <w:sz w:val="16"/>
                <w:szCs w:val="16"/>
                <w:color w:val="auto"/>
              </w:rPr>
              <w:t>FMR Corp.........................</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11,821,800</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(1)</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11.58%</w:t>
            </w:r>
          </w:p>
        </w:tc>
      </w:tr>
      <w:tr>
        <w:trPr>
          <w:trHeight w:val="186"/>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82 Devonshire Street</w:t>
            </w: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Boston, Massachusetts 02109</w:t>
            </w: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J.R. Simplot Company.............</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11,849,500</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(2)</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11.60%</w:t>
            </w:r>
          </w:p>
        </w:tc>
      </w:tr>
      <w:tr>
        <w:trPr>
          <w:trHeight w:val="186"/>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999 Main Street, Suite 1300</w:t>
            </w: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Boise, Idaho 83707</w:t>
            </w: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John R. Simplot..................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8,789,250</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(3)(4)</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8.61%</w:t>
            </w:r>
          </w:p>
        </w:tc>
      </w:tr>
      <w:tr>
        <w:trPr>
          <w:trHeight w:val="186"/>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999 Main Street, Suite 1300</w:t>
            </w: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Boise, Idaho 83707</w:t>
            </w: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Simplot Canada Limited...........</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1,300,000</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(5)</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1.27%</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Steven R. Appleton...............</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36,035</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(6)(7)</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James W. Garrett.................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w:t>
            </w:r>
          </w:p>
        </w:tc>
        <w:tc>
          <w:tcPr>
            <w:tcW w:w="780" w:type="dxa"/>
            <w:vAlign w:val="bottom"/>
          </w:tcPr>
          <w:p>
            <w:pPr>
              <w:spacing w:after="0"/>
              <w:rPr>
                <w:sz w:val="16"/>
                <w:szCs w:val="16"/>
                <w:color w:val="auto"/>
              </w:rPr>
            </w:pP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Jerry M. Hess....................</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10,000</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(8)</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Reid N. Langrill.................</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w:t>
            </w:r>
          </w:p>
        </w:tc>
        <w:tc>
          <w:tcPr>
            <w:tcW w:w="780" w:type="dxa"/>
            <w:vAlign w:val="bottom"/>
          </w:tcPr>
          <w:p>
            <w:pPr>
              <w:spacing w:after="0"/>
              <w:rPr>
                <w:sz w:val="16"/>
                <w:szCs w:val="16"/>
                <w:color w:val="auto"/>
              </w:rPr>
            </w:pP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Robert A. Lothrop................</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20,482</w:t>
            </w:r>
          </w:p>
        </w:tc>
        <w:tc>
          <w:tcPr>
            <w:tcW w:w="780" w:type="dxa"/>
            <w:vAlign w:val="bottom"/>
          </w:tcPr>
          <w:p>
            <w:pPr>
              <w:spacing w:after="0"/>
              <w:rPr>
                <w:sz w:val="16"/>
                <w:szCs w:val="16"/>
                <w:color w:val="auto"/>
              </w:rPr>
            </w:pP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Tyler A. Lowrey..................</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11,000</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(6)(9)</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Thomas T. Nicholson..............</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784,335</w:t>
            </w:r>
          </w:p>
        </w:tc>
        <w:tc>
          <w:tcPr>
            <w:tcW w:w="780" w:type="dxa"/>
            <w:vAlign w:val="bottom"/>
          </w:tcPr>
          <w:p>
            <w:pPr>
              <w:spacing w:after="0"/>
              <w:rPr>
                <w:sz w:val="16"/>
                <w:szCs w:val="16"/>
                <w:color w:val="auto"/>
              </w:rPr>
            </w:pP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Allen T. Noble...................</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1,025,000</w:t>
            </w:r>
          </w:p>
        </w:tc>
        <w:tc>
          <w:tcPr>
            <w:tcW w:w="780" w:type="dxa"/>
            <w:vAlign w:val="bottom"/>
          </w:tcPr>
          <w:p>
            <w:pPr>
              <w:spacing w:after="0"/>
              <w:rPr>
                <w:sz w:val="16"/>
                <w:szCs w:val="16"/>
                <w:color w:val="auto"/>
              </w:rPr>
            </w:pP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Joseph L. Parkinson..............</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85</w:t>
            </w:r>
          </w:p>
        </w:tc>
        <w:tc>
          <w:tcPr>
            <w:tcW w:w="780" w:type="dxa"/>
            <w:vAlign w:val="bottom"/>
          </w:tcPr>
          <w:p>
            <w:pPr>
              <w:spacing w:after="0"/>
              <w:rPr>
                <w:sz w:val="16"/>
                <w:szCs w:val="16"/>
                <w:color w:val="auto"/>
              </w:rPr>
            </w:pP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Don J. Simplot...................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74,750</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(3)(10)</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Gordon C. Smith..................</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375</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(3)</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Wilbur G. Stover, Jr.............</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6,999</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(6)(7)</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3"/>
        </w:trPr>
        <w:tc>
          <w:tcPr>
            <w:tcW w:w="3240" w:type="dxa"/>
            <w:vAlign w:val="bottom"/>
          </w:tcPr>
          <w:p>
            <w:pPr>
              <w:spacing w:after="0"/>
              <w:rPr>
                <w:sz w:val="20"/>
                <w:szCs w:val="20"/>
                <w:color w:val="auto"/>
              </w:rPr>
            </w:pPr>
            <w:r>
              <w:rPr>
                <w:rFonts w:ascii="Courier New" w:cs="Courier New" w:eastAsia="Courier New" w:hAnsi="Courier New"/>
                <w:sz w:val="16"/>
                <w:szCs w:val="16"/>
                <w:color w:val="auto"/>
              </w:rPr>
              <w:t>All directors and executive</w:t>
            </w: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6"/>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officers as a group (23 persons)</w:t>
            </w: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(3),(4),(6),(7),(8),(9),(10),</w:t>
            </w: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240" w:type="dxa"/>
            <w:vAlign w:val="bottom"/>
          </w:tcPr>
          <w:p>
            <w:pPr>
              <w:ind w:left="100"/>
              <w:spacing w:after="0"/>
              <w:rPr>
                <w:sz w:val="20"/>
                <w:szCs w:val="20"/>
                <w:color w:val="auto"/>
              </w:rPr>
            </w:pPr>
            <w:r>
              <w:rPr>
                <w:rFonts w:ascii="Courier New" w:cs="Courier New" w:eastAsia="Courier New" w:hAnsi="Courier New"/>
                <w:sz w:val="16"/>
                <w:szCs w:val="16"/>
                <w:color w:val="auto"/>
              </w:rPr>
              <w:t>(11):...........................</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24,102,722</w:t>
            </w:r>
          </w:p>
        </w:tc>
        <w:tc>
          <w:tcPr>
            <w:tcW w:w="780" w:type="dxa"/>
            <w:vAlign w:val="bottom"/>
          </w:tcPr>
          <w:p>
            <w:pPr>
              <w:spacing w:after="0"/>
              <w:rPr>
                <w:sz w:val="16"/>
                <w:szCs w:val="16"/>
                <w:color w:val="auto"/>
              </w:rPr>
            </w:pP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23.58%</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Less than 1%</w:t>
      </w:r>
    </w:p>
    <w:p>
      <w:pPr>
        <w:sectPr>
          <w:pgSz w:w="11900" w:h="16838" w:orient="portrait"/>
          <w:cols w:equalWidth="0" w:num="1">
            <w:col w:w="10219"/>
          </w:cols>
          <w:pgMar w:left="240" w:top="489" w:right="1440" w:bottom="1440" w:gutter="0" w:footer="0" w:header="0"/>
        </w:sectPr>
      </w:pPr>
    </w:p>
    <w:bookmarkStart w:id="4" w:name="page5"/>
    <w:bookmarkEnd w:id="4"/>
    <w:p>
      <w:pPr>
        <w:ind w:left="481" w:right="2759" w:hanging="481"/>
        <w:spacing w:after="0" w:line="246" w:lineRule="auto"/>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beneficially owned by subsidiaries of FMR Corp., as follows: Fidelity Management &amp; Research Company, 11,559,750 shares; Fidelity Management Trust Company, 207,050 shares; and Fidelity International Limited, 55,000 shares. Of these shares, FMR Corp. has sole voting power with respect to 47,750 shares and sole power of disposition with respect to 11,766,800 shares. Fidelity International Limited has sole voting and disposition power with respect to all of the shares it beneficially owns.</w:t>
      </w:r>
    </w:p>
    <w:p>
      <w:pPr>
        <w:spacing w:after="0" w:line="4" w:lineRule="exact"/>
        <w:rPr>
          <w:rFonts w:ascii="Courier New" w:cs="Courier New" w:eastAsia="Courier New" w:hAnsi="Courier New"/>
          <w:sz w:val="16"/>
          <w:szCs w:val="16"/>
          <w:color w:val="auto"/>
        </w:rPr>
      </w:pPr>
    </w:p>
    <w:p>
      <w:pPr>
        <w:jc w:val="both"/>
        <w:ind w:left="481" w:right="2959" w:hanging="481"/>
        <w:spacing w:after="0" w:line="246" w:lineRule="auto"/>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shares held by Simplot Canada Limited, a wholly owned subsidiary of the J.R. Simplot Company, and by Messrs. John R. Simplot and Don J. Simplot.</w:t>
      </w:r>
    </w:p>
    <w:p>
      <w:pPr>
        <w:spacing w:after="0" w:line="1" w:lineRule="exact"/>
        <w:rPr>
          <w:rFonts w:ascii="Courier New" w:cs="Courier New" w:eastAsia="Courier New" w:hAnsi="Courier New"/>
          <w:sz w:val="16"/>
          <w:szCs w:val="16"/>
          <w:color w:val="auto"/>
        </w:rPr>
      </w:pPr>
    </w:p>
    <w:p>
      <w:pPr>
        <w:ind w:left="481" w:right="3039" w:hanging="481"/>
        <w:spacing w:after="0" w:line="246" w:lineRule="auto"/>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Messrs. John R. Simplot and Don J. Simplot, directors of the Company, serve as directors and are shareholders of the J.R. Simplot Company. In addition, Mr. Don J. Simplot serves as a member of Office of the Chairman of the Board of Directors and as Corporate Vice President of the J.R. Simplot Company. In addition to their respective number of shares indicated in the table, these individuals may be deemed</w:t>
      </w:r>
    </w:p>
    <w:p>
      <w:pPr>
        <w:spacing w:after="0" w:line="3" w:lineRule="exact"/>
        <w:rPr>
          <w:rFonts w:ascii="Courier New" w:cs="Courier New" w:eastAsia="Courier New" w:hAnsi="Courier New"/>
          <w:sz w:val="16"/>
          <w:szCs w:val="16"/>
          <w:color w:val="auto"/>
        </w:rPr>
      </w:pPr>
    </w:p>
    <w:p>
      <w:pPr>
        <w:jc w:val="both"/>
        <w:ind w:left="481" w:right="303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be beneficial owners of 11,849,500 shares held by the J.R. Simplot Company and 1,300,000 shares held by Simplot Canada Limited, a wholly owned subsidiary of the J.R. Simplot Company.</w:t>
      </w:r>
    </w:p>
    <w:p>
      <w:pPr>
        <w:spacing w:after="0" w:line="1" w:lineRule="exact"/>
        <w:rPr>
          <w:rFonts w:ascii="Courier New" w:cs="Courier New" w:eastAsia="Courier New" w:hAnsi="Courier New"/>
          <w:sz w:val="16"/>
          <w:szCs w:val="16"/>
          <w:color w:val="auto"/>
        </w:rPr>
      </w:pPr>
    </w:p>
    <w:p>
      <w:pPr>
        <w:ind w:left="481" w:right="2959" w:hanging="481"/>
        <w:spacing w:after="0" w:line="246" w:lineRule="auto"/>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5,851,300 shares held in the J.R. Simplot Self Declaration of Revocable Trust dated December 21, 1989.</w:t>
      </w:r>
    </w:p>
    <w:p>
      <w:pPr>
        <w:spacing w:after="0" w:line="1" w:lineRule="exact"/>
        <w:rPr>
          <w:rFonts w:ascii="Courier New" w:cs="Courier New" w:eastAsia="Courier New" w:hAnsi="Courier New"/>
          <w:sz w:val="16"/>
          <w:szCs w:val="16"/>
          <w:color w:val="auto"/>
        </w:rPr>
      </w:pPr>
    </w:p>
    <w:p>
      <w:pPr>
        <w:ind w:left="481" w:right="2859" w:hanging="481"/>
        <w:spacing w:after="0" w:line="246" w:lineRule="auto"/>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Simplot Canada Limited is a wholly owned subsidiary of the J.R. Simplot Company.</w:t>
      </w:r>
    </w:p>
    <w:p>
      <w:pPr>
        <w:spacing w:after="0" w:line="1" w:lineRule="exact"/>
        <w:rPr>
          <w:rFonts w:ascii="Courier New" w:cs="Courier New" w:eastAsia="Courier New" w:hAnsi="Courier New"/>
          <w:sz w:val="16"/>
          <w:szCs w:val="16"/>
          <w:color w:val="auto"/>
        </w:rPr>
      </w:pPr>
    </w:p>
    <w:p>
      <w:pPr>
        <w:ind w:left="481" w:right="2659" w:hanging="481"/>
        <w:spacing w:after="0" w:line="246" w:lineRule="auto"/>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shares of common stock of Micron Communications, Inc., a subsidiary of the Company, held by Mr. Appleton, 811; Mr. Lowrey, 811; Mr. Stover, 811; and all directors and executive officers as a group (13 persons), 10,431. The total number of shares held by all directors and executive officers as a group represents 1.83% of the total outstanding shares of Micron Communications, Inc., common stock.</w:t>
      </w:r>
    </w:p>
    <w:p>
      <w:pPr>
        <w:spacing w:after="0" w:line="3" w:lineRule="exact"/>
        <w:rPr>
          <w:rFonts w:ascii="Courier New" w:cs="Courier New" w:eastAsia="Courier New" w:hAnsi="Courier New"/>
          <w:sz w:val="16"/>
          <w:szCs w:val="16"/>
          <w:color w:val="auto"/>
        </w:rPr>
      </w:pPr>
    </w:p>
    <w:p>
      <w:pPr>
        <w:ind w:left="481" w:right="2759" w:hanging="481"/>
        <w:spacing w:after="0" w:line="246" w:lineRule="auto"/>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exercisable within 60 days of December 1, 1994, under the Company's 1985 Incentive Stock Option Plan in the following amounts: Mr. Appleton, 24,000; Mr. Stover, 6,499; and all directors and executive officers as a group (13 persons), 89,246.</w:t>
      </w:r>
    </w:p>
    <w:p>
      <w:pPr>
        <w:spacing w:after="0" w:line="2" w:lineRule="exact"/>
        <w:rPr>
          <w:rFonts w:ascii="Courier New" w:cs="Courier New" w:eastAsia="Courier New" w:hAnsi="Courier New"/>
          <w:sz w:val="16"/>
          <w:szCs w:val="16"/>
          <w:color w:val="auto"/>
        </w:rPr>
      </w:pPr>
    </w:p>
    <w:p>
      <w:pPr>
        <w:ind w:left="481" w:right="2659" w:hanging="481"/>
        <w:spacing w:after="0" w:line="246" w:lineRule="auto"/>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1,000 shares held by J.M. Hess Construction Co., Inc., a company owned solely by Mr. Hess.</w:t>
      </w:r>
    </w:p>
    <w:p>
      <w:pPr>
        <w:spacing w:after="0" w:line="1" w:lineRule="exact"/>
        <w:rPr>
          <w:rFonts w:ascii="Courier New" w:cs="Courier New" w:eastAsia="Courier New" w:hAnsi="Courier New"/>
          <w:sz w:val="16"/>
          <w:szCs w:val="16"/>
          <w:color w:val="auto"/>
        </w:rPr>
      </w:pPr>
    </w:p>
    <w:p>
      <w:pPr>
        <w:ind w:left="481" w:right="2759" w:hanging="481"/>
        <w:spacing w:after="0" w:line="246" w:lineRule="auto"/>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1,966 shares of common stock of Micron Quantum Devices, Inc., a subsidiary of the Company, held by Mr. Lowrey, which represents less than one percent (1%) of the total outstanding shares of Micron Quantum Devices, Inc., common stock. No other directors or executive officers of the Company hold shares of Micron Quantum Devices, Inc.</w:t>
      </w:r>
    </w:p>
    <w:p>
      <w:pPr>
        <w:spacing w:after="0" w:line="2" w:lineRule="exact"/>
        <w:rPr>
          <w:rFonts w:ascii="Courier New" w:cs="Courier New" w:eastAsia="Courier New" w:hAnsi="Courier New"/>
          <w:sz w:val="16"/>
          <w:szCs w:val="16"/>
          <w:color w:val="auto"/>
        </w:rPr>
      </w:pPr>
    </w:p>
    <w:p>
      <w:pPr>
        <w:ind w:left="481" w:right="3039" w:hanging="481"/>
        <w:spacing w:after="0" w:line="246" w:lineRule="auto"/>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2,500 shares held by Mr. Don J. Simplot as custodian for his minor child.</w:t>
      </w:r>
    </w:p>
    <w:p>
      <w:pPr>
        <w:spacing w:after="0" w:line="1" w:lineRule="exact"/>
        <w:rPr>
          <w:rFonts w:ascii="Courier New" w:cs="Courier New" w:eastAsia="Courier New" w:hAnsi="Courier New"/>
          <w:sz w:val="16"/>
          <w:szCs w:val="16"/>
          <w:color w:val="auto"/>
        </w:rPr>
      </w:pPr>
    </w:p>
    <w:p>
      <w:pPr>
        <w:ind w:left="481" w:right="2659" w:hanging="481"/>
        <w:spacing w:after="0" w:line="248" w:lineRule="auto"/>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11,849,500 shares held by the J.R. Simplot Company and 1,300,000 shares held by Simplot Canada Limited (see footnote (3) above).</w:t>
      </w:r>
    </w:p>
    <w:p>
      <w:pPr>
        <w:spacing w:after="0" w:line="184" w:lineRule="exact"/>
        <w:rPr>
          <w:sz w:val="20"/>
          <w:szCs w:val="20"/>
          <w:color w:val="auto"/>
        </w:rPr>
      </w:pPr>
    </w:p>
    <w:p>
      <w:pPr>
        <w:ind w:left="2721"/>
        <w:spacing w:after="0"/>
        <w:rPr>
          <w:sz w:val="20"/>
          <w:szCs w:val="20"/>
          <w:color w:val="auto"/>
        </w:rPr>
      </w:pPr>
      <w:r>
        <w:rPr>
          <w:rFonts w:ascii="Courier New" w:cs="Courier New" w:eastAsia="Courier New" w:hAnsi="Courier New"/>
          <w:sz w:val="16"/>
          <w:szCs w:val="16"/>
          <w:color w:val="auto"/>
        </w:rPr>
        <w:t>ELECTION OF DIRECTORS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Nominees</w:t>
      </w:r>
    </w:p>
    <w:p>
      <w:pPr>
        <w:spacing w:after="0" w:line="191"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The Company's Bylaws currently provide for ten (10) directors, and it is contemplated that a Board of ten (10) directors will be elected at the meeting. Unless otherwise instructed, the proxy holders will vote the proxies received by them for management's ten (10) nominees named below, all of whom are presently directors of the Company. In the event that any management nominee is unable or declines to serve as a director at the time of the Annual Meeting, the proxies will be voted for any nominee who shall be designated by the present Board of Directors to fill the vacancy. In the event that additional persons are nominated for election as directors, the proxy holders intend to vote all proxies received by them in such a manner as will ensure the election of as many of the nominees listed below as possible. It is not expected that any nominee will be unable or will decline to serve as a director. The term of office of each person elected as a director will continue until the next annual meeting of shareholders and until such person's successor has been elected and qualified. Officers are appointed by the Board of Directors and serve at the discretion of the Board.</w:t>
      </w:r>
    </w:p>
    <w:p>
      <w:pPr>
        <w:sectPr>
          <w:pgSz w:w="11900" w:h="16838" w:orient="portrait"/>
          <w:cols w:equalWidth="0" w:num="1">
            <w:col w:w="10220"/>
          </w:cols>
          <w:pgMar w:left="239" w:top="676" w:right="1440" w:bottom="1440" w:gutter="0" w:footer="0" w:header="0"/>
        </w:sectPr>
      </w:pPr>
    </w:p>
    <w:bookmarkStart w:id="5" w:name="page6"/>
    <w:bookmarkEnd w:id="5"/>
    <w:p>
      <w:pPr>
        <w:ind w:right="2659" w:firstLine="484"/>
        <w:spacing w:after="0" w:line="248" w:lineRule="auto"/>
        <w:rPr>
          <w:sz w:val="20"/>
          <w:szCs w:val="20"/>
          <w:color w:val="auto"/>
        </w:rPr>
      </w:pPr>
      <w:r>
        <w:rPr>
          <w:rFonts w:ascii="Courier New" w:cs="Courier New" w:eastAsia="Courier New" w:hAnsi="Courier New"/>
          <w:sz w:val="16"/>
          <w:szCs w:val="16"/>
          <w:color w:val="auto"/>
        </w:rPr>
        <w:t>The names of the ten (10) nominees and certain information about them are set forth below:</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Director</w:t>
            </w:r>
          </w:p>
        </w:tc>
      </w:tr>
      <w:tr>
        <w:trPr>
          <w:trHeight w:val="186"/>
        </w:trPr>
        <w:tc>
          <w:tcPr>
            <w:tcW w:w="23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Name of Nominee</w:t>
            </w:r>
          </w:p>
        </w:tc>
        <w:tc>
          <w:tcPr>
            <w:tcW w:w="5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Age</w:t>
            </w:r>
          </w:p>
        </w:tc>
        <w:tc>
          <w:tcPr>
            <w:tcW w:w="3820" w:type="dxa"/>
            <w:vAlign w:val="bottom"/>
          </w:tcPr>
          <w:p>
            <w:pPr>
              <w:ind w:left="620"/>
              <w:spacing w:after="0"/>
              <w:rPr>
                <w:sz w:val="20"/>
                <w:szCs w:val="20"/>
                <w:color w:val="auto"/>
              </w:rPr>
            </w:pPr>
            <w:r>
              <w:rPr>
                <w:rFonts w:ascii="Courier New" w:cs="Courier New" w:eastAsia="Courier New" w:hAnsi="Courier New"/>
                <w:sz w:val="16"/>
                <w:szCs w:val="16"/>
                <w:color w:val="auto"/>
              </w:rPr>
              <w:t>Principal Occupation</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Since</w:t>
            </w:r>
          </w:p>
        </w:tc>
      </w:tr>
      <w:tr>
        <w:trPr>
          <w:trHeight w:val="186"/>
        </w:trPr>
        <w:tc>
          <w:tcPr>
            <w:tcW w:w="23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82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r>
      <w:tr>
        <w:trPr>
          <w:trHeight w:val="373"/>
        </w:trPr>
        <w:tc>
          <w:tcPr>
            <w:tcW w:w="23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Steven R. Appleton.....</w:t>
            </w:r>
          </w:p>
        </w:tc>
        <w:tc>
          <w:tcPr>
            <w:tcW w:w="5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34</w:t>
            </w: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Chairman of the Board, President,</w:t>
            </w:r>
          </w:p>
        </w:tc>
        <w:tc>
          <w:tcPr>
            <w:tcW w:w="8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1994</w:t>
            </w:r>
          </w:p>
        </w:tc>
      </w:tr>
      <w:tr>
        <w:trPr>
          <w:trHeight w:val="186"/>
        </w:trPr>
        <w:tc>
          <w:tcPr>
            <w:tcW w:w="2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and Chief Executive Officer of the</w:t>
            </w:r>
          </w:p>
        </w:tc>
        <w:tc>
          <w:tcPr>
            <w:tcW w:w="880" w:type="dxa"/>
            <w:vAlign w:val="bottom"/>
          </w:tcPr>
          <w:p>
            <w:pPr>
              <w:spacing w:after="0"/>
              <w:rPr>
                <w:sz w:val="16"/>
                <w:szCs w:val="16"/>
                <w:color w:val="auto"/>
              </w:rPr>
            </w:pPr>
          </w:p>
        </w:tc>
      </w:tr>
      <w:tr>
        <w:trPr>
          <w:trHeight w:val="186"/>
        </w:trPr>
        <w:tc>
          <w:tcPr>
            <w:tcW w:w="2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Company</w:t>
            </w:r>
          </w:p>
        </w:tc>
        <w:tc>
          <w:tcPr>
            <w:tcW w:w="880" w:type="dxa"/>
            <w:vAlign w:val="bottom"/>
          </w:tcPr>
          <w:p>
            <w:pPr>
              <w:spacing w:after="0"/>
              <w:rPr>
                <w:sz w:val="16"/>
                <w:szCs w:val="16"/>
                <w:color w:val="auto"/>
              </w:rPr>
            </w:pPr>
          </w:p>
        </w:tc>
      </w:tr>
      <w:tr>
        <w:trPr>
          <w:trHeight w:val="373"/>
        </w:trPr>
        <w:tc>
          <w:tcPr>
            <w:tcW w:w="23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Jerry M. Hess..........</w:t>
            </w:r>
          </w:p>
        </w:tc>
        <w:tc>
          <w:tcPr>
            <w:tcW w:w="5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56</w:t>
            </w: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Chairman and Chief Executive Officer</w:t>
            </w:r>
          </w:p>
        </w:tc>
        <w:tc>
          <w:tcPr>
            <w:tcW w:w="8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1994</w:t>
            </w:r>
          </w:p>
        </w:tc>
      </w:tr>
      <w:tr>
        <w:trPr>
          <w:trHeight w:val="186"/>
        </w:trPr>
        <w:tc>
          <w:tcPr>
            <w:tcW w:w="2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of J.M. Hess Construction Co., Inc.</w:t>
            </w:r>
          </w:p>
        </w:tc>
        <w:tc>
          <w:tcPr>
            <w:tcW w:w="880" w:type="dxa"/>
            <w:vAlign w:val="bottom"/>
          </w:tcPr>
          <w:p>
            <w:pPr>
              <w:spacing w:after="0"/>
              <w:rPr>
                <w:sz w:val="16"/>
                <w:szCs w:val="16"/>
                <w:color w:val="auto"/>
              </w:rPr>
            </w:pPr>
          </w:p>
        </w:tc>
      </w:tr>
      <w:tr>
        <w:trPr>
          <w:trHeight w:val="373"/>
        </w:trPr>
        <w:tc>
          <w:tcPr>
            <w:tcW w:w="23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Robert A. Lothrop......</w:t>
            </w:r>
          </w:p>
        </w:tc>
        <w:tc>
          <w:tcPr>
            <w:tcW w:w="5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68</w:t>
            </w: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Retired, former Senior Vice President</w:t>
            </w:r>
          </w:p>
        </w:tc>
        <w:tc>
          <w:tcPr>
            <w:tcW w:w="8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1994</w:t>
            </w:r>
          </w:p>
        </w:tc>
      </w:tr>
      <w:tr>
        <w:trPr>
          <w:trHeight w:val="186"/>
        </w:trPr>
        <w:tc>
          <w:tcPr>
            <w:tcW w:w="2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of J.R. Simplot Company</w:t>
            </w:r>
          </w:p>
        </w:tc>
        <w:tc>
          <w:tcPr>
            <w:tcW w:w="880" w:type="dxa"/>
            <w:vAlign w:val="bottom"/>
          </w:tcPr>
          <w:p>
            <w:pPr>
              <w:spacing w:after="0"/>
              <w:rPr>
                <w:sz w:val="16"/>
                <w:szCs w:val="16"/>
                <w:color w:val="auto"/>
              </w:rPr>
            </w:pPr>
          </w:p>
        </w:tc>
      </w:tr>
      <w:tr>
        <w:trPr>
          <w:trHeight w:val="373"/>
        </w:trPr>
        <w:tc>
          <w:tcPr>
            <w:tcW w:w="23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Tyler A. Lowrey........</w:t>
            </w:r>
          </w:p>
        </w:tc>
        <w:tc>
          <w:tcPr>
            <w:tcW w:w="5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w:t>
            </w: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Vice Chairman and Chief Technical</w:t>
            </w:r>
          </w:p>
        </w:tc>
        <w:tc>
          <w:tcPr>
            <w:tcW w:w="8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1994</w:t>
            </w:r>
          </w:p>
        </w:tc>
      </w:tr>
      <w:tr>
        <w:trPr>
          <w:trHeight w:val="186"/>
        </w:trPr>
        <w:tc>
          <w:tcPr>
            <w:tcW w:w="2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Officer of the Company</w:t>
            </w:r>
          </w:p>
        </w:tc>
        <w:tc>
          <w:tcPr>
            <w:tcW w:w="880" w:type="dxa"/>
            <w:vAlign w:val="bottom"/>
          </w:tcPr>
          <w:p>
            <w:pPr>
              <w:spacing w:after="0"/>
              <w:rPr>
                <w:sz w:val="16"/>
                <w:szCs w:val="16"/>
                <w:color w:val="auto"/>
              </w:rPr>
            </w:pPr>
          </w:p>
        </w:tc>
      </w:tr>
      <w:tr>
        <w:trPr>
          <w:trHeight w:val="373"/>
        </w:trPr>
        <w:tc>
          <w:tcPr>
            <w:tcW w:w="23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Thomas T. Nicholson....</w:t>
            </w:r>
          </w:p>
        </w:tc>
        <w:tc>
          <w:tcPr>
            <w:tcW w:w="5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58</w:t>
            </w: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Vice President of Honda of Seattle;</w:t>
            </w:r>
          </w:p>
        </w:tc>
        <w:tc>
          <w:tcPr>
            <w:tcW w:w="8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1980</w:t>
            </w:r>
          </w:p>
        </w:tc>
      </w:tr>
      <w:tr>
        <w:trPr>
          <w:trHeight w:val="186"/>
        </w:trPr>
        <w:tc>
          <w:tcPr>
            <w:tcW w:w="2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President of Mountain View Equipment;</w:t>
            </w:r>
          </w:p>
        </w:tc>
        <w:tc>
          <w:tcPr>
            <w:tcW w:w="880" w:type="dxa"/>
            <w:vAlign w:val="bottom"/>
          </w:tcPr>
          <w:p>
            <w:pPr>
              <w:spacing w:after="0"/>
              <w:rPr>
                <w:sz w:val="16"/>
                <w:szCs w:val="16"/>
                <w:color w:val="auto"/>
              </w:rPr>
            </w:pPr>
          </w:p>
        </w:tc>
      </w:tr>
      <w:tr>
        <w:trPr>
          <w:trHeight w:val="186"/>
        </w:trPr>
        <w:tc>
          <w:tcPr>
            <w:tcW w:w="2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Partner of CC&amp;T Land &amp; Livestock</w:t>
            </w:r>
          </w:p>
        </w:tc>
        <w:tc>
          <w:tcPr>
            <w:tcW w:w="880" w:type="dxa"/>
            <w:vAlign w:val="bottom"/>
          </w:tcPr>
          <w:p>
            <w:pPr>
              <w:spacing w:after="0"/>
              <w:rPr>
                <w:sz w:val="16"/>
                <w:szCs w:val="16"/>
                <w:color w:val="auto"/>
              </w:rPr>
            </w:pPr>
          </w:p>
        </w:tc>
      </w:tr>
      <w:tr>
        <w:trPr>
          <w:trHeight w:val="373"/>
        </w:trPr>
        <w:tc>
          <w:tcPr>
            <w:tcW w:w="23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Allen T. Noble.........</w:t>
            </w:r>
          </w:p>
        </w:tc>
        <w:tc>
          <w:tcPr>
            <w:tcW w:w="5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65</w:t>
            </w: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President of Farm Development</w:t>
            </w:r>
          </w:p>
        </w:tc>
        <w:tc>
          <w:tcPr>
            <w:tcW w:w="8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1980</w:t>
            </w:r>
          </w:p>
        </w:tc>
      </w:tr>
      <w:tr>
        <w:trPr>
          <w:trHeight w:val="186"/>
        </w:trPr>
        <w:tc>
          <w:tcPr>
            <w:tcW w:w="2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Corporation; land development;</w:t>
            </w:r>
          </w:p>
        </w:tc>
        <w:tc>
          <w:tcPr>
            <w:tcW w:w="880" w:type="dxa"/>
            <w:vAlign w:val="bottom"/>
          </w:tcPr>
          <w:p>
            <w:pPr>
              <w:spacing w:after="0"/>
              <w:rPr>
                <w:sz w:val="16"/>
                <w:szCs w:val="16"/>
                <w:color w:val="auto"/>
              </w:rPr>
            </w:pPr>
          </w:p>
        </w:tc>
      </w:tr>
      <w:tr>
        <w:trPr>
          <w:trHeight w:val="186"/>
        </w:trPr>
        <w:tc>
          <w:tcPr>
            <w:tcW w:w="2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agribusiness interests</w:t>
            </w:r>
          </w:p>
        </w:tc>
        <w:tc>
          <w:tcPr>
            <w:tcW w:w="880" w:type="dxa"/>
            <w:vAlign w:val="bottom"/>
          </w:tcPr>
          <w:p>
            <w:pPr>
              <w:spacing w:after="0"/>
              <w:rPr>
                <w:sz w:val="16"/>
                <w:szCs w:val="16"/>
                <w:color w:val="auto"/>
              </w:rPr>
            </w:pPr>
          </w:p>
        </w:tc>
      </w:tr>
      <w:tr>
        <w:trPr>
          <w:trHeight w:val="373"/>
        </w:trPr>
        <w:tc>
          <w:tcPr>
            <w:tcW w:w="23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Don J. Simplot.........</w:t>
            </w:r>
          </w:p>
        </w:tc>
        <w:tc>
          <w:tcPr>
            <w:tcW w:w="5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w:t>
            </w: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Member of Office of the Chairman and</w:t>
            </w:r>
          </w:p>
        </w:tc>
        <w:tc>
          <w:tcPr>
            <w:tcW w:w="8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1982</w:t>
            </w:r>
          </w:p>
        </w:tc>
      </w:tr>
      <w:tr>
        <w:trPr>
          <w:trHeight w:val="186"/>
        </w:trPr>
        <w:tc>
          <w:tcPr>
            <w:tcW w:w="2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Corporate Vice President of the J.R.</w:t>
            </w:r>
          </w:p>
        </w:tc>
        <w:tc>
          <w:tcPr>
            <w:tcW w:w="880" w:type="dxa"/>
            <w:vAlign w:val="bottom"/>
          </w:tcPr>
          <w:p>
            <w:pPr>
              <w:spacing w:after="0"/>
              <w:rPr>
                <w:sz w:val="16"/>
                <w:szCs w:val="16"/>
                <w:color w:val="auto"/>
              </w:rPr>
            </w:pPr>
          </w:p>
        </w:tc>
      </w:tr>
      <w:tr>
        <w:trPr>
          <w:trHeight w:val="186"/>
        </w:trPr>
        <w:tc>
          <w:tcPr>
            <w:tcW w:w="2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Simplot Company</w:t>
            </w:r>
          </w:p>
        </w:tc>
        <w:tc>
          <w:tcPr>
            <w:tcW w:w="880" w:type="dxa"/>
            <w:vAlign w:val="bottom"/>
          </w:tcPr>
          <w:p>
            <w:pPr>
              <w:spacing w:after="0"/>
              <w:rPr>
                <w:sz w:val="16"/>
                <w:szCs w:val="16"/>
                <w:color w:val="auto"/>
              </w:rPr>
            </w:pPr>
          </w:p>
        </w:tc>
      </w:tr>
      <w:tr>
        <w:trPr>
          <w:trHeight w:val="373"/>
        </w:trPr>
        <w:tc>
          <w:tcPr>
            <w:tcW w:w="23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John R. Simplot........</w:t>
            </w:r>
          </w:p>
        </w:tc>
        <w:tc>
          <w:tcPr>
            <w:tcW w:w="5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85</w:t>
            </w: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Retired, former Chairman of the Board</w:t>
            </w:r>
          </w:p>
        </w:tc>
        <w:tc>
          <w:tcPr>
            <w:tcW w:w="8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1980</w:t>
            </w:r>
          </w:p>
        </w:tc>
      </w:tr>
      <w:tr>
        <w:trPr>
          <w:trHeight w:val="186"/>
        </w:trPr>
        <w:tc>
          <w:tcPr>
            <w:tcW w:w="2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of the J.R. Simplot Company</w:t>
            </w:r>
          </w:p>
        </w:tc>
        <w:tc>
          <w:tcPr>
            <w:tcW w:w="880" w:type="dxa"/>
            <w:vAlign w:val="bottom"/>
          </w:tcPr>
          <w:p>
            <w:pPr>
              <w:spacing w:after="0"/>
              <w:rPr>
                <w:sz w:val="16"/>
                <w:szCs w:val="16"/>
                <w:color w:val="auto"/>
              </w:rPr>
            </w:pPr>
          </w:p>
        </w:tc>
      </w:tr>
      <w:tr>
        <w:trPr>
          <w:trHeight w:val="373"/>
        </w:trPr>
        <w:tc>
          <w:tcPr>
            <w:tcW w:w="23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Gordon C. Smith........</w:t>
            </w:r>
          </w:p>
        </w:tc>
        <w:tc>
          <w:tcPr>
            <w:tcW w:w="5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65</w:t>
            </w: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Retired, former President and Chief</w:t>
            </w:r>
          </w:p>
        </w:tc>
        <w:tc>
          <w:tcPr>
            <w:tcW w:w="8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1990</w:t>
            </w:r>
          </w:p>
        </w:tc>
      </w:tr>
      <w:tr>
        <w:trPr>
          <w:trHeight w:val="186"/>
        </w:trPr>
        <w:tc>
          <w:tcPr>
            <w:tcW w:w="2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Executive Officer of the J.R. Simplot</w:t>
            </w:r>
          </w:p>
        </w:tc>
        <w:tc>
          <w:tcPr>
            <w:tcW w:w="880" w:type="dxa"/>
            <w:vAlign w:val="bottom"/>
          </w:tcPr>
          <w:p>
            <w:pPr>
              <w:spacing w:after="0"/>
              <w:rPr>
                <w:sz w:val="16"/>
                <w:szCs w:val="16"/>
                <w:color w:val="auto"/>
              </w:rPr>
            </w:pPr>
          </w:p>
        </w:tc>
      </w:tr>
      <w:tr>
        <w:trPr>
          <w:trHeight w:val="186"/>
        </w:trPr>
        <w:tc>
          <w:tcPr>
            <w:tcW w:w="2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Company</w:t>
            </w:r>
          </w:p>
        </w:tc>
        <w:tc>
          <w:tcPr>
            <w:tcW w:w="880" w:type="dxa"/>
            <w:vAlign w:val="bottom"/>
          </w:tcPr>
          <w:p>
            <w:pPr>
              <w:spacing w:after="0"/>
              <w:rPr>
                <w:sz w:val="16"/>
                <w:szCs w:val="16"/>
                <w:color w:val="auto"/>
              </w:rPr>
            </w:pPr>
          </w:p>
        </w:tc>
      </w:tr>
      <w:tr>
        <w:trPr>
          <w:trHeight w:val="373"/>
        </w:trPr>
        <w:tc>
          <w:tcPr>
            <w:tcW w:w="232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Wilbur G. Stover, Jr...</w:t>
            </w:r>
          </w:p>
        </w:tc>
        <w:tc>
          <w:tcPr>
            <w:tcW w:w="5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w:t>
            </w: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Vice President, Finance, and Chief</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2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6"/>
                <w:szCs w:val="16"/>
                <w:color w:val="auto"/>
              </w:rPr>
              <w:t>Financial Officer of the Company</w:t>
            </w:r>
          </w:p>
        </w:tc>
        <w:tc>
          <w:tcPr>
            <w:tcW w:w="880" w:type="dxa"/>
            <w:vAlign w:val="bottom"/>
          </w:tcPr>
          <w:p>
            <w:pPr>
              <w:spacing w:after="0"/>
              <w:rPr>
                <w:sz w:val="16"/>
                <w:szCs w:val="16"/>
                <w:color w:val="auto"/>
              </w:rPr>
            </w:pPr>
          </w:p>
        </w:tc>
      </w:tr>
    </w:tbl>
    <w:p>
      <w:pPr>
        <w:spacing w:after="0" w:line="190"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Each of the nominees has been engaged in his principal occupation set forth above during the past five years, except as follows: (i) Steven R. Appleton served as Vice President, Manufacturing from August 1989 until April 1991 when he was appointed President and Chief Operating Officer and as a director of the Company. In July 1992, he assumed responsibilities as Chairman of the Board, President, and Chief Executive Officer for Micron Semiconductor, Inc. (a wholly owned subsidiary of the Company). In May 1994, Mr. Appleton was re-elected to the Company's Board of Directors. He was named Chairman of the Board, President, and Chief Executive Officer of the Company in September 1994; (ii) Robert A. Lothrop served as Senior Vice President of the J.R. Simplot Company from January 1986 until his retirement in January 1991; (iii) Tyler A. Lowrey served as the Company's Vice President, Process Research and Development, and Assistant Technical Officer until April 1990 when he was named Vice President, Research and Development. He served in these positions, as well as a member of the Company's Board of Directors from August 1990 until July 1992 when he became a director and was named Vice President, Chief Technical Officer for Micron Semiconductor, Inc. In September 1994, he was re-elected to the Board of Directors of the Company and named Vice Chairman and Chief Technical Officer of the Company; (iv) Don J. Simplot served as the President of Simplot Financial Corporation, a wholly owned subsidiary of the J.R. Simplot Company, from February 1985 until January 1992. In April 1994, Mr. Simplot was appointed as a member of Office of the Chairman of the J.R. Simplot Company; (v) John R. Simplot served as the Chairman of the Board of Directors of the J.R. Simplot Company from 1920 until his retirement in April 1994; (vi) Gordon C. Smith served in various management positions from July 1980 until January 1992 for Simplot Financial Corporation, a wholly owned subsidiary of the J.R. Simplot Company. From May 1988 until his retirement in February 1994, Mr. Smith served as the President and Chief Executive Officer of the J.R. Simplot Company; (vii) Wilbur G. Stover, Jr. joined the Company</w:t>
      </w:r>
    </w:p>
    <w:p>
      <w:pPr>
        <w:spacing w:after="0" w:line="16" w:lineRule="exact"/>
        <w:rPr>
          <w:sz w:val="20"/>
          <w:szCs w:val="20"/>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in June 1989 as an accounting manager. In February 1990, Mr. Stover was named Controller. In July 1992, he was named Vice President, Finance, and</w:t>
      </w:r>
    </w:p>
    <w:p>
      <w:pPr>
        <w:spacing w:after="0" w:line="1" w:lineRule="exact"/>
        <w:rPr>
          <w:sz w:val="20"/>
          <w:szCs w:val="20"/>
          <w:color w:val="auto"/>
        </w:rPr>
      </w:pPr>
    </w:p>
    <w:p>
      <w:pPr>
        <w:jc w:val="both"/>
        <w:ind w:right="2859"/>
        <w:spacing w:after="0" w:line="247" w:lineRule="auto"/>
        <w:rPr>
          <w:sz w:val="20"/>
          <w:szCs w:val="20"/>
          <w:color w:val="auto"/>
        </w:rPr>
      </w:pPr>
      <w:r>
        <w:rPr>
          <w:rFonts w:ascii="Courier New" w:cs="Courier New" w:eastAsia="Courier New" w:hAnsi="Courier New"/>
          <w:sz w:val="16"/>
          <w:szCs w:val="16"/>
          <w:color w:val="auto"/>
        </w:rPr>
        <w:t>Chief Financial Officer of Micron Semiconductor, Inc. In September 1994, he was named Vice President, Finance; Treasurer, and Chief Financial Officer of the Company and was appointed to the Board of Directors of</w:t>
      </w:r>
    </w:p>
    <w:p>
      <w:pPr>
        <w:sectPr>
          <w:pgSz w:w="11900" w:h="16838" w:orient="portrait"/>
          <w:cols w:equalWidth="0" w:num="1">
            <w:col w:w="10219"/>
          </w:cols>
          <w:pgMar w:left="240" w:top="862" w:right="1440" w:bottom="1062" w:gutter="0" w:footer="0" w:header="0"/>
        </w:sectPr>
      </w:pPr>
    </w:p>
    <w:bookmarkStart w:id="6" w:name="page7"/>
    <w:bookmarkEnd w:id="6"/>
    <w:p>
      <w:pPr>
        <w:jc w:val="both"/>
        <w:ind w:right="2959"/>
        <w:spacing w:after="0" w:line="247" w:lineRule="auto"/>
        <w:rPr>
          <w:sz w:val="20"/>
          <w:szCs w:val="20"/>
          <w:color w:val="auto"/>
        </w:rPr>
      </w:pPr>
      <w:r>
        <w:rPr>
          <w:rFonts w:ascii="Courier New" w:cs="Courier New" w:eastAsia="Courier New" w:hAnsi="Courier New"/>
          <w:sz w:val="16"/>
          <w:szCs w:val="16"/>
          <w:color w:val="auto"/>
        </w:rPr>
        <w:t>the Company. Upon the merger of Micron Semiconductor, Inc., with and into the Company in November 1994, Mr. Stover was named Vice President, Finance, and Chief Financial Officer of the Company.</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Messrs. John R. Simplot and Gordon C. Smith also serve as directors of the J.R. Simplot Company. The J.R. Simplot Company is a privately held company involved in food processing and in manufacturing and marketing fertilizers and agricultural chemicals.</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There is no family relationship between any director or executive officer of the Company, except between John R. Simplot and Don J. Simplot, who are father and son, respectively.</w:t>
      </w:r>
    </w:p>
    <w:p>
      <w:pPr>
        <w:spacing w:after="0" w:line="186" w:lineRule="exact"/>
        <w:rPr>
          <w:sz w:val="20"/>
          <w:szCs w:val="20"/>
          <w:color w:val="auto"/>
        </w:rPr>
      </w:pPr>
    </w:p>
    <w:p>
      <w:pPr>
        <w:ind w:right="3239" w:firstLine="484"/>
        <w:spacing w:after="0" w:line="247" w:lineRule="auto"/>
        <w:rPr>
          <w:sz w:val="20"/>
          <w:szCs w:val="20"/>
          <w:color w:val="auto"/>
        </w:rPr>
      </w:pPr>
      <w:r>
        <w:rPr>
          <w:rFonts w:ascii="Courier New" w:cs="Courier New" w:eastAsia="Courier New" w:hAnsi="Courier New"/>
          <w:sz w:val="16"/>
          <w:szCs w:val="16"/>
          <w:color w:val="auto"/>
        </w:rPr>
        <w:t>Allen T. Noble serves as a director of West One Bancorp, the parent company of West One Bank, Idaho, the Company's stock transfer agent and registrar.</w:t>
      </w:r>
    </w:p>
    <w:p>
      <w:pPr>
        <w:spacing w:after="0" w:line="186" w:lineRule="exact"/>
        <w:rPr>
          <w:sz w:val="20"/>
          <w:szCs w:val="20"/>
          <w:color w:val="auto"/>
        </w:rPr>
      </w:pPr>
    </w:p>
    <w:p>
      <w:pPr>
        <w:ind w:right="2859" w:firstLine="484"/>
        <w:spacing w:after="0" w:line="248" w:lineRule="auto"/>
        <w:rPr>
          <w:sz w:val="20"/>
          <w:szCs w:val="20"/>
          <w:color w:val="auto"/>
        </w:rPr>
      </w:pPr>
      <w:r>
        <w:rPr>
          <w:rFonts w:ascii="Courier New" w:cs="Courier New" w:eastAsia="Courier New" w:hAnsi="Courier New"/>
          <w:sz w:val="16"/>
          <w:szCs w:val="16"/>
          <w:color w:val="auto"/>
        </w:rPr>
        <w:t>Don J. Simplot serves as a director of AiRSensors, Inc. The company provides alternative fuels conversion equipment for automotive applications.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16(a) Compliance</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Section 16(a) of the Securities and Exchange Act of 1934 requires the Company's directors and executive officers, and persons who own beneficially more than ten percent (10%) of the Common Stock of the Company, to file reports of ownership and changes of ownership with the Securities and Exchange Commission and the New York Stock Exchange. Copies of all filed reports are required to be furnished to the Company pursuant to Section 16(a). Based solely on the reports received by the Company and on written representations from reporting persons, the Company believes that the directors, executive officers, and greater than ten percent (10%) beneficial owners complied with all applicable filing requirements during the fiscal year ended September 1, 1994, except for Gordon C. Smith, a director of the Company, who did not report timely on Form 4 one transaction which occurred during fiscal year 1994.</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91" w:lineRule="exact"/>
        <w:rPr>
          <w:sz w:val="20"/>
          <w:szCs w:val="20"/>
          <w:color w:val="auto"/>
        </w:rPr>
      </w:pPr>
    </w:p>
    <w:p>
      <w:pPr>
        <w:ind w:right="2759" w:firstLine="484"/>
        <w:spacing w:after="0" w:line="246" w:lineRule="auto"/>
        <w:rPr>
          <w:sz w:val="20"/>
          <w:szCs w:val="20"/>
          <w:color w:val="auto"/>
        </w:rPr>
      </w:pPr>
      <w:r>
        <w:rPr>
          <w:rFonts w:ascii="Courier New" w:cs="Courier New" w:eastAsia="Courier New" w:hAnsi="Courier New"/>
          <w:sz w:val="16"/>
          <w:szCs w:val="16"/>
          <w:color w:val="auto"/>
        </w:rPr>
        <w:t>On December 3, 1993, Micron Computer, Inc., a subsidiary of the Company, purchased a total of 30.21 acres of real property located adjacent to its existing plant site in Nampa, Idaho, from Jerry M. Hess, a director of the Company, in exchange for approximately 13 acres of land owned by Micron Computer, Inc., and a payment in the amount of $258,000. In January 1994, Micron Computer, Inc., acquired a two-year option to purchase an additional 40.283 acres from Mr. Hess at a price of $10,000 per acre. Mr. Hess was appointed to serve as a director of the Company in September 1994. The Company believes that the terms of the purchase and of the option agreement were as favorable as those they could have obtained from unaffiliated third parties.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Meetings and Committees</w:t>
      </w:r>
    </w:p>
    <w:p>
      <w:pPr>
        <w:spacing w:after="0" w:line="191"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The Board of Directors of the Company held a total of fourteen (14) meetings during the fiscal year ended September 1, 1994. The Board of Directors has formed an Executive Committee, an Audit Committee, and a Compensation Committee. A Nominating Committee of the Board of Directors has not been formed.</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The Executive Committee consists of directors Steven R. Appleton, Tyler A. Lowrey, Thomas T. Nicholson, and Don J. Simplot. The Executive Committee has been granted all of the powers and authority of the Board of Directors in the management of the Company's business in the ordinary course. The Executive Committee held no meetings during fiscal year 1994, due primarily to the frequency of meetings held by the entire Board.</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Audit Committee, consisting of directors Thomas T. Nicholson, Allen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20" w:type="dxa"/>
            <w:vAlign w:val="bottom"/>
          </w:tcPr>
          <w:p>
            <w:pPr>
              <w:spacing w:after="0"/>
              <w:rPr>
                <w:sz w:val="20"/>
                <w:szCs w:val="20"/>
                <w:color w:val="auto"/>
              </w:rPr>
            </w:pPr>
            <w:r>
              <w:rPr>
                <w:rFonts w:ascii="Courier New" w:cs="Courier New" w:eastAsia="Courier New" w:hAnsi="Courier New"/>
                <w:sz w:val="16"/>
                <w:szCs w:val="16"/>
                <w:color w:val="auto"/>
              </w:rPr>
              <w:t>T. Noble,</w:t>
            </w:r>
          </w:p>
        </w:tc>
        <w:tc>
          <w:tcPr>
            <w:tcW w:w="2520" w:type="dxa"/>
            <w:vAlign w:val="bottom"/>
          </w:tcPr>
          <w:p>
            <w:pPr>
              <w:ind w:left="40"/>
              <w:spacing w:after="0"/>
              <w:rPr>
                <w:sz w:val="20"/>
                <w:szCs w:val="20"/>
                <w:color w:val="auto"/>
              </w:rPr>
            </w:pPr>
            <w:r>
              <w:rPr>
                <w:rFonts w:ascii="Courier New" w:cs="Courier New" w:eastAsia="Courier New" w:hAnsi="Courier New"/>
                <w:sz w:val="16"/>
                <w:szCs w:val="16"/>
                <w:color w:val="auto"/>
              </w:rPr>
              <w:t>and Gordon C. Smith, held</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three (3)</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meetings during</w:t>
            </w:r>
          </w:p>
        </w:tc>
        <w:tc>
          <w:tcPr>
            <w:tcW w:w="1700" w:type="dxa"/>
            <w:vAlign w:val="bottom"/>
          </w:tcPr>
          <w:p>
            <w:pPr>
              <w:ind w:left="40"/>
              <w:spacing w:after="0"/>
              <w:rPr>
                <w:sz w:val="20"/>
                <w:szCs w:val="20"/>
                <w:color w:val="auto"/>
              </w:rPr>
            </w:pPr>
            <w:r>
              <w:rPr>
                <w:rFonts w:ascii="Courier New" w:cs="Courier New" w:eastAsia="Courier New" w:hAnsi="Courier New"/>
                <w:sz w:val="16"/>
                <w:szCs w:val="16"/>
                <w:color w:val="auto"/>
              </w:rPr>
              <w:t>fiscal year 1994.</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The Audit</w:t>
            </w:r>
          </w:p>
        </w:tc>
        <w:tc>
          <w:tcPr>
            <w:tcW w:w="674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Committee is primarily responsible for reviewing the services</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performed</w:t>
            </w:r>
          </w:p>
        </w:tc>
        <w:tc>
          <w:tcPr>
            <w:tcW w:w="34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by the Company's independent public</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accountants and</w:t>
            </w:r>
          </w:p>
        </w:tc>
        <w:tc>
          <w:tcPr>
            <w:tcW w:w="1700" w:type="dxa"/>
            <w:vAlign w:val="bottom"/>
          </w:tcPr>
          <w:p>
            <w:pPr>
              <w:ind w:left="40"/>
              <w:spacing w:after="0"/>
              <w:rPr>
                <w:sz w:val="20"/>
                <w:szCs w:val="20"/>
                <w:color w:val="auto"/>
              </w:rPr>
            </w:pPr>
            <w:r>
              <w:rPr>
                <w:rFonts w:ascii="Courier New" w:cs="Courier New" w:eastAsia="Courier New" w:hAnsi="Courier New"/>
                <w:sz w:val="16"/>
                <w:szCs w:val="16"/>
                <w:color w:val="auto"/>
              </w:rPr>
              <w:t>evaluating the</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Company's</w:t>
            </w:r>
          </w:p>
        </w:tc>
        <w:tc>
          <w:tcPr>
            <w:tcW w:w="2520" w:type="dxa"/>
            <w:vAlign w:val="bottom"/>
          </w:tcPr>
          <w:p>
            <w:pPr>
              <w:ind w:left="40"/>
              <w:spacing w:after="0"/>
              <w:rPr>
                <w:sz w:val="20"/>
                <w:szCs w:val="20"/>
                <w:color w:val="auto"/>
              </w:rPr>
            </w:pPr>
            <w:r>
              <w:rPr>
                <w:rFonts w:ascii="Courier New" w:cs="Courier New" w:eastAsia="Courier New" w:hAnsi="Courier New"/>
                <w:sz w:val="16"/>
                <w:szCs w:val="16"/>
                <w:color w:val="auto"/>
              </w:rPr>
              <w:t>accounting principles and</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system of</w:t>
            </w:r>
          </w:p>
        </w:tc>
        <w:tc>
          <w:tcPr>
            <w:tcW w:w="32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internal accounting controls.</w:t>
            </w:r>
          </w:p>
        </w:tc>
      </w:tr>
    </w:tbl>
    <w:p>
      <w:pPr>
        <w:spacing w:after="0" w:line="190" w:lineRule="exact"/>
        <w:rPr>
          <w:sz w:val="20"/>
          <w:szCs w:val="20"/>
          <w:color w:val="auto"/>
        </w:rPr>
      </w:pPr>
    </w:p>
    <w:p>
      <w:pPr>
        <w:ind w:right="3039" w:firstLine="484"/>
        <w:spacing w:after="0" w:line="247" w:lineRule="auto"/>
        <w:rPr>
          <w:sz w:val="20"/>
          <w:szCs w:val="20"/>
          <w:color w:val="auto"/>
        </w:rPr>
      </w:pPr>
      <w:r>
        <w:rPr>
          <w:rFonts w:ascii="Courier New" w:cs="Courier New" w:eastAsia="Courier New" w:hAnsi="Courier New"/>
          <w:sz w:val="16"/>
          <w:szCs w:val="16"/>
          <w:color w:val="auto"/>
        </w:rPr>
        <w:t>The Compensation Committee consists of directors Robert A. Lothrop, Thomas T. Nicholson, Allen T. Noble, and John R. Simplot. The Compensation Committee held one (1) meeting during fiscal year 1994. The</w:t>
      </w:r>
    </w:p>
    <w:p>
      <w:pPr>
        <w:sectPr>
          <w:pgSz w:w="11900" w:h="16838" w:orient="portrait"/>
          <w:cols w:equalWidth="0" w:num="1">
            <w:col w:w="10219"/>
          </w:cols>
          <w:pgMar w:left="240" w:top="489" w:right="1440" w:bottom="1440" w:gutter="0" w:footer="0" w:header="0"/>
        </w:sectPr>
      </w:pPr>
    </w:p>
    <w:bookmarkStart w:id="7" w:name="page8"/>
    <w:bookmarkEnd w:id="7"/>
    <w:p>
      <w:pPr>
        <w:ind w:right="2559"/>
        <w:spacing w:after="0" w:line="247" w:lineRule="auto"/>
        <w:rPr>
          <w:sz w:val="20"/>
          <w:szCs w:val="20"/>
          <w:color w:val="auto"/>
        </w:rPr>
      </w:pPr>
      <w:r>
        <w:rPr>
          <w:rFonts w:ascii="Courier New" w:cs="Courier New" w:eastAsia="Courier New" w:hAnsi="Courier New"/>
          <w:sz w:val="16"/>
          <w:szCs w:val="16"/>
          <w:color w:val="auto"/>
        </w:rPr>
        <w:t>Compensation Committee is primarily responsible for reviewing and approving the compensation for the Company's officers. (See "Compensation Committee Interlocks and Insider Participation" on page __.)</w:t>
      </w:r>
    </w:p>
    <w:p>
      <w:pPr>
        <w:spacing w:after="0" w:line="186"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During fiscal year 1994, all directors attended 75% or more of the total number of meetings of the Board of Directors and of the total number of meetings of all committees of the Board on which they served.</w:t>
      </w:r>
    </w:p>
    <w:p>
      <w:pPr>
        <w:sectPr>
          <w:pgSz w:w="11900" w:h="16838" w:orient="portrait"/>
          <w:cols w:equalWidth="0" w:num="1">
            <w:col w:w="10219"/>
          </w:cols>
          <w:pgMar w:left="240" w:top="676" w:right="1440" w:bottom="1440" w:gutter="0" w:footer="0" w:header="0"/>
        </w:sectPr>
      </w:pPr>
    </w:p>
    <w:bookmarkStart w:id="8" w:name="page9"/>
    <w:bookmarkEnd w:id="8"/>
    <w:p>
      <w:pPr>
        <w:jc w:val="center"/>
        <w:ind w:right="3279"/>
        <w:spacing w:after="0"/>
        <w:rPr>
          <w:sz w:val="20"/>
          <w:szCs w:val="20"/>
          <w:color w:val="auto"/>
        </w:rPr>
      </w:pPr>
      <w:r>
        <w:rPr>
          <w:rFonts w:ascii="Courier New" w:cs="Courier New" w:eastAsia="Courier New" w:hAnsi="Courier New"/>
          <w:sz w:val="16"/>
          <w:szCs w:val="16"/>
          <w:color w:val="auto"/>
        </w:rPr>
        <w:t>COMPENSATION OF DIRECTORS AND EXECUTIVE OFFICERS</w:t>
      </w:r>
    </w:p>
    <w:p>
      <w:pPr>
        <w:spacing w:after="0" w:line="191" w:lineRule="exact"/>
        <w:rPr>
          <w:sz w:val="20"/>
          <w:szCs w:val="20"/>
          <w:color w:val="auto"/>
        </w:rPr>
      </w:pPr>
    </w:p>
    <w:p>
      <w:pPr>
        <w:ind w:left="1" w:right="3380" w:firstLine="484"/>
        <w:spacing w:after="0" w:line="247" w:lineRule="auto"/>
        <w:rPr>
          <w:sz w:val="20"/>
          <w:szCs w:val="20"/>
          <w:color w:val="auto"/>
        </w:rPr>
      </w:pPr>
      <w:r>
        <w:rPr>
          <w:rFonts w:ascii="Courier New" w:cs="Courier New" w:eastAsia="Courier New" w:hAnsi="Courier New"/>
          <w:sz w:val="16"/>
          <w:szCs w:val="16"/>
          <w:color w:val="auto"/>
        </w:rPr>
        <w:t>The following table shows all compensation paid to the Company's Chief Executive Officer and the Company's other four most highly compensated executive officers who were serving as executive officers at the end of fiscal year 1994 (the "Named Executive Officers") for all services rendered to the Company and its subsidiaries for each of the last three completed fiscal years:</w:t>
      </w:r>
    </w:p>
    <w:p>
      <w:pPr>
        <w:spacing w:after="0" w:line="18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160" w:type="dxa"/>
            <w:vAlign w:val="bottom"/>
            <w:gridSpan w:val="3"/>
          </w:tcPr>
          <w:p>
            <w:pPr>
              <w:jc w:val="right"/>
              <w:ind w:right="1239"/>
              <w:spacing w:after="0"/>
              <w:rPr>
                <w:sz w:val="20"/>
                <w:szCs w:val="20"/>
                <w:color w:val="auto"/>
              </w:rPr>
            </w:pPr>
            <w:r>
              <w:rPr>
                <w:rFonts w:ascii="Courier New" w:cs="Courier New" w:eastAsia="Courier New" w:hAnsi="Courier New"/>
                <w:sz w:val="16"/>
                <w:szCs w:val="16"/>
                <w:color w:val="auto"/>
              </w:rPr>
              <w:t>SUMMARY COMPENSATION TABLE</w:t>
            </w:r>
          </w:p>
        </w:tc>
        <w:tc>
          <w:tcPr>
            <w:tcW w:w="16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559"/>
        </w:trPr>
        <w:tc>
          <w:tcPr>
            <w:tcW w:w="3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40" w:type="dxa"/>
            <w:vAlign w:val="bottom"/>
          </w:tcPr>
          <w:p>
            <w:pPr>
              <w:ind w:left="240"/>
              <w:spacing w:after="0"/>
              <w:rPr>
                <w:sz w:val="20"/>
                <w:szCs w:val="20"/>
                <w:color w:val="auto"/>
              </w:rPr>
            </w:pPr>
            <w:r>
              <w:rPr>
                <w:rFonts w:ascii="Courier New" w:cs="Courier New" w:eastAsia="Courier New" w:hAnsi="Courier New"/>
                <w:sz w:val="16"/>
                <w:szCs w:val="16"/>
                <w:color w:val="auto"/>
              </w:rPr>
              <w:t>Long-term</w:t>
            </w:r>
          </w:p>
        </w:tc>
        <w:tc>
          <w:tcPr>
            <w:tcW w:w="1500" w:type="dxa"/>
            <w:vAlign w:val="bottom"/>
          </w:tcPr>
          <w:p>
            <w:pPr>
              <w:spacing w:after="0"/>
              <w:rPr>
                <w:sz w:val="24"/>
                <w:szCs w:val="24"/>
                <w:color w:val="auto"/>
              </w:rPr>
            </w:pPr>
          </w:p>
        </w:tc>
      </w:tr>
      <w:tr>
        <w:trPr>
          <w:trHeight w:val="186"/>
        </w:trPr>
        <w:tc>
          <w:tcPr>
            <w:tcW w:w="3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Annual Compensation</w:t>
            </w:r>
          </w:p>
        </w:tc>
        <w:tc>
          <w:tcPr>
            <w:tcW w:w="16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Compensation</w:t>
            </w:r>
          </w:p>
        </w:tc>
        <w:tc>
          <w:tcPr>
            <w:tcW w:w="1500" w:type="dxa"/>
            <w:vAlign w:val="bottom"/>
          </w:tcPr>
          <w:p>
            <w:pPr>
              <w:spacing w:after="0"/>
              <w:rPr>
                <w:sz w:val="16"/>
                <w:szCs w:val="16"/>
                <w:color w:val="auto"/>
              </w:rPr>
            </w:pPr>
          </w:p>
        </w:tc>
      </w:tr>
      <w:tr>
        <w:trPr>
          <w:trHeight w:val="186"/>
        </w:trPr>
        <w:tc>
          <w:tcPr>
            <w:tcW w:w="3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160" w:type="dxa"/>
            <w:vAlign w:val="bottom"/>
            <w:gridSpan w:val="3"/>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All Other</w:t>
            </w:r>
          </w:p>
        </w:tc>
      </w:tr>
      <w:tr>
        <w:trPr>
          <w:trHeight w:val="186"/>
        </w:trPr>
        <w:tc>
          <w:tcPr>
            <w:tcW w:w="3000" w:type="dxa"/>
            <w:vAlign w:val="bottom"/>
          </w:tcPr>
          <w:p>
            <w:pPr>
              <w:spacing w:after="0"/>
              <w:rPr>
                <w:sz w:val="16"/>
                <w:szCs w:val="16"/>
                <w:color w:val="auto"/>
              </w:rPr>
            </w:pP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Fiscal</w:t>
            </w:r>
          </w:p>
        </w:tc>
        <w:tc>
          <w:tcPr>
            <w:tcW w:w="1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Other Annual</w:t>
            </w:r>
          </w:p>
        </w:tc>
        <w:tc>
          <w:tcPr>
            <w:tcW w:w="16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Options/SARs</w:t>
            </w:r>
          </w:p>
        </w:tc>
        <w:tc>
          <w:tcPr>
            <w:tcW w:w="15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Compensation</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Name and Principal Position(1)</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Salary(2)</w:t>
            </w:r>
          </w:p>
        </w:tc>
        <w:tc>
          <w:tcPr>
            <w:tcW w:w="1560" w:type="dxa"/>
            <w:vAlign w:val="bottom"/>
          </w:tcPr>
          <w:p>
            <w:pPr>
              <w:ind w:left="100"/>
              <w:spacing w:after="0"/>
              <w:rPr>
                <w:sz w:val="20"/>
                <w:szCs w:val="20"/>
                <w:color w:val="auto"/>
              </w:rPr>
            </w:pPr>
            <w:r>
              <w:rPr>
                <w:rFonts w:ascii="Courier New" w:cs="Courier New" w:eastAsia="Courier New" w:hAnsi="Courier New"/>
                <w:sz w:val="16"/>
                <w:szCs w:val="16"/>
                <w:color w:val="auto"/>
              </w:rPr>
              <w:t>Bonus(3)(4)(5)</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Compensation</w:t>
            </w:r>
          </w:p>
        </w:tc>
        <w:tc>
          <w:tcPr>
            <w:tcW w:w="1640" w:type="dxa"/>
            <w:vAlign w:val="bottom"/>
          </w:tcPr>
          <w:p>
            <w:pPr>
              <w:ind w:left="40"/>
              <w:spacing w:after="0"/>
              <w:rPr>
                <w:sz w:val="20"/>
                <w:szCs w:val="20"/>
                <w:color w:val="auto"/>
              </w:rPr>
            </w:pPr>
            <w:r>
              <w:rPr>
                <w:rFonts w:ascii="Courier New" w:cs="Courier New" w:eastAsia="Courier New" w:hAnsi="Courier New"/>
                <w:sz w:val="16"/>
                <w:szCs w:val="16"/>
                <w:color w:val="auto"/>
              </w:rPr>
              <w:t>Granted(#)(6)(7)</w:t>
            </w:r>
          </w:p>
        </w:tc>
        <w:tc>
          <w:tcPr>
            <w:tcW w:w="150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(8)</w:t>
            </w:r>
          </w:p>
        </w:tc>
      </w:tr>
      <w:tr>
        <w:trPr>
          <w:trHeight w:val="186"/>
        </w:trPr>
        <w:tc>
          <w:tcPr>
            <w:tcW w:w="7900" w:type="dxa"/>
            <w:vAlign w:val="bottom"/>
            <w:gridSpan w:val="5"/>
          </w:tcPr>
          <w:p>
            <w:pPr>
              <w:spacing w:after="0"/>
              <w:rPr>
                <w:sz w:val="20"/>
                <w:szCs w:val="20"/>
                <w:color w:val="auto"/>
              </w:rPr>
            </w:pPr>
            <w:r>
              <w:rPr>
                <w:rFonts w:ascii="Courier New" w:cs="Courier New" w:eastAsia="Courier New" w:hAnsi="Courier New"/>
                <w:sz w:val="16"/>
                <w:szCs w:val="16"/>
                <w:color w:val="auto"/>
              </w:rPr>
              <w:t>- ------------------------------  ------  ---------  --------------  ------------</w:t>
            </w:r>
          </w:p>
        </w:tc>
        <w:tc>
          <w:tcPr>
            <w:tcW w:w="314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9"/>
              </w:rPr>
              <w:t>---------------- -------------</w:t>
            </w:r>
          </w:p>
        </w:tc>
      </w:tr>
      <w:tr>
        <w:trPr>
          <w:trHeight w:val="373"/>
        </w:trPr>
        <w:tc>
          <w:tcPr>
            <w:tcW w:w="3000" w:type="dxa"/>
            <w:vAlign w:val="bottom"/>
          </w:tcPr>
          <w:p>
            <w:pPr>
              <w:spacing w:after="0"/>
              <w:rPr>
                <w:sz w:val="20"/>
                <w:szCs w:val="20"/>
                <w:color w:val="auto"/>
              </w:rPr>
            </w:pPr>
            <w:r>
              <w:rPr>
                <w:rFonts w:ascii="Courier New" w:cs="Courier New" w:eastAsia="Courier New" w:hAnsi="Courier New"/>
                <w:sz w:val="16"/>
                <w:szCs w:val="16"/>
                <w:color w:val="auto"/>
              </w:rPr>
              <w:t>Joseph L. Parkinson</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$679,722</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$701,534</w:t>
            </w:r>
          </w:p>
        </w:tc>
        <w:tc>
          <w:tcPr>
            <w:tcW w:w="15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$6,217</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Micron Technology, Inc.</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1993</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331,731</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499,178</w:t>
            </w:r>
          </w:p>
        </w:tc>
        <w:tc>
          <w:tcPr>
            <w:tcW w:w="15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5,192</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Chairman, CEO</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1992</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250,000</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745,682</w:t>
            </w:r>
          </w:p>
        </w:tc>
        <w:tc>
          <w:tcPr>
            <w:tcW w:w="15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37,500</w:t>
            </w:r>
          </w:p>
        </w:tc>
        <w:tc>
          <w:tcPr>
            <w:tcW w:w="15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4,827</w:t>
            </w:r>
          </w:p>
        </w:tc>
      </w:tr>
      <w:tr>
        <w:trPr>
          <w:trHeight w:val="373"/>
        </w:trPr>
        <w:tc>
          <w:tcPr>
            <w:tcW w:w="3000" w:type="dxa"/>
            <w:vAlign w:val="bottom"/>
          </w:tcPr>
          <w:p>
            <w:pPr>
              <w:spacing w:after="0"/>
              <w:rPr>
                <w:sz w:val="20"/>
                <w:szCs w:val="20"/>
                <w:color w:val="auto"/>
              </w:rPr>
            </w:pPr>
            <w:r>
              <w:rPr>
                <w:rFonts w:ascii="Courier New" w:cs="Courier New" w:eastAsia="Courier New" w:hAnsi="Courier New"/>
                <w:sz w:val="16"/>
                <w:szCs w:val="16"/>
                <w:color w:val="auto"/>
              </w:rPr>
              <w:t>James W. Garrett</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534,529</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611,403</w:t>
            </w:r>
          </w:p>
        </w:tc>
        <w:tc>
          <w:tcPr>
            <w:tcW w:w="15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4,717</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Micron Technology, Inc.</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1993</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265,385</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391,041</w:t>
            </w:r>
          </w:p>
        </w:tc>
        <w:tc>
          <w:tcPr>
            <w:tcW w:w="15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62,500</w:t>
            </w:r>
          </w:p>
        </w:tc>
        <w:tc>
          <w:tcPr>
            <w:tcW w:w="15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4,154</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President, COO</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1992</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200,000</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433,626</w:t>
            </w:r>
          </w:p>
        </w:tc>
        <w:tc>
          <w:tcPr>
            <w:tcW w:w="15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37,500</w:t>
            </w:r>
          </w:p>
        </w:tc>
        <w:tc>
          <w:tcPr>
            <w:tcW w:w="15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3,862</w:t>
            </w:r>
          </w:p>
        </w:tc>
      </w:tr>
      <w:tr>
        <w:trPr>
          <w:trHeight w:val="373"/>
        </w:trPr>
        <w:tc>
          <w:tcPr>
            <w:tcW w:w="3000" w:type="dxa"/>
            <w:vAlign w:val="bottom"/>
          </w:tcPr>
          <w:p>
            <w:pPr>
              <w:spacing w:after="0"/>
              <w:rPr>
                <w:sz w:val="20"/>
                <w:szCs w:val="20"/>
                <w:color w:val="auto"/>
              </w:rPr>
            </w:pPr>
            <w:r>
              <w:rPr>
                <w:rFonts w:ascii="Courier New" w:cs="Courier New" w:eastAsia="Courier New" w:hAnsi="Courier New"/>
                <w:sz w:val="16"/>
                <w:szCs w:val="16"/>
                <w:color w:val="auto"/>
              </w:rPr>
              <w:t>Steven R. Appleton</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436,624</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641,926</w:t>
            </w:r>
          </w:p>
        </w:tc>
        <w:tc>
          <w:tcPr>
            <w:tcW w:w="15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50,000</w:t>
            </w:r>
          </w:p>
        </w:tc>
        <w:tc>
          <w:tcPr>
            <w:tcW w:w="15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4,717</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Micron Semiconductor, Inc.</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1993</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232,692</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168,736</w:t>
            </w:r>
          </w:p>
        </w:tc>
        <w:tc>
          <w:tcPr>
            <w:tcW w:w="15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62,510(9)</w:t>
            </w:r>
          </w:p>
        </w:tc>
        <w:tc>
          <w:tcPr>
            <w:tcW w:w="15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4,154</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Chairman, CEO, President</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1992</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200,000</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39,119</w:t>
            </w:r>
          </w:p>
        </w:tc>
        <w:tc>
          <w:tcPr>
            <w:tcW w:w="15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162,500</w:t>
            </w:r>
          </w:p>
        </w:tc>
        <w:tc>
          <w:tcPr>
            <w:tcW w:w="15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3,279</w:t>
            </w:r>
          </w:p>
        </w:tc>
      </w:tr>
      <w:tr>
        <w:trPr>
          <w:trHeight w:val="373"/>
        </w:trPr>
        <w:tc>
          <w:tcPr>
            <w:tcW w:w="3000" w:type="dxa"/>
            <w:vAlign w:val="bottom"/>
          </w:tcPr>
          <w:p>
            <w:pPr>
              <w:spacing w:after="0"/>
              <w:rPr>
                <w:sz w:val="20"/>
                <w:szCs w:val="20"/>
                <w:color w:val="auto"/>
              </w:rPr>
            </w:pPr>
            <w:r>
              <w:rPr>
                <w:rFonts w:ascii="Courier New" w:cs="Courier New" w:eastAsia="Courier New" w:hAnsi="Courier New"/>
                <w:sz w:val="16"/>
                <w:szCs w:val="16"/>
                <w:color w:val="auto"/>
              </w:rPr>
              <w:t>Tyler A. Lowrey</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436,624</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613,818</w:t>
            </w:r>
          </w:p>
        </w:tc>
        <w:tc>
          <w:tcPr>
            <w:tcW w:w="15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50,000</w:t>
            </w:r>
          </w:p>
        </w:tc>
        <w:tc>
          <w:tcPr>
            <w:tcW w:w="15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4,717</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Micron Semiconductor, Inc.</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1993</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232,692</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303,907</w:t>
            </w:r>
          </w:p>
        </w:tc>
        <w:tc>
          <w:tcPr>
            <w:tcW w:w="15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62,510(9)</w:t>
            </w:r>
          </w:p>
        </w:tc>
        <w:tc>
          <w:tcPr>
            <w:tcW w:w="15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4,154</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Vice President,</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1992</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200,000</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230,912</w:t>
            </w:r>
          </w:p>
        </w:tc>
        <w:tc>
          <w:tcPr>
            <w:tcW w:w="15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37,500</w:t>
            </w:r>
          </w:p>
        </w:tc>
        <w:tc>
          <w:tcPr>
            <w:tcW w:w="15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3,862</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Chief Technical Officer</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3"/>
        </w:trPr>
        <w:tc>
          <w:tcPr>
            <w:tcW w:w="3000" w:type="dxa"/>
            <w:vAlign w:val="bottom"/>
          </w:tcPr>
          <w:p>
            <w:pPr>
              <w:spacing w:after="0"/>
              <w:rPr>
                <w:sz w:val="20"/>
                <w:szCs w:val="20"/>
                <w:color w:val="auto"/>
              </w:rPr>
            </w:pPr>
            <w:r>
              <w:rPr>
                <w:rFonts w:ascii="Courier New" w:cs="Courier New" w:eastAsia="Courier New" w:hAnsi="Courier New"/>
                <w:sz w:val="16"/>
                <w:szCs w:val="16"/>
                <w:color w:val="auto"/>
              </w:rPr>
              <w:t>Reid N. Langrill</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340,216</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239,719</w:t>
            </w:r>
          </w:p>
        </w:tc>
        <w:tc>
          <w:tcPr>
            <w:tcW w:w="15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50,000</w:t>
            </w:r>
          </w:p>
        </w:tc>
        <w:tc>
          <w:tcPr>
            <w:tcW w:w="15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6,217</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Micron Technology, Inc.</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1993</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182,692</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104,196</w:t>
            </w:r>
          </w:p>
        </w:tc>
        <w:tc>
          <w:tcPr>
            <w:tcW w:w="15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62,500</w:t>
            </w:r>
          </w:p>
        </w:tc>
        <w:tc>
          <w:tcPr>
            <w:tcW w:w="15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3,115</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Vice President, Finance;</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1992</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150,000</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54,010</w:t>
            </w:r>
          </w:p>
        </w:tc>
        <w:tc>
          <w:tcPr>
            <w:tcW w:w="15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0</w:t>
            </w:r>
          </w:p>
        </w:tc>
        <w:tc>
          <w:tcPr>
            <w:tcW w:w="16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12,500</w:t>
            </w:r>
          </w:p>
        </w:tc>
        <w:tc>
          <w:tcPr>
            <w:tcW w:w="15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2,896</w:t>
            </w: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CFO; Treasurer</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spacing w:after="0" w:line="190" w:lineRule="exact"/>
        <w:rPr>
          <w:sz w:val="20"/>
          <w:szCs w:val="20"/>
          <w:color w:val="auto"/>
        </w:rPr>
      </w:pPr>
    </w:p>
    <w:p>
      <w:pPr>
        <w:ind w:left="481" w:right="3580" w:hanging="481"/>
        <w:spacing w:after="0" w:line="246" w:lineRule="auto"/>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Chief Executive Officer and four most highly compensated executive officers other than the Chief Executive Officer in their respective positions at the end of fiscal year 1994. Mr. Parkinson, Mr. Garrett, and Mr. Langrill resigned from their positions as officers and directors of the Company effective as of September 26, 1994. Effective upon their resignations, Steven R. Appleton was appointed to serve as the Company's Chairman, Chief Executive Officer, and President; Tyler A. Lowrey was appointed to serve as Vice Chairman and Chief Technical Officer; and Wilbur G. Stover, Jr. was appointed to serve as Vice President, Finance, and Chief Financial Officer of the Company.</w:t>
      </w:r>
    </w:p>
    <w:p>
      <w:pPr>
        <w:spacing w:after="0" w:line="5" w:lineRule="exact"/>
        <w:rPr>
          <w:rFonts w:ascii="Courier New" w:cs="Courier New" w:eastAsia="Courier New" w:hAnsi="Courier New"/>
          <w:sz w:val="16"/>
          <w:szCs w:val="16"/>
          <w:color w:val="auto"/>
        </w:rPr>
      </w:pPr>
    </w:p>
    <w:p>
      <w:pPr>
        <w:ind w:left="481" w:right="4160" w:hanging="481"/>
        <w:spacing w:after="0" w:line="246" w:lineRule="auto"/>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compensation deferred by the employee under the Company's qualified 401(K) retirement plan.</w:t>
      </w:r>
    </w:p>
    <w:p>
      <w:pPr>
        <w:spacing w:after="0" w:line="1" w:lineRule="exact"/>
        <w:rPr>
          <w:rFonts w:ascii="Courier New" w:cs="Courier New" w:eastAsia="Courier New" w:hAnsi="Courier New"/>
          <w:sz w:val="16"/>
          <w:szCs w:val="16"/>
          <w:color w:val="auto"/>
        </w:rPr>
      </w:pPr>
    </w:p>
    <w:p>
      <w:pPr>
        <w:ind w:left="481" w:right="3580" w:hanging="481"/>
        <w:spacing w:after="0" w:line="246" w:lineRule="auto"/>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executive bonuses paid during each fiscal year for financial performance goals relating to previous fiscal years. Executive bonuses are payable in equal installments over a five (5) year period. Annual payments are contingent upon the officer's continued employment with the Company or its subsidiaries and upon profitability of the employing company in the year of payment.</w:t>
      </w:r>
    </w:p>
    <w:p>
      <w:pPr>
        <w:spacing w:after="0" w:line="3" w:lineRule="exact"/>
        <w:rPr>
          <w:rFonts w:ascii="Courier New" w:cs="Courier New" w:eastAsia="Courier New" w:hAnsi="Courier New"/>
          <w:sz w:val="16"/>
          <w:szCs w:val="16"/>
          <w:color w:val="auto"/>
        </w:rPr>
      </w:pPr>
    </w:p>
    <w:p>
      <w:pPr>
        <w:ind w:left="481" w:right="3780" w:hanging="481"/>
        <w:spacing w:after="0" w:line="246" w:lineRule="auto"/>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bonus compensation paid for achievement of performance milestones, the filing and issuance of patents, and the publication of technical articles.</w:t>
      </w:r>
    </w:p>
    <w:p>
      <w:pPr>
        <w:spacing w:after="0" w:line="1" w:lineRule="exact"/>
        <w:rPr>
          <w:rFonts w:ascii="Courier New" w:cs="Courier New" w:eastAsia="Courier New" w:hAnsi="Courier New"/>
          <w:sz w:val="16"/>
          <w:szCs w:val="16"/>
          <w:color w:val="auto"/>
        </w:rPr>
      </w:pPr>
    </w:p>
    <w:p>
      <w:pPr>
        <w:ind w:left="481" w:right="3960" w:hanging="481"/>
        <w:spacing w:after="0" w:line="246" w:lineRule="auto"/>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cash paid under the Company's or its subsidiaries' time off plans and profit sharing plans.</w:t>
      </w:r>
    </w:p>
    <w:p>
      <w:pPr>
        <w:spacing w:after="0" w:line="1" w:lineRule="exact"/>
        <w:rPr>
          <w:rFonts w:ascii="Courier New" w:cs="Courier New" w:eastAsia="Courier New" w:hAnsi="Courier New"/>
          <w:sz w:val="16"/>
          <w:szCs w:val="16"/>
          <w:color w:val="auto"/>
        </w:rPr>
      </w:pPr>
    </w:p>
    <w:p>
      <w:pPr>
        <w:ind w:left="481" w:right="3680" w:hanging="481"/>
        <w:spacing w:after="0" w:line="246" w:lineRule="auto"/>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purchase shares of the Company's Common Stock under the Company's 1985 Incentive Stock Option Plan (the "ISO Plan").</w:t>
      </w:r>
    </w:p>
    <w:p>
      <w:pPr>
        <w:spacing w:after="0" w:line="1" w:lineRule="exact"/>
        <w:rPr>
          <w:rFonts w:ascii="Courier New" w:cs="Courier New" w:eastAsia="Courier New" w:hAnsi="Courier New"/>
          <w:sz w:val="16"/>
          <w:szCs w:val="16"/>
          <w:color w:val="auto"/>
        </w:rPr>
      </w:pPr>
    </w:p>
    <w:p>
      <w:pPr>
        <w:ind w:left="481" w:right="3580" w:hanging="481"/>
        <w:spacing w:after="0" w:line="246" w:lineRule="auto"/>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under the Company's ISO Plan reflect a 5-for-2 stock split of the Company's Common Stock outstanding, effected in the form of a stock dividend, as of April 1, 1994.</w:t>
      </w:r>
    </w:p>
    <w:p>
      <w:pPr>
        <w:spacing w:after="0" w:line="1" w:lineRule="exact"/>
        <w:rPr>
          <w:rFonts w:ascii="Courier New" w:cs="Courier New" w:eastAsia="Courier New" w:hAnsi="Courier New"/>
          <w:sz w:val="16"/>
          <w:szCs w:val="16"/>
          <w:color w:val="auto"/>
        </w:rPr>
      </w:pPr>
    </w:p>
    <w:p>
      <w:pPr>
        <w:ind w:left="481" w:right="3680" w:hanging="481"/>
        <w:spacing w:after="0" w:line="246" w:lineRule="auto"/>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Company contributions under its qualified 401(K) retirement plan.</w:t>
      </w:r>
    </w:p>
    <w:p>
      <w:pPr>
        <w:spacing w:after="0" w:line="1" w:lineRule="exact"/>
        <w:rPr>
          <w:rFonts w:ascii="Courier New" w:cs="Courier New" w:eastAsia="Courier New" w:hAnsi="Courier New"/>
          <w:sz w:val="16"/>
          <w:szCs w:val="16"/>
          <w:color w:val="auto"/>
        </w:rPr>
      </w:pPr>
    </w:p>
    <w:p>
      <w:pPr>
        <w:ind w:left="481" w:right="3480" w:hanging="481"/>
        <w:spacing w:after="0" w:line="246" w:lineRule="auto"/>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stock appreciation rights ("SARs") awarded to Micron Semiconductor, Inc. employees under the 1993 Micron Semiconductor, Inc., Stock Appreciation Rights Plan (the "SAR Plan"). Under the SAR Plan, each employee of Micron Semiconductor, Inc., as of January 22, 1993, was granted the right to participate in the book value appreciation of ten</w:t>
      </w:r>
    </w:p>
    <w:p>
      <w:pPr>
        <w:spacing w:after="0" w:line="2" w:lineRule="exact"/>
        <w:rPr>
          <w:rFonts w:ascii="Courier New" w:cs="Courier New" w:eastAsia="Courier New" w:hAnsi="Courier New"/>
          <w:sz w:val="16"/>
          <w:szCs w:val="16"/>
          <w:color w:val="auto"/>
        </w:rPr>
      </w:pPr>
    </w:p>
    <w:p>
      <w:pPr>
        <w:ind w:left="481" w:right="3480" w:firstLine="4"/>
        <w:spacing w:after="0" w:line="247" w:lineRule="auto"/>
        <w:tabs>
          <w:tab w:leader="none" w:pos="965"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Micron Semiconductor, Inc., common stock. As of September 1, 1994, the total number of shares subject to appreciation rights under the SAR Plan represented approximately 1.62% of the total outstanding shares of Micron Semiconductor, Inc., common stock. Effective November 4, 1994, Micron Semiconductor, Inc., was merged with and into Micron Technology, Inc., and the SAR Plan was canceled, resulting in the payment of the book value appreciation to all eligible employees as of that date.</w:t>
      </w:r>
    </w:p>
    <w:p>
      <w:pPr>
        <w:sectPr>
          <w:pgSz w:w="11900" w:h="16838" w:orient="portrait"/>
          <w:cols w:equalWidth="0" w:num="1">
            <w:col w:w="11041"/>
          </w:cols>
          <w:pgMar w:left="239" w:top="676" w:right="619" w:bottom="316" w:gutter="0" w:footer="0" w:header="0"/>
        </w:sectPr>
      </w:pPr>
    </w:p>
    <w:bookmarkStart w:id="9" w:name="page10"/>
    <w:bookmarkEnd w:id="9"/>
    <w:p>
      <w:pPr>
        <w:ind w:left="2141"/>
        <w:spacing w:after="0"/>
        <w:rPr>
          <w:sz w:val="20"/>
          <w:szCs w:val="20"/>
          <w:color w:val="auto"/>
        </w:rPr>
      </w:pPr>
      <w:r>
        <w:rPr>
          <w:rFonts w:ascii="Courier New" w:cs="Courier New" w:eastAsia="Courier New" w:hAnsi="Courier New"/>
          <w:sz w:val="16"/>
          <w:szCs w:val="16"/>
          <w:color w:val="auto"/>
        </w:rPr>
        <w:t>OPTION GRANTS IN LAST FISCAL YEAR</w:t>
      </w:r>
    </w:p>
    <w:p>
      <w:pPr>
        <w:spacing w:after="0" w:line="191" w:lineRule="exact"/>
        <w:rPr>
          <w:sz w:val="20"/>
          <w:szCs w:val="20"/>
          <w:color w:val="auto"/>
        </w:rPr>
      </w:pPr>
    </w:p>
    <w:p>
      <w:pPr>
        <w:ind w:left="1" w:right="580" w:firstLine="484"/>
        <w:spacing w:after="0" w:line="248" w:lineRule="auto"/>
        <w:rPr>
          <w:sz w:val="20"/>
          <w:szCs w:val="20"/>
          <w:color w:val="auto"/>
        </w:rPr>
      </w:pPr>
      <w:r>
        <w:rPr>
          <w:rFonts w:ascii="Courier New" w:cs="Courier New" w:eastAsia="Courier New" w:hAnsi="Courier New"/>
          <w:sz w:val="16"/>
          <w:szCs w:val="16"/>
          <w:color w:val="auto"/>
        </w:rPr>
        <w:t>The following table provides information on options granted in fiscal year 1994 to the Named Executive Officers:</w:t>
      </w:r>
    </w:p>
    <w:p>
      <w:pPr>
        <w:spacing w:after="0" w:line="371" w:lineRule="exact"/>
        <w:rPr>
          <w:sz w:val="20"/>
          <w:szCs w:val="20"/>
          <w:color w:val="auto"/>
        </w:rPr>
      </w:pPr>
    </w:p>
    <w:tbl>
      <w:tblPr>
        <w:tblLayout w:type="fixed"/>
        <w:tblInd w:w="781" w:type="dxa"/>
        <w:tblCellMar>
          <w:top w:w="0" w:type="dxa"/>
          <w:left w:w="0" w:type="dxa"/>
          <w:bottom w:w="0" w:type="dxa"/>
          <w:right w:w="0" w:type="dxa"/>
        </w:tblCellMar>
      </w:tblPr>
      <w:tr>
        <w:trPr>
          <w:trHeight w:val="183"/>
        </w:trPr>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24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Individual Grants</w:t>
            </w:r>
          </w:p>
        </w:tc>
        <w:tc>
          <w:tcPr>
            <w:tcW w:w="980" w:type="dxa"/>
            <w:vAlign w:val="bottom"/>
          </w:tcPr>
          <w:p>
            <w:pPr>
              <w:spacing w:after="0"/>
              <w:rPr>
                <w:sz w:val="15"/>
                <w:szCs w:val="15"/>
                <w:color w:val="auto"/>
              </w:rPr>
            </w:pPr>
          </w:p>
        </w:tc>
      </w:tr>
      <w:tr>
        <w:trPr>
          <w:trHeight w:val="186"/>
        </w:trPr>
        <w:tc>
          <w:tcPr>
            <w:tcW w:w="1060" w:type="dxa"/>
            <w:vAlign w:val="bottom"/>
          </w:tcPr>
          <w:p>
            <w:pPr>
              <w:spacing w:after="0"/>
              <w:rPr>
                <w:sz w:val="16"/>
                <w:szCs w:val="16"/>
                <w:color w:val="auto"/>
              </w:rPr>
            </w:pPr>
          </w:p>
        </w:tc>
        <w:tc>
          <w:tcPr>
            <w:tcW w:w="5820" w:type="dxa"/>
            <w:vAlign w:val="bottom"/>
            <w:gridSpan w:val="5"/>
          </w:tcPr>
          <w:p>
            <w:pPr>
              <w:ind w:left="680"/>
              <w:spacing w:after="0"/>
              <w:rPr>
                <w:sz w:val="20"/>
                <w:szCs w:val="20"/>
                <w:color w:val="auto"/>
              </w:rPr>
            </w:pPr>
            <w:r>
              <w:rPr>
                <w:rFonts w:ascii="Courier New" w:cs="Courier New" w:eastAsia="Courier New" w:hAnsi="Courier New"/>
                <w:sz w:val="16"/>
                <w:szCs w:val="16"/>
                <w:color w:val="auto"/>
              </w:rPr>
              <w:t>-----------------------------------------------------</w:t>
            </w:r>
          </w:p>
        </w:tc>
      </w:tr>
      <w:tr>
        <w:trPr>
          <w:trHeight w:val="186"/>
        </w:trPr>
        <w:tc>
          <w:tcPr>
            <w:tcW w:w="10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Percent of</w:t>
            </w:r>
          </w:p>
        </w:tc>
        <w:tc>
          <w:tcPr>
            <w:tcW w:w="880" w:type="dxa"/>
            <w:vAlign w:val="bottom"/>
          </w:tcPr>
          <w:p>
            <w:pPr>
              <w:spacing w:after="0"/>
              <w:rPr>
                <w:sz w:val="16"/>
                <w:szCs w:val="16"/>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w w:val="98"/>
              </w:rPr>
              <w:t>Fair Market</w:t>
            </w:r>
          </w:p>
        </w:tc>
        <w:tc>
          <w:tcPr>
            <w:tcW w:w="980" w:type="dxa"/>
            <w:vAlign w:val="bottom"/>
          </w:tcPr>
          <w:p>
            <w:pPr>
              <w:spacing w:after="0"/>
              <w:rPr>
                <w:sz w:val="16"/>
                <w:szCs w:val="16"/>
                <w:color w:val="auto"/>
              </w:rPr>
            </w:pPr>
          </w:p>
        </w:tc>
      </w:tr>
      <w:tr>
        <w:trPr>
          <w:trHeight w:val="186"/>
        </w:trPr>
        <w:tc>
          <w:tcPr>
            <w:tcW w:w="10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Total</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Exercise</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Value of</w:t>
            </w:r>
          </w:p>
        </w:tc>
        <w:tc>
          <w:tcPr>
            <w:tcW w:w="980" w:type="dxa"/>
            <w:vAlign w:val="bottom"/>
          </w:tcPr>
          <w:p>
            <w:pPr>
              <w:spacing w:after="0"/>
              <w:rPr>
                <w:sz w:val="16"/>
                <w:szCs w:val="16"/>
                <w:color w:val="auto"/>
              </w:rPr>
            </w:pPr>
          </w:p>
        </w:tc>
      </w:tr>
      <w:tr>
        <w:trPr>
          <w:trHeight w:val="186"/>
        </w:trPr>
        <w:tc>
          <w:tcPr>
            <w:tcW w:w="10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Options</w:t>
            </w:r>
          </w:p>
        </w:tc>
        <w:tc>
          <w:tcPr>
            <w:tcW w:w="88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or Base</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Common</w:t>
            </w:r>
          </w:p>
        </w:tc>
        <w:tc>
          <w:tcPr>
            <w:tcW w:w="980" w:type="dxa"/>
            <w:vAlign w:val="bottom"/>
          </w:tcPr>
          <w:p>
            <w:pPr>
              <w:spacing w:after="0"/>
              <w:rPr>
                <w:sz w:val="16"/>
                <w:szCs w:val="16"/>
                <w:color w:val="auto"/>
              </w:rPr>
            </w:pPr>
          </w:p>
        </w:tc>
      </w:tr>
      <w:tr>
        <w:trPr>
          <w:trHeight w:val="186"/>
        </w:trPr>
        <w:tc>
          <w:tcPr>
            <w:tcW w:w="1060" w:type="dxa"/>
            <w:vAlign w:val="bottom"/>
          </w:tcPr>
          <w:p>
            <w:pPr>
              <w:spacing w:after="0"/>
              <w:rPr>
                <w:sz w:val="16"/>
                <w:szCs w:val="16"/>
                <w:color w:val="auto"/>
              </w:rPr>
            </w:pPr>
          </w:p>
        </w:tc>
        <w:tc>
          <w:tcPr>
            <w:tcW w:w="1600" w:type="dxa"/>
            <w:vAlign w:val="bottom"/>
          </w:tcPr>
          <w:p>
            <w:pPr>
              <w:ind w:left="780"/>
              <w:spacing w:after="0"/>
              <w:rPr>
                <w:sz w:val="20"/>
                <w:szCs w:val="20"/>
                <w:color w:val="auto"/>
              </w:rPr>
            </w:pPr>
            <w:r>
              <w:rPr>
                <w:rFonts w:ascii="Courier New" w:cs="Courier New" w:eastAsia="Courier New" w:hAnsi="Courier New"/>
                <w:sz w:val="16"/>
                <w:szCs w:val="16"/>
                <w:color w:val="auto"/>
              </w:rPr>
              <w:t>Options</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Granted to</w:t>
            </w:r>
          </w:p>
        </w:tc>
        <w:tc>
          <w:tcPr>
            <w:tcW w:w="880" w:type="dxa"/>
            <w:vAlign w:val="bottom"/>
          </w:tcPr>
          <w:p>
            <w:pPr>
              <w:jc w:val="center"/>
              <w:ind w:right="39"/>
              <w:spacing w:after="0"/>
              <w:rPr>
                <w:sz w:val="20"/>
                <w:szCs w:val="20"/>
                <w:color w:val="auto"/>
              </w:rPr>
            </w:pPr>
            <w:r>
              <w:rPr>
                <w:rFonts w:ascii="Courier New" w:cs="Courier New" w:eastAsia="Courier New" w:hAnsi="Courier New"/>
                <w:sz w:val="16"/>
                <w:szCs w:val="16"/>
                <w:color w:val="auto"/>
                <w:w w:val="99"/>
              </w:rPr>
              <w:t>Price</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Stock on</w:t>
            </w:r>
          </w:p>
        </w:tc>
        <w:tc>
          <w:tcPr>
            <w:tcW w:w="980" w:type="dxa"/>
            <w:vAlign w:val="bottom"/>
          </w:tcPr>
          <w:p>
            <w:pPr>
              <w:spacing w:after="0"/>
              <w:rPr>
                <w:sz w:val="16"/>
                <w:szCs w:val="16"/>
                <w:color w:val="auto"/>
              </w:rPr>
            </w:pPr>
          </w:p>
        </w:tc>
      </w:tr>
      <w:tr>
        <w:trPr>
          <w:trHeight w:val="186"/>
        </w:trPr>
        <w:tc>
          <w:tcPr>
            <w:tcW w:w="1060" w:type="dxa"/>
            <w:vAlign w:val="bottom"/>
          </w:tcPr>
          <w:p>
            <w:pPr>
              <w:spacing w:after="0"/>
              <w:rPr>
                <w:sz w:val="16"/>
                <w:szCs w:val="16"/>
                <w:color w:val="auto"/>
              </w:rPr>
            </w:pPr>
          </w:p>
        </w:tc>
        <w:tc>
          <w:tcPr>
            <w:tcW w:w="1600" w:type="dxa"/>
            <w:vAlign w:val="bottom"/>
          </w:tcPr>
          <w:p>
            <w:pPr>
              <w:ind w:left="780"/>
              <w:spacing w:after="0"/>
              <w:rPr>
                <w:sz w:val="20"/>
                <w:szCs w:val="20"/>
                <w:color w:val="auto"/>
              </w:rPr>
            </w:pPr>
            <w:r>
              <w:rPr>
                <w:rFonts w:ascii="Courier New" w:cs="Courier New" w:eastAsia="Courier New" w:hAnsi="Courier New"/>
                <w:sz w:val="16"/>
                <w:szCs w:val="16"/>
                <w:color w:val="auto"/>
              </w:rPr>
              <w:t>Granted</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Employees in</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Per</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Date of</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Expiration</w:t>
            </w:r>
          </w:p>
        </w:tc>
      </w:tr>
      <w:tr>
        <w:trPr>
          <w:trHeight w:val="186"/>
        </w:trPr>
        <w:tc>
          <w:tcPr>
            <w:tcW w:w="10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600" w:type="dxa"/>
            <w:vAlign w:val="bottom"/>
          </w:tcPr>
          <w:p>
            <w:pPr>
              <w:ind w:left="680"/>
              <w:spacing w:after="0"/>
              <w:rPr>
                <w:sz w:val="20"/>
                <w:szCs w:val="20"/>
                <w:color w:val="auto"/>
              </w:rPr>
            </w:pPr>
            <w:r>
              <w:rPr>
                <w:rFonts w:ascii="Courier New" w:cs="Courier New" w:eastAsia="Courier New" w:hAnsi="Courier New"/>
                <w:sz w:val="16"/>
                <w:szCs w:val="16"/>
                <w:color w:val="auto"/>
              </w:rPr>
              <w:t>(#)(1)(2)</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Fiscal Year</w:t>
            </w:r>
          </w:p>
        </w:tc>
        <w:tc>
          <w:tcPr>
            <w:tcW w:w="880" w:type="dxa"/>
            <w:vAlign w:val="bottom"/>
          </w:tcPr>
          <w:p>
            <w:pPr>
              <w:jc w:val="center"/>
              <w:ind w:right="39"/>
              <w:spacing w:after="0"/>
              <w:rPr>
                <w:sz w:val="20"/>
                <w:szCs w:val="20"/>
                <w:color w:val="auto"/>
              </w:rPr>
            </w:pPr>
            <w:r>
              <w:rPr>
                <w:rFonts w:ascii="Courier New" w:cs="Courier New" w:eastAsia="Courier New" w:hAnsi="Courier New"/>
                <w:sz w:val="16"/>
                <w:szCs w:val="16"/>
                <w:color w:val="auto"/>
                <w:w w:val="99"/>
              </w:rPr>
              <w:t>Share</w:t>
            </w: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Grant</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w w:val="98"/>
              </w:rPr>
              <w:t>Date</w:t>
            </w:r>
          </w:p>
        </w:tc>
      </w:tr>
    </w:tbl>
    <w:p>
      <w:pPr>
        <w:spacing w:after="0" w:line="4" w:lineRule="exact"/>
        <w:rPr>
          <w:sz w:val="20"/>
          <w:szCs w:val="20"/>
          <w:color w:val="auto"/>
        </w:rPr>
      </w:pPr>
    </w:p>
    <w:p>
      <w:pPr>
        <w:ind w:left="2521" w:hanging="1745"/>
        <w:spacing w:after="0"/>
        <w:tabs>
          <w:tab w:leader="none" w:pos="25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420" w:type="dxa"/>
            <w:vAlign w:val="bottom"/>
          </w:tcPr>
          <w:p>
            <w:pPr>
              <w:spacing w:after="0"/>
              <w:rPr>
                <w:sz w:val="20"/>
                <w:szCs w:val="20"/>
                <w:color w:val="auto"/>
              </w:rPr>
            </w:pPr>
            <w:r>
              <w:rPr>
                <w:rFonts w:ascii="Courier New" w:cs="Courier New" w:eastAsia="Courier New" w:hAnsi="Courier New"/>
                <w:sz w:val="16"/>
                <w:szCs w:val="16"/>
                <w:color w:val="auto"/>
              </w:rPr>
              <w:t>Joseph L. Parkinson ....</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w:t>
            </w:r>
          </w:p>
        </w:tc>
        <w:tc>
          <w:tcPr>
            <w:tcW w:w="880" w:type="dxa"/>
            <w:vAlign w:val="bottom"/>
          </w:tcPr>
          <w:p>
            <w:pPr>
              <w:jc w:val="center"/>
              <w:ind w:left="119"/>
              <w:spacing w:after="0"/>
              <w:rPr>
                <w:sz w:val="20"/>
                <w:szCs w:val="20"/>
                <w:color w:val="auto"/>
              </w:rPr>
            </w:pPr>
            <w:r>
              <w:rPr>
                <w:rFonts w:ascii="Courier New" w:cs="Courier New" w:eastAsia="Courier New" w:hAnsi="Courier New"/>
                <w:sz w:val="16"/>
                <w:szCs w:val="16"/>
                <w:color w:val="auto"/>
                <w:w w:val="97"/>
              </w:rPr>
              <w:t>N/A</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James W. Garrett .......</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w:t>
            </w:r>
          </w:p>
        </w:tc>
        <w:tc>
          <w:tcPr>
            <w:tcW w:w="340" w:type="dxa"/>
            <w:vAlign w:val="bottom"/>
          </w:tcPr>
          <w:p>
            <w:pPr>
              <w:spacing w:after="0"/>
              <w:rPr>
                <w:sz w:val="16"/>
                <w:szCs w:val="16"/>
                <w:color w:val="auto"/>
              </w:rPr>
            </w:pPr>
          </w:p>
        </w:tc>
        <w:tc>
          <w:tcPr>
            <w:tcW w:w="6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w:t>
            </w:r>
          </w:p>
        </w:tc>
        <w:tc>
          <w:tcPr>
            <w:tcW w:w="340" w:type="dxa"/>
            <w:vAlign w:val="bottom"/>
          </w:tcPr>
          <w:p>
            <w:pPr>
              <w:spacing w:after="0"/>
              <w:rPr>
                <w:sz w:val="16"/>
                <w:szCs w:val="16"/>
                <w:color w:val="auto"/>
              </w:rPr>
            </w:pPr>
          </w:p>
        </w:tc>
        <w:tc>
          <w:tcPr>
            <w:tcW w:w="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w:t>
            </w:r>
          </w:p>
        </w:tc>
        <w:tc>
          <w:tcPr>
            <w:tcW w:w="880" w:type="dxa"/>
            <w:vAlign w:val="bottom"/>
          </w:tcPr>
          <w:p>
            <w:pPr>
              <w:jc w:val="center"/>
              <w:ind w:left="119"/>
              <w:spacing w:after="0"/>
              <w:rPr>
                <w:sz w:val="20"/>
                <w:szCs w:val="20"/>
                <w:color w:val="auto"/>
              </w:rPr>
            </w:pPr>
            <w:r>
              <w:rPr>
                <w:rFonts w:ascii="Courier New" w:cs="Courier New" w:eastAsia="Courier New" w:hAnsi="Courier New"/>
                <w:sz w:val="16"/>
                <w:szCs w:val="16"/>
                <w:color w:val="auto"/>
                <w:w w:val="97"/>
              </w:rPr>
              <w:t>N/A</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Steven R. Appleton .....</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50,000(3)</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3.604%</w:t>
            </w:r>
          </w:p>
        </w:tc>
        <w:tc>
          <w:tcPr>
            <w:tcW w:w="340" w:type="dxa"/>
            <w:vAlign w:val="bottom"/>
          </w:tcPr>
          <w:p>
            <w:pPr>
              <w:spacing w:after="0"/>
              <w:rPr>
                <w:sz w:val="16"/>
                <w:szCs w:val="16"/>
                <w:color w:val="auto"/>
              </w:rPr>
            </w:pPr>
          </w:p>
        </w:tc>
        <w:tc>
          <w:tcPr>
            <w:tcW w:w="6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20.37</w:t>
            </w:r>
          </w:p>
        </w:tc>
        <w:tc>
          <w:tcPr>
            <w:tcW w:w="340" w:type="dxa"/>
            <w:vAlign w:val="bottom"/>
          </w:tcPr>
          <w:p>
            <w:pPr>
              <w:spacing w:after="0"/>
              <w:rPr>
                <w:sz w:val="16"/>
                <w:szCs w:val="16"/>
                <w:color w:val="auto"/>
              </w:rPr>
            </w:pPr>
          </w:p>
        </w:tc>
        <w:tc>
          <w:tcPr>
            <w:tcW w:w="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23.96</w:t>
            </w:r>
          </w:p>
        </w:tc>
        <w:tc>
          <w:tcPr>
            <w:tcW w:w="88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9-27-99</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Tyler A. Lowrey ........</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50,000(3)</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3.604%</w:t>
            </w:r>
          </w:p>
        </w:tc>
        <w:tc>
          <w:tcPr>
            <w:tcW w:w="340" w:type="dxa"/>
            <w:vAlign w:val="bottom"/>
          </w:tcPr>
          <w:p>
            <w:pPr>
              <w:spacing w:after="0"/>
              <w:rPr>
                <w:sz w:val="16"/>
                <w:szCs w:val="16"/>
                <w:color w:val="auto"/>
              </w:rPr>
            </w:pPr>
          </w:p>
        </w:tc>
        <w:tc>
          <w:tcPr>
            <w:tcW w:w="6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20.37</w:t>
            </w:r>
          </w:p>
        </w:tc>
        <w:tc>
          <w:tcPr>
            <w:tcW w:w="340" w:type="dxa"/>
            <w:vAlign w:val="bottom"/>
          </w:tcPr>
          <w:p>
            <w:pPr>
              <w:spacing w:after="0"/>
              <w:rPr>
                <w:sz w:val="16"/>
                <w:szCs w:val="16"/>
                <w:color w:val="auto"/>
              </w:rPr>
            </w:pPr>
          </w:p>
        </w:tc>
        <w:tc>
          <w:tcPr>
            <w:tcW w:w="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23.96</w:t>
            </w:r>
          </w:p>
        </w:tc>
        <w:tc>
          <w:tcPr>
            <w:tcW w:w="88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9-27-99</w:t>
            </w:r>
          </w:p>
        </w:tc>
      </w:tr>
      <w:tr>
        <w:trPr>
          <w:trHeight w:val="186"/>
        </w:trPr>
        <w:tc>
          <w:tcPr>
            <w:tcW w:w="2420" w:type="dxa"/>
            <w:vAlign w:val="bottom"/>
          </w:tcPr>
          <w:p>
            <w:pPr>
              <w:spacing w:after="0"/>
              <w:rPr>
                <w:sz w:val="20"/>
                <w:szCs w:val="20"/>
                <w:color w:val="auto"/>
              </w:rPr>
            </w:pPr>
            <w:r>
              <w:rPr>
                <w:rFonts w:ascii="Courier New" w:cs="Courier New" w:eastAsia="Courier New" w:hAnsi="Courier New"/>
                <w:sz w:val="16"/>
                <w:szCs w:val="16"/>
                <w:color w:val="auto"/>
              </w:rPr>
              <w:t>Reid N. Langrill .......</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50,000(3)</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3.604%</w:t>
            </w:r>
          </w:p>
        </w:tc>
        <w:tc>
          <w:tcPr>
            <w:tcW w:w="340" w:type="dxa"/>
            <w:vAlign w:val="bottom"/>
          </w:tcPr>
          <w:p>
            <w:pPr>
              <w:spacing w:after="0"/>
              <w:rPr>
                <w:sz w:val="16"/>
                <w:szCs w:val="16"/>
                <w:color w:val="auto"/>
              </w:rPr>
            </w:pPr>
          </w:p>
        </w:tc>
        <w:tc>
          <w:tcPr>
            <w:tcW w:w="6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20.37</w:t>
            </w:r>
          </w:p>
        </w:tc>
        <w:tc>
          <w:tcPr>
            <w:tcW w:w="340" w:type="dxa"/>
            <w:vAlign w:val="bottom"/>
          </w:tcPr>
          <w:p>
            <w:pPr>
              <w:spacing w:after="0"/>
              <w:rPr>
                <w:sz w:val="16"/>
                <w:szCs w:val="16"/>
                <w:color w:val="auto"/>
              </w:rPr>
            </w:pPr>
          </w:p>
        </w:tc>
        <w:tc>
          <w:tcPr>
            <w:tcW w:w="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23.96</w:t>
            </w:r>
          </w:p>
        </w:tc>
        <w:tc>
          <w:tcPr>
            <w:tcW w:w="88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9-27-99</w:t>
            </w:r>
          </w:p>
        </w:tc>
      </w:tr>
    </w:tbl>
    <w:p>
      <w:pPr>
        <w:spacing w:after="0" w:line="377" w:lineRule="exact"/>
        <w:rPr>
          <w:sz w:val="20"/>
          <w:szCs w:val="20"/>
          <w:color w:val="auto"/>
        </w:rPr>
      </w:pPr>
    </w:p>
    <w:p>
      <w:pPr>
        <w:ind w:left="481" w:right="200" w:hanging="481"/>
        <w:spacing w:after="0" w:line="246"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under the Company's ISO Plan typically have a six (6) year term and vest over a five (5) year period. Options under the plan may be granted as incentive stock options (ISOs) or nonstatutory stock options (NSOs). ISOs are granted with an exercise price equal to 100% of the fair market value of the Company's Common Stock on the date of grant, as defined under the plan. All NSOs had been granted with an exercise price equal to 85% of the fair market value of the Company's Common Stock on the date of grant.</w:t>
      </w:r>
    </w:p>
    <w:p>
      <w:pPr>
        <w:spacing w:after="0" w:line="4" w:lineRule="exact"/>
        <w:rPr>
          <w:rFonts w:ascii="Courier New" w:cs="Courier New" w:eastAsia="Courier New" w:hAnsi="Courier New"/>
          <w:sz w:val="16"/>
          <w:szCs w:val="16"/>
          <w:color w:val="auto"/>
        </w:rPr>
      </w:pPr>
    </w:p>
    <w:p>
      <w:pPr>
        <w:ind w:left="481" w:right="300" w:hanging="481"/>
        <w:spacing w:after="0" w:line="246"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under the Company's ISO Plan reflect a 5-for-2 stock split of the Company's Common Stock outstanding, effected in the form of a stock dividend, as of April 1, 1994.</w:t>
      </w:r>
    </w:p>
    <w:p>
      <w:pPr>
        <w:spacing w:after="0" w:line="1" w:lineRule="exact"/>
        <w:rPr>
          <w:rFonts w:ascii="Courier New" w:cs="Courier New" w:eastAsia="Courier New" w:hAnsi="Courier New"/>
          <w:sz w:val="16"/>
          <w:szCs w:val="16"/>
          <w:color w:val="auto"/>
        </w:rPr>
      </w:pPr>
    </w:p>
    <w:p>
      <w:pPr>
        <w:ind w:left="481" w:right="1080" w:hanging="481"/>
        <w:spacing w:after="0" w:line="248"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NSOs granted under the Company's 1985 Incentive Stock Option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80"/>
        <w:spacing w:after="0" w:line="246" w:lineRule="auto"/>
        <w:rPr>
          <w:sz w:val="20"/>
          <w:szCs w:val="20"/>
          <w:color w:val="auto"/>
        </w:rPr>
      </w:pPr>
      <w:r>
        <w:rPr>
          <w:rFonts w:ascii="Courier New" w:cs="Courier New" w:eastAsia="Courier New" w:hAnsi="Courier New"/>
          <w:sz w:val="16"/>
          <w:szCs w:val="16"/>
          <w:color w:val="auto"/>
        </w:rPr>
        <w:t>Potential Realizable Value at Assumed Annual Rates of Stock Price Appreciation for Option Term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0" w:type="dxa"/>
            <w:vAlign w:val="bottom"/>
          </w:tcPr>
          <w:p>
            <w:pPr>
              <w:spacing w:after="0"/>
              <w:rPr>
                <w:sz w:val="15"/>
                <w:szCs w:val="15"/>
                <w:color w:val="auto"/>
              </w:rPr>
            </w:pPr>
          </w:p>
        </w:tc>
        <w:tc>
          <w:tcPr>
            <w:tcW w:w="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280" w:type="dxa"/>
            <w:vAlign w:val="bottom"/>
          </w:tcPr>
          <w:p>
            <w:pPr>
              <w:spacing w:after="0"/>
              <w:rPr>
                <w:sz w:val="15"/>
                <w:szCs w:val="15"/>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w:t>
            </w:r>
          </w:p>
        </w:tc>
        <w:tc>
          <w:tcPr>
            <w:tcW w:w="160" w:type="dxa"/>
            <w:vAlign w:val="bottom"/>
          </w:tcPr>
          <w:p>
            <w:pPr>
              <w:spacing w:after="0"/>
              <w:rPr>
                <w:sz w:val="15"/>
                <w:szCs w:val="15"/>
                <w:color w:val="auto"/>
              </w:rPr>
            </w:pPr>
          </w:p>
        </w:tc>
        <w:tc>
          <w:tcPr>
            <w:tcW w:w="8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w:t>
            </w:r>
          </w:p>
        </w:tc>
      </w:tr>
      <w:tr>
        <w:trPr>
          <w:trHeight w:val="186"/>
        </w:trPr>
        <w:tc>
          <w:tcPr>
            <w:tcW w:w="9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6"/>
        </w:trPr>
        <w:tc>
          <w:tcPr>
            <w:tcW w:w="1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6"/>
        </w:trPr>
        <w:tc>
          <w:tcPr>
            <w:tcW w:w="1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179,500</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586,935</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1,103,830</w:t>
            </w:r>
          </w:p>
        </w:tc>
      </w:tr>
      <w:tr>
        <w:trPr>
          <w:trHeight w:val="186"/>
        </w:trPr>
        <w:tc>
          <w:tcPr>
            <w:tcW w:w="1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179,500</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586,935</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1,103,830</w:t>
            </w:r>
          </w:p>
        </w:tc>
      </w:tr>
      <w:tr>
        <w:trPr>
          <w:trHeight w:val="186"/>
        </w:trPr>
        <w:tc>
          <w:tcPr>
            <w:tcW w:w="1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179,500</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586,935</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1,103,830</w:t>
            </w:r>
          </w:p>
        </w:tc>
      </w:tr>
    </w:tbl>
    <w:p>
      <w:pPr>
        <w:sectPr>
          <w:pgSz w:w="11900" w:h="16838" w:orient="portrait"/>
          <w:cols w:equalWidth="0" w:num="2">
            <w:col w:w="7761" w:space="280"/>
            <w:col w:w="3000"/>
          </w:cols>
          <w:pgMar w:left="239" w:top="676" w:right="619" w:bottom="1440" w:gutter="0" w:footer="0" w:header="0"/>
        </w:sectPr>
      </w:pPr>
    </w:p>
    <w:bookmarkStart w:id="10" w:name="page11"/>
    <w:bookmarkEnd w:id="10"/>
    <w:p>
      <w:pPr>
        <w:jc w:val="center"/>
        <w:ind w:right="2359"/>
        <w:spacing w:after="0"/>
        <w:rPr>
          <w:sz w:val="20"/>
          <w:szCs w:val="20"/>
          <w:color w:val="auto"/>
        </w:rPr>
      </w:pPr>
      <w:r>
        <w:rPr>
          <w:rFonts w:ascii="Courier New" w:cs="Courier New" w:eastAsia="Courier New" w:hAnsi="Courier New"/>
          <w:sz w:val="16"/>
          <w:szCs w:val="16"/>
          <w:color w:val="auto"/>
        </w:rPr>
        <w:t>AGGREGATED OPTION EXERCISES IN LAST FISCAL YEAR</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AND FISCAL YEAR-END OPTION/SAR VALUES</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following table provides information regarding option exercises in fiscal year 1994 by the Named Executive Officers and the value of such officers' unexercised options and SARs at September 1, 1994:</w:t>
      </w:r>
    </w:p>
    <w:p>
      <w:pPr>
        <w:sectPr>
          <w:pgSz w:w="11900" w:h="16838" w:orient="portrait"/>
          <w:cols w:equalWidth="0" w:num="1">
            <w:col w:w="10220"/>
          </w:cols>
          <w:pgMar w:left="239" w:top="6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81"/>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Number of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Realized</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Value of</w:t>
      </w:r>
    </w:p>
    <w:p>
      <w:pPr>
        <w:spacing w:after="0" w:line="5" w:lineRule="exact"/>
        <w:rPr>
          <w:sz w:val="20"/>
          <w:szCs w:val="20"/>
          <w:color w:val="auto"/>
        </w:rPr>
      </w:pPr>
    </w:p>
    <w:p>
      <w:pPr>
        <w:ind w:left="280"/>
        <w:spacing w:after="0"/>
        <w:tabs>
          <w:tab w:leader="none" w:pos="1720" w:val="left"/>
        </w:tabs>
        <w:rPr>
          <w:sz w:val="20"/>
          <w:szCs w:val="20"/>
          <w:color w:val="auto"/>
        </w:rPr>
      </w:pPr>
      <w:r>
        <w:rPr>
          <w:rFonts w:ascii="Courier New" w:cs="Courier New" w:eastAsia="Courier New" w:hAnsi="Courier New"/>
          <w:sz w:val="16"/>
          <w:szCs w:val="16"/>
          <w:color w:val="auto"/>
        </w:rPr>
        <w:t>Number of</w:t>
      </w:r>
      <w:r>
        <w:rPr>
          <w:sz w:val="20"/>
          <w:szCs w:val="20"/>
          <w:color w:val="auto"/>
        </w:rPr>
        <w:tab/>
      </w:r>
      <w:r>
        <w:rPr>
          <w:rFonts w:ascii="Courier New" w:cs="Courier New" w:eastAsia="Courier New" w:hAnsi="Courier New"/>
          <w:sz w:val="16"/>
          <w:szCs w:val="16"/>
          <w:color w:val="auto"/>
        </w:rPr>
        <w:t>Unexercised In-</w:t>
      </w:r>
    </w:p>
    <w:p>
      <w:pPr>
        <w:spacing w:after="0" w:line="5" w:lineRule="exact"/>
        <w:rPr>
          <w:sz w:val="20"/>
          <w:szCs w:val="20"/>
          <w:color w:val="auto"/>
        </w:rPr>
      </w:pPr>
    </w:p>
    <w:p>
      <w:pPr>
        <w:ind w:left="100"/>
        <w:spacing w:after="0"/>
        <w:tabs>
          <w:tab w:leader="none" w:pos="1720" w:val="left"/>
        </w:tabs>
        <w:rPr>
          <w:sz w:val="20"/>
          <w:szCs w:val="20"/>
          <w:color w:val="auto"/>
        </w:rPr>
      </w:pPr>
      <w:r>
        <w:rPr>
          <w:rFonts w:ascii="Courier New" w:cs="Courier New" w:eastAsia="Courier New" w:hAnsi="Courier New"/>
          <w:sz w:val="16"/>
          <w:szCs w:val="16"/>
          <w:color w:val="auto"/>
        </w:rPr>
        <w:t>Exercised</w:t>
      </w:r>
      <w:r>
        <w:rPr>
          <w:sz w:val="20"/>
          <w:szCs w:val="20"/>
          <w:color w:val="auto"/>
        </w:rPr>
        <w:tab/>
      </w:r>
      <w:r>
        <w:rPr>
          <w:rFonts w:ascii="Courier New" w:cs="Courier New" w:eastAsia="Courier New" w:hAnsi="Courier New"/>
          <w:sz w:val="16"/>
          <w:szCs w:val="16"/>
          <w:color w:val="auto"/>
        </w:rPr>
        <w:t>The-Money</w:t>
      </w:r>
    </w:p>
    <w:p>
      <w:pPr>
        <w:spacing w:after="0" w:line="5"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6"/>
          <w:szCs w:val="16"/>
          <w:color w:val="auto"/>
        </w:rPr>
        <w:t>Options/SARs</w:t>
      </w:r>
      <w:r>
        <w:rPr>
          <w:sz w:val="20"/>
          <w:szCs w:val="20"/>
          <w:color w:val="auto"/>
        </w:rPr>
        <w:tab/>
      </w:r>
      <w:r>
        <w:rPr>
          <w:rFonts w:ascii="Courier New" w:cs="Courier New" w:eastAsia="Courier New" w:hAnsi="Courier New"/>
          <w:sz w:val="16"/>
          <w:szCs w:val="16"/>
          <w:color w:val="auto"/>
        </w:rPr>
        <w:t>Options/SARs</w:t>
      </w:r>
    </w:p>
    <w:p>
      <w:pPr>
        <w:spacing w:after="0" w:line="5" w:lineRule="exact"/>
        <w:rPr>
          <w:sz w:val="20"/>
          <w:szCs w:val="20"/>
          <w:color w:val="auto"/>
        </w:rPr>
      </w:pPr>
    </w:p>
    <w:p>
      <w:pPr>
        <w:ind w:left="280"/>
        <w:spacing w:after="0"/>
        <w:tabs>
          <w:tab w:leader="none" w:pos="1920" w:val="left"/>
        </w:tabs>
        <w:rPr>
          <w:sz w:val="20"/>
          <w:szCs w:val="20"/>
          <w:color w:val="auto"/>
        </w:rPr>
      </w:pPr>
      <w:r>
        <w:rPr>
          <w:rFonts w:ascii="Courier New" w:cs="Courier New" w:eastAsia="Courier New" w:hAnsi="Courier New"/>
          <w:sz w:val="16"/>
          <w:szCs w:val="16"/>
          <w:color w:val="auto"/>
        </w:rPr>
        <w:t>at Fiscal</w:t>
      </w:r>
      <w:r>
        <w:rPr>
          <w:sz w:val="20"/>
          <w:szCs w:val="20"/>
          <w:color w:val="auto"/>
        </w:rPr>
        <w:tab/>
      </w:r>
      <w:r>
        <w:rPr>
          <w:rFonts w:ascii="Courier New" w:cs="Courier New" w:eastAsia="Courier New" w:hAnsi="Courier New"/>
          <w:sz w:val="15"/>
          <w:szCs w:val="15"/>
          <w:color w:val="auto"/>
        </w:rPr>
        <w:t>at Fiscal</w:t>
      </w:r>
    </w:p>
    <w:p>
      <w:pPr>
        <w:spacing w:after="0" w:line="5" w:lineRule="exact"/>
        <w:rPr>
          <w:sz w:val="20"/>
          <w:szCs w:val="20"/>
          <w:color w:val="auto"/>
        </w:rPr>
      </w:pPr>
    </w:p>
    <w:p>
      <w:pPr>
        <w:ind w:left="280"/>
        <w:spacing w:after="0"/>
        <w:tabs>
          <w:tab w:leader="none" w:pos="1920" w:val="left"/>
        </w:tabs>
        <w:rPr>
          <w:sz w:val="20"/>
          <w:szCs w:val="20"/>
          <w:color w:val="auto"/>
        </w:rPr>
      </w:pPr>
      <w:r>
        <w:rPr>
          <w:rFonts w:ascii="Courier New" w:cs="Courier New" w:eastAsia="Courier New" w:hAnsi="Courier New"/>
          <w:sz w:val="16"/>
          <w:szCs w:val="16"/>
          <w:color w:val="auto"/>
        </w:rPr>
        <w:t>Year-End</w:t>
      </w:r>
      <w:r>
        <w:rPr>
          <w:sz w:val="20"/>
          <w:szCs w:val="20"/>
          <w:color w:val="auto"/>
        </w:rPr>
        <w:tab/>
      </w:r>
      <w:r>
        <w:rPr>
          <w:rFonts w:ascii="Courier New" w:cs="Courier New" w:eastAsia="Courier New" w:hAnsi="Courier New"/>
          <w:sz w:val="15"/>
          <w:szCs w:val="15"/>
          <w:color w:val="auto"/>
        </w:rPr>
        <w:t>Year-end</w:t>
      </w:r>
    </w:p>
    <w:p>
      <w:pPr>
        <w:spacing w:after="0" w:line="5" w:lineRule="exact"/>
        <w:rPr>
          <w:sz w:val="20"/>
          <w:szCs w:val="20"/>
          <w:color w:val="auto"/>
        </w:rPr>
      </w:pPr>
    </w:p>
    <w:p>
      <w:pPr>
        <w:sectPr>
          <w:pgSz w:w="11900" w:h="16838" w:orient="portrait"/>
          <w:cols w:equalWidth="0" w:num="4">
            <w:col w:w="1421" w:space="720"/>
            <w:col w:w="1060" w:space="280"/>
            <w:col w:w="780" w:space="300"/>
            <w:col w:w="5659"/>
          </w:cols>
          <w:pgMar w:left="239" w:top="676" w:right="1440" w:bottom="1440" w:gutter="0" w:footer="0" w:header="0"/>
          <w:type w:val="continuous"/>
        </w:sectPr>
      </w:pPr>
    </w:p>
    <w:p>
      <w:pPr>
        <w:ind w:left="2141" w:hanging="1559"/>
        <w:spacing w:after="0"/>
        <w:tabs>
          <w:tab w:leader="none" w:pos="214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5" w:lineRule="exact"/>
        <w:rPr>
          <w:rFonts w:ascii="Courier New" w:cs="Courier New" w:eastAsia="Courier New" w:hAnsi="Courier New"/>
          <w:sz w:val="16"/>
          <w:szCs w:val="16"/>
          <w:color w:val="auto"/>
        </w:rPr>
      </w:pPr>
    </w:p>
    <w:p>
      <w:pPr>
        <w:ind w:left="46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Exercisable(E)   Exercisable(E)</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Unexercisable(U)</w:t>
            </w:r>
          </w:p>
        </w:tc>
        <w:tc>
          <w:tcPr>
            <w:tcW w:w="10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Unexercisable(U)</w:t>
            </w:r>
          </w:p>
        </w:tc>
      </w:tr>
      <w:tr>
        <w:trPr>
          <w:trHeight w:val="186"/>
        </w:trPr>
        <w:tc>
          <w:tcPr>
            <w:tcW w:w="2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140" w:type="dxa"/>
            <w:vAlign w:val="bottom"/>
          </w:tcPr>
          <w:p>
            <w:pPr>
              <w:spacing w:after="0"/>
              <w:rPr>
                <w:sz w:val="20"/>
                <w:szCs w:val="20"/>
                <w:color w:val="auto"/>
              </w:rPr>
            </w:pPr>
            <w:r>
              <w:rPr>
                <w:rFonts w:ascii="Courier New" w:cs="Courier New" w:eastAsia="Courier New" w:hAnsi="Courier New"/>
                <w:sz w:val="16"/>
                <w:szCs w:val="16"/>
                <w:color w:val="auto"/>
              </w:rPr>
              <w:t>Joseph L. Parkinson..</w:t>
            </w: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10,184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454,923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(E)</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6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(E)</w:t>
            </w:r>
          </w:p>
        </w:tc>
      </w:tr>
      <w:tr>
        <w:trPr>
          <w:trHeight w:val="186"/>
        </w:trPr>
        <w:tc>
          <w:tcPr>
            <w:tcW w:w="2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22,500</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(U)</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776,938</w:t>
            </w:r>
          </w:p>
        </w:tc>
        <w:tc>
          <w:tcPr>
            <w:tcW w:w="6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(U)</w:t>
            </w:r>
          </w:p>
        </w:tc>
      </w:tr>
      <w:tr>
        <w:trPr>
          <w:trHeight w:val="373"/>
        </w:trPr>
        <w:tc>
          <w:tcPr>
            <w:tcW w:w="2140" w:type="dxa"/>
            <w:vAlign w:val="bottom"/>
          </w:tcPr>
          <w:p>
            <w:pPr>
              <w:spacing w:after="0"/>
              <w:rPr>
                <w:sz w:val="20"/>
                <w:szCs w:val="20"/>
                <w:color w:val="auto"/>
              </w:rPr>
            </w:pPr>
            <w:r>
              <w:rPr>
                <w:rFonts w:ascii="Courier New" w:cs="Courier New" w:eastAsia="Courier New" w:hAnsi="Courier New"/>
                <w:sz w:val="16"/>
                <w:szCs w:val="16"/>
                <w:color w:val="auto"/>
              </w:rPr>
              <w:t>James W. Garrett.....</w:t>
            </w: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47,200</w:t>
            </w:r>
          </w:p>
        </w:tc>
        <w:tc>
          <w:tcPr>
            <w:tcW w:w="28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2,122,219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(E)</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6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(E)</w:t>
            </w:r>
          </w:p>
        </w:tc>
      </w:tr>
      <w:tr>
        <w:trPr>
          <w:trHeight w:val="186"/>
        </w:trPr>
        <w:tc>
          <w:tcPr>
            <w:tcW w:w="2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72,499</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(U)</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2,301,493</w:t>
            </w:r>
          </w:p>
        </w:tc>
        <w:tc>
          <w:tcPr>
            <w:tcW w:w="6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(U)</w:t>
            </w:r>
          </w:p>
        </w:tc>
      </w:tr>
      <w:tr>
        <w:trPr>
          <w:trHeight w:val="373"/>
        </w:trPr>
        <w:tc>
          <w:tcPr>
            <w:tcW w:w="2140" w:type="dxa"/>
            <w:vAlign w:val="bottom"/>
          </w:tcPr>
          <w:p>
            <w:pPr>
              <w:spacing w:after="0"/>
              <w:rPr>
                <w:sz w:val="20"/>
                <w:szCs w:val="20"/>
                <w:color w:val="auto"/>
              </w:rPr>
            </w:pPr>
            <w:r>
              <w:rPr>
                <w:rFonts w:ascii="Courier New" w:cs="Courier New" w:eastAsia="Courier New" w:hAnsi="Courier New"/>
                <w:sz w:val="16"/>
                <w:szCs w:val="16"/>
                <w:color w:val="auto"/>
              </w:rPr>
              <w:t>Steven R. Appleton...</w:t>
            </w: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39,465</w:t>
            </w:r>
          </w:p>
        </w:tc>
        <w:tc>
          <w:tcPr>
            <w:tcW w:w="28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1,195,797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(E)</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6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(E)</w:t>
            </w:r>
          </w:p>
        </w:tc>
      </w:tr>
      <w:tr>
        <w:trPr>
          <w:trHeight w:val="186"/>
        </w:trPr>
        <w:tc>
          <w:tcPr>
            <w:tcW w:w="2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202,511</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(U)(2)</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6,055,274</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(U)(2)</w:t>
            </w:r>
          </w:p>
        </w:tc>
      </w:tr>
      <w:tr>
        <w:trPr>
          <w:trHeight w:val="373"/>
        </w:trPr>
        <w:tc>
          <w:tcPr>
            <w:tcW w:w="2140" w:type="dxa"/>
            <w:vAlign w:val="bottom"/>
          </w:tcPr>
          <w:p>
            <w:pPr>
              <w:spacing w:after="0"/>
              <w:rPr>
                <w:sz w:val="20"/>
                <w:szCs w:val="20"/>
                <w:color w:val="auto"/>
              </w:rPr>
            </w:pPr>
            <w:r>
              <w:rPr>
                <w:rFonts w:ascii="Courier New" w:cs="Courier New" w:eastAsia="Courier New" w:hAnsi="Courier New"/>
                <w:sz w:val="16"/>
                <w:szCs w:val="16"/>
                <w:color w:val="auto"/>
              </w:rPr>
              <w:t>Tyler A. Lowrey......</w:t>
            </w: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14,613</w:t>
            </w:r>
          </w:p>
        </w:tc>
        <w:tc>
          <w:tcPr>
            <w:tcW w:w="28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873,567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(E)</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6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(E)</w:t>
            </w:r>
          </w:p>
        </w:tc>
      </w:tr>
      <w:tr>
        <w:trPr>
          <w:trHeight w:val="186"/>
        </w:trPr>
        <w:tc>
          <w:tcPr>
            <w:tcW w:w="2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122,509</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(U)(2)</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3,263,099</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(U)(2)</w:t>
            </w:r>
          </w:p>
        </w:tc>
      </w:tr>
      <w:tr>
        <w:trPr>
          <w:trHeight w:val="373"/>
        </w:trPr>
        <w:tc>
          <w:tcPr>
            <w:tcW w:w="2140" w:type="dxa"/>
            <w:vAlign w:val="bottom"/>
          </w:tcPr>
          <w:p>
            <w:pPr>
              <w:spacing w:after="0"/>
              <w:rPr>
                <w:sz w:val="20"/>
                <w:szCs w:val="20"/>
                <w:color w:val="auto"/>
              </w:rPr>
            </w:pPr>
            <w:r>
              <w:rPr>
                <w:rFonts w:ascii="Courier New" w:cs="Courier New" w:eastAsia="Courier New" w:hAnsi="Courier New"/>
                <w:sz w:val="16"/>
                <w:szCs w:val="16"/>
                <w:color w:val="auto"/>
              </w:rPr>
              <w:t>Reid N. Langrill.....</w:t>
            </w: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9,700</w:t>
            </w:r>
          </w:p>
        </w:tc>
        <w:tc>
          <w:tcPr>
            <w:tcW w:w="28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596,221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(E)</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6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(E)</w:t>
            </w:r>
          </w:p>
        </w:tc>
      </w:tr>
      <w:tr>
        <w:trPr>
          <w:trHeight w:val="186"/>
        </w:trPr>
        <w:tc>
          <w:tcPr>
            <w:tcW w:w="2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107,500</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(U)</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2,734,488</w:t>
            </w:r>
          </w:p>
        </w:tc>
        <w:tc>
          <w:tcPr>
            <w:tcW w:w="6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(U)</w:t>
            </w:r>
          </w:p>
        </w:tc>
      </w:tr>
    </w:tbl>
    <w:p>
      <w:pPr>
        <w:spacing w:after="0" w:line="377" w:lineRule="exact"/>
        <w:rPr>
          <w:sz w:val="20"/>
          <w:szCs w:val="20"/>
          <w:color w:val="auto"/>
        </w:rPr>
      </w:pPr>
    </w:p>
    <w:p>
      <w:pPr>
        <w:ind w:left="481" w:right="2659" w:hanging="481"/>
        <w:spacing w:after="0" w:line="246" w:lineRule="auto"/>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acquired on exercise of an option reflect a 5-for-2 stock split of the Company's Common Stock outstanding, effected in the form of a stock dividend, as of April 1, 1994.</w:t>
      </w:r>
    </w:p>
    <w:p>
      <w:pPr>
        <w:spacing w:after="0" w:line="1" w:lineRule="exact"/>
        <w:rPr>
          <w:rFonts w:ascii="Courier New" w:cs="Courier New" w:eastAsia="Courier New" w:hAnsi="Courier New"/>
          <w:sz w:val="16"/>
          <w:szCs w:val="16"/>
          <w:color w:val="auto"/>
        </w:rPr>
      </w:pPr>
    </w:p>
    <w:p>
      <w:pPr>
        <w:ind w:left="481" w:right="2959" w:hanging="481"/>
        <w:spacing w:after="0" w:line="247" w:lineRule="auto"/>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SARs granted with respect to ten (10) shares of Micron Semiconductor, Inc., common stock under the 1993 Micron Semiconductor, Inc. Stock Appreciation Rights Plan.</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Compensation of Directors</w:t>
      </w:r>
    </w:p>
    <w:p>
      <w:pPr>
        <w:spacing w:after="0" w:line="191"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Directors' Fees</w:t>
      </w:r>
    </w:p>
    <w:p>
      <w:pPr>
        <w:spacing w:after="0" w:line="191"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Directors who are employees of the Company receive no additional or special remuneration for their service as directors. Directors of the Board who are not employees of the Company receive a director fee of $3,000 for each Board of Directors meeting attended. The Company also reimburses directors for travel and lodging expenses, if any, incurred in connection with attendance at Board meetings.</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Termination of Employment and Change of Control Arrangements</w:t>
      </w:r>
    </w:p>
    <w:p>
      <w:pPr>
        <w:spacing w:after="0" w:line="191"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Termination Agreements</w:t>
      </w:r>
    </w:p>
    <w:p>
      <w:pPr>
        <w:spacing w:after="0" w:line="191"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The Company has entered into separate agreements with the executive officers and certain other key employees of the Company relating to notice of termination and compensation upon termination or death. Each agreement requires that the Company or the officer or employee give six (6) months advance written notice of termination regardless of the reason or justification for termination. The Company, the officer, or employee may discontinue active duties at any time following notice; however, employment for purposes of salary, bonuses, benefits, stock vestings, and for determining conflicts of interest continues for at least six (6) months from the date of notice. Each agreement also provides that these benefits be paid upon the death of the officer or employee. There were no amounts paid by the Company during fiscal year 1994 pursuant to these agreements. Subsequent to fiscal year end 1994, payments were made pursuant to these agreements to</w:t>
      </w:r>
    </w:p>
    <w:p>
      <w:pPr>
        <w:sectPr>
          <w:pgSz w:w="11900" w:h="16838" w:orient="portrait"/>
          <w:cols w:equalWidth="0" w:num="1">
            <w:col w:w="10220"/>
          </w:cols>
          <w:pgMar w:left="239" w:top="676" w:right="1440" w:bottom="1440" w:gutter="0" w:footer="0" w:header="0"/>
          <w:type w:val="continuous"/>
        </w:sectPr>
      </w:pPr>
    </w:p>
    <w:bookmarkStart w:id="11" w:name="page12"/>
    <w:bookmarkEnd w:id="11"/>
    <w:p>
      <w:pPr>
        <w:ind w:right="2959"/>
        <w:spacing w:after="0" w:line="247" w:lineRule="auto"/>
        <w:rPr>
          <w:sz w:val="20"/>
          <w:szCs w:val="20"/>
          <w:color w:val="auto"/>
        </w:rPr>
      </w:pPr>
      <w:r>
        <w:rPr>
          <w:rFonts w:ascii="Courier New" w:cs="Courier New" w:eastAsia="Courier New" w:hAnsi="Courier New"/>
          <w:sz w:val="16"/>
          <w:szCs w:val="16"/>
          <w:color w:val="auto"/>
        </w:rPr>
        <w:t>Mr. Joseph L. Parkinson, Mr. James W. Garrett, and Mr. Reid N. Langrill who resigned from their positions as officers and directors of the Company effective as of September 26, 1994.</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Change in Control Arrangement</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On October 31, 1988, the Company's Board of Directors adopted an arrangement whereby, upon any change in control of the Company, all unvested shares and options shall vest, and all bonuses earned which are subject to installments shall be immediately due and payable. "Change in Control" is defined under this arrangement to mean the acquisition by any person or entity, directly, indirectly or beneficially, acting alone or in concert, of more than thirty-five percent (35%) of the Common Stock of the Company outstanding at any time.</w:t>
      </w:r>
    </w:p>
    <w:p>
      <w:pPr>
        <w:sectPr>
          <w:pgSz w:w="11900" w:h="16838" w:orient="portrait"/>
          <w:cols w:equalWidth="0" w:num="1">
            <w:col w:w="10219"/>
          </w:cols>
          <w:pgMar w:left="240" w:top="676" w:right="1440" w:bottom="1440" w:gutter="0" w:footer="0" w:header="0"/>
        </w:sectPr>
      </w:pPr>
    </w:p>
    <w:bookmarkStart w:id="12" w:name="page13"/>
    <w:bookmarkEnd w:id="12"/>
    <w:p>
      <w:pPr>
        <w:ind w:right="2559" w:firstLine="484"/>
        <w:spacing w:after="0" w:line="247" w:lineRule="auto"/>
        <w:rPr>
          <w:sz w:val="20"/>
          <w:szCs w:val="20"/>
          <w:color w:val="auto"/>
        </w:rPr>
      </w:pPr>
      <w:r>
        <w:rPr>
          <w:rFonts w:ascii="Courier New" w:cs="Courier New" w:eastAsia="Courier New" w:hAnsi="Courier New"/>
          <w:sz w:val="16"/>
          <w:szCs w:val="16"/>
          <w:color w:val="auto"/>
        </w:rPr>
        <w:t>Notwithstanding anything to the contrary set forth in any of the Company's previous filings under the Securities Act of 1933, as amended, or the Exchange Act of 1934, as amended, that might incorporate future filings, including this Proxy Statement, in whole or in part, the following report and the performance graph on page ___ shall not be incorporated by reference into any such filings.</w:t>
      </w:r>
    </w:p>
    <w:p>
      <w:pPr>
        <w:spacing w:after="0" w:line="372" w:lineRule="exact"/>
        <w:rPr>
          <w:sz w:val="20"/>
          <w:szCs w:val="20"/>
          <w:color w:val="auto"/>
        </w:rPr>
      </w:pPr>
    </w:p>
    <w:p>
      <w:pPr>
        <w:ind w:left="2220" w:right="3239" w:hanging="1259"/>
        <w:spacing w:after="0" w:line="248" w:lineRule="auto"/>
        <w:rPr>
          <w:sz w:val="20"/>
          <w:szCs w:val="20"/>
          <w:color w:val="auto"/>
        </w:rPr>
      </w:pPr>
      <w:r>
        <w:rPr>
          <w:rFonts w:ascii="Courier New" w:cs="Courier New" w:eastAsia="Courier New" w:hAnsi="Courier New"/>
          <w:sz w:val="16"/>
          <w:szCs w:val="16"/>
          <w:color w:val="auto"/>
        </w:rPr>
        <w:t>REPORT OF THE COMPENSATION COMMITTEE OF THE BOARD OF DIRECTORS REGARDING EXECUTIVE COMPENSATION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This report has been prepared by the Compensation Committee of the Board of Directors of the Company (the "Committee"). Robert A. Lothrop, Thomas T. Nicholson, Allen T. Noble, and John R. Simplot serve as members of the Committee. The Committee meets at least annually or more frequently as the Company's Board of Directors may request.</w:t>
      </w:r>
    </w:p>
    <w:p>
      <w:pPr>
        <w:spacing w:after="0" w:line="185"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For fiscal year 1994, the executive officers of the Company consisted of individuals employed by the Company and by Micron Semiconductor, Inc., the Company's primary operating subsidiary. The Committee's primary responsibilities include the review of compensation, consisting of salary, bonuses, benefits, and stock option grants, of the Company's officers. In fiscal year 1994, compensation for the Company's officers was reviewed and approved by the Company's Board of Directors. Compensation for Micron Semiconductor, Inc., officers was reviewed and approved by the Micron Semiconductor, Inc., Board of Directors. Grants to Micron Semiconductor, Inc., officers of options to purchase the Company's Common Stock were reviewed and approved by the Boards of Directors of Micron Semiconductor Inc., and of</w:t>
      </w:r>
    </w:p>
    <w:p>
      <w:pPr>
        <w:spacing w:after="0" w:line="6"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the Company. Effective November 4, 1994, Micron Semiconductor, Inc., was merged with and into Micron Technology, Inc. On October 17, 1994, Robert A. Lothrop and Thomas T. Nicholson were selected to replace Joseph L. Parkinson and Reid N. Langrill as members of the Compensation Committee. Compensation for the Company's officers for fiscal year 1995, including base salary, performance bonuses, stock option grants, and other compensation, were determined and approved by the Compensation Committee.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 Compensation</w:t>
      </w:r>
    </w:p>
    <w:p>
      <w:pPr>
        <w:spacing w:after="0" w:line="191"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The executive officer compensation programs utilized by the Company are described below for the purpose of providing a general understanding of the various components of executive officer compensation. These executive officer compensation programs are designed to attract, retain, and reward highly qualified executive officers who are important to the Company's success and to provide incentives relating directly to the financial performance and long-term growth of the Company and its subsidiaries. The various components of the executive officer compensation programs used by the Company are, in most cases, the same as those made available generally to employees of the Company and its subsidiaries. Following is a summary of the executive officer compensation programs:</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Cash Compensation</w:t>
      </w:r>
    </w:p>
    <w:p>
      <w:pPr>
        <w:spacing w:after="0" w:line="191"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Base Salary. The executive officers' base salaries are established primarily upon a subjective analysis of (i) anticipated contribution to Company operations, (ii) responsibility, (iii) technical expertise, and (iv) length of service as an officer.</w:t>
      </w:r>
    </w:p>
    <w:p>
      <w:pPr>
        <w:spacing w:after="0" w:line="186"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Company Performance Bonuses. Cash bonuses to executive officers are awarded based on the financial performance of the Company. These bonuses are typically based on targets established at the beginning of each fiscal year formulated primarily as a percentage of the net after-tax profit of the Company at the end of the fiscal year. Performance bonus percentages are established according to a subjective analysis of each officer according to the same criteria utilized to determine base salary. See "PROPOSAL TO APPROVE THE COMPANY'S EXECUTIVE BONUS PLAN" set forth on page ___.</w:t>
      </w:r>
    </w:p>
    <w:p>
      <w:pPr>
        <w:spacing w:after="0" w:line="191" w:lineRule="exact"/>
        <w:rPr>
          <w:sz w:val="20"/>
          <w:szCs w:val="20"/>
          <w:color w:val="auto"/>
        </w:rPr>
      </w:pPr>
    </w:p>
    <w:p>
      <w:pPr>
        <w:ind w:right="2759" w:firstLine="484"/>
        <w:spacing w:after="0" w:line="246" w:lineRule="auto"/>
        <w:rPr>
          <w:sz w:val="20"/>
          <w:szCs w:val="20"/>
          <w:color w:val="auto"/>
        </w:rPr>
      </w:pPr>
      <w:r>
        <w:rPr>
          <w:rFonts w:ascii="Courier New" w:cs="Courier New" w:eastAsia="Courier New" w:hAnsi="Courier New"/>
          <w:sz w:val="16"/>
          <w:szCs w:val="16"/>
          <w:color w:val="auto"/>
        </w:rPr>
        <w:t>Profit Sharing. The Company distributes ten percent (10%) of the Company's quarterly net after-tax profits to all eligible employees of the Company. The plan provides equal distribution of the first $500,000 of the amount eligible for distribution. Amounts exceeding this limit are distributed in proportion to the base salary of eligible employees. Prior to the merger of Micron Semiconductor, Inc., with and into the Company in November 1994, the amount of Company consolidated net after-tax profits allocable to Company employees was determined based on a comparison of the total base salary for all Company employees to the total base salary for all employees of the Company and its subsidiaries.</w:t>
      </w:r>
    </w:p>
    <w:p>
      <w:pPr>
        <w:sectPr>
          <w:pgSz w:w="11900" w:h="16838" w:orient="portrait"/>
          <w:cols w:equalWidth="0" w:num="1">
            <w:col w:w="10219"/>
          </w:cols>
          <w:pgMar w:left="240" w:top="676" w:right="1440" w:bottom="1440" w:gutter="0" w:footer="0" w:header="0"/>
        </w:sectPr>
      </w:pPr>
    </w:p>
    <w:bookmarkStart w:id="13" w:name="page14"/>
    <w:bookmarkEnd w:id="13"/>
    <w:p>
      <w:pPr>
        <w:ind w:right="2859"/>
        <w:spacing w:after="0" w:line="248" w:lineRule="auto"/>
        <w:rPr>
          <w:sz w:val="20"/>
          <w:szCs w:val="20"/>
          <w:color w:val="auto"/>
        </w:rPr>
      </w:pPr>
      <w:r>
        <w:rPr>
          <w:rFonts w:ascii="Courier New" w:cs="Courier New" w:eastAsia="Courier New" w:hAnsi="Courier New"/>
          <w:sz w:val="16"/>
          <w:szCs w:val="16"/>
          <w:color w:val="auto"/>
        </w:rPr>
        <w:t>Distributions to Micron Semiconductor, Inc., employees were determined based on net after-tax profits attributable to Micron Semiconductor, Inc.</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Incentive Bonuses. From time to time, incentive cash bonuses are approved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payment to employees, including executive officers, for the achievement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milestones, the completion of projects identified as contributing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substantially to company success, and the attainment of technological advances.</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Equity Compensation</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Stock Options. In order to provide long-term incentive to the executive officers and employees of the Company and its subsidiaries related to long-term growth in the value of the Company's stock, the Company issues incentive stock options and nonstatutory stock options to such persons under the Company's incentive stock option plans.</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Other Compensation</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addition to cash and equity compensation programs, the executive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 participate in various other employee benefit plans, including but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limited to time-off plans and a recently terminated sabbatical program made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available by the Company. Under these plans, all employees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including executive officers, are allowed to accumulate vacation time and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 a sabbatical leave for time accumulated under the sabbatical program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prior to termination, or to receive cash in lieu thereof.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participation in various clubs, organizations, and associations may also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funded by the Company.</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Long-Term Incentives</w:t>
      </w:r>
    </w:p>
    <w:p>
      <w:pPr>
        <w:spacing w:after="0" w:line="191" w:lineRule="exact"/>
        <w:rPr>
          <w:sz w:val="20"/>
          <w:szCs w:val="20"/>
          <w:color w:val="auto"/>
        </w:rPr>
      </w:pPr>
    </w:p>
    <w:p>
      <w:pPr>
        <w:ind w:right="2959" w:firstLine="484"/>
        <w:spacing w:after="0" w:line="246" w:lineRule="auto"/>
        <w:rPr>
          <w:sz w:val="20"/>
          <w:szCs w:val="20"/>
          <w:color w:val="auto"/>
        </w:rPr>
      </w:pPr>
      <w:r>
        <w:rPr>
          <w:rFonts w:ascii="Courier New" w:cs="Courier New" w:eastAsia="Courier New" w:hAnsi="Courier New"/>
          <w:sz w:val="16"/>
          <w:szCs w:val="16"/>
          <w:color w:val="auto"/>
        </w:rPr>
        <w:t>In an effort to encourage employees and executive officers to remain employed and to promote Company performance, many compensation programs for employees and executive officers contain provisions delaying payment and requiring continuing Company profitability. In this regard, cash bonuses</w:t>
      </w:r>
    </w:p>
    <w:p>
      <w:pPr>
        <w:spacing w:after="0" w:line="2"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to each executive officer are approved and paid in equal annual installments over a five (5) year period, provided that the Company is profitable in the year of payment and the individual remains employed by the Company or a subsidiary of the Company. Likewise, stock options granted to executive officers typically have a term of six (6) years and vest twenty percent (20%) each year for a period of five (5) years from the date of grant.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CEO Compensation</w:t>
      </w:r>
    </w:p>
    <w:p>
      <w:pPr>
        <w:spacing w:after="0" w:line="191" w:lineRule="exact"/>
        <w:rPr>
          <w:sz w:val="20"/>
          <w:szCs w:val="20"/>
          <w:color w:val="auto"/>
        </w:rPr>
      </w:pPr>
    </w:p>
    <w:p>
      <w:pPr>
        <w:ind w:right="2759" w:firstLine="484"/>
        <w:spacing w:after="0" w:line="246" w:lineRule="auto"/>
        <w:rPr>
          <w:sz w:val="20"/>
          <w:szCs w:val="20"/>
          <w:color w:val="auto"/>
        </w:rPr>
      </w:pPr>
      <w:r>
        <w:rPr>
          <w:rFonts w:ascii="Courier New" w:cs="Courier New" w:eastAsia="Courier New" w:hAnsi="Courier New"/>
          <w:sz w:val="16"/>
          <w:szCs w:val="16"/>
          <w:color w:val="auto"/>
        </w:rPr>
        <w:t>During fiscal year 1994, Joseph L. Parkinson served as the Chairman of the Board of Directors and the Chief Executive Officer of the Company. He resigned from his officer and director positions with the Company, effective as of September 26, 1994. Mr. Parkinson is a founder of the Company and served as President and Chief Operating Officer of the Company from 1980 to 1986 when he was appointed to serve in the above positions. Mr. Parkinson's compensation for fiscal year 1994 was comprised almost entirely of amounts received under the executive officer compensation programs described above. The amounts paid to Mr. Parkinson during the fiscal year were based primarily on a subjective analysis of Mr. Parkinson's performance, his contributions to Company operations, the Company's performance, and a competitive analysis completed by the committee members in the prior fiscal year.</w:t>
      </w:r>
    </w:p>
    <w:p>
      <w:pPr>
        <w:spacing w:after="0" w:line="193" w:lineRule="exact"/>
        <w:rPr>
          <w:sz w:val="20"/>
          <w:szCs w:val="20"/>
          <w:color w:val="auto"/>
        </w:rPr>
      </w:pPr>
    </w:p>
    <w:p>
      <w:pPr>
        <w:ind w:right="2959" w:firstLine="484"/>
        <w:spacing w:after="0" w:line="247" w:lineRule="auto"/>
        <w:rPr>
          <w:sz w:val="20"/>
          <w:szCs w:val="20"/>
          <w:color w:val="auto"/>
        </w:rPr>
      </w:pPr>
      <w:r>
        <w:rPr>
          <w:rFonts w:ascii="Courier New" w:cs="Courier New" w:eastAsia="Courier New" w:hAnsi="Courier New"/>
          <w:sz w:val="16"/>
          <w:szCs w:val="16"/>
          <w:color w:val="auto"/>
        </w:rPr>
        <w:t>In September 1993, the Board adjusted Mr. Parkinson's base salary from $500,000 to $700,000 per year based primarily on Mr. Parkinson's overall performance relative to the Company's performance during fiscal year 1993, anticipated performance for fiscal year 1994, and on the Board's subjective analysis of the Company's ability to compete long-term with the pay practices of competing companies.</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bonus payments received by Mr. Parkinson during fiscal year 1994 were attributable to Company performance bonuses earned for profits achieved in fiscal years 1993 and 1994. Mr. Parkinson's total cash compensation increased in fiscal year 1994 as compared to fiscal year 1993, due to the increase to his base salary and the payment in fiscal year 1994 of bonuses attributable to significant profits achieved in fiscal years 1993 and 1994. At his request, Mr. Parkinson was not granted stock options in fiscal years 1993 and 1994.</w:t>
      </w:r>
    </w:p>
    <w:p>
      <w:pPr>
        <w:spacing w:after="0" w:line="18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Compensation Committee of the Board of Directors</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Robert A. Lothrop</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Thomas T. Nicholson</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Allen T. Noble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John R. Simplot</w:t>
      </w:r>
    </w:p>
    <w:p>
      <w:pPr>
        <w:sectPr>
          <w:pgSz w:w="11900" w:h="16838" w:orient="portrait"/>
          <w:cols w:equalWidth="0" w:num="1">
            <w:col w:w="10219"/>
          </w:cols>
          <w:pgMar w:left="240" w:top="676" w:right="1440" w:bottom="1440" w:gutter="0" w:footer="0" w:header="0"/>
        </w:sectPr>
      </w:pPr>
    </w:p>
    <w:bookmarkStart w:id="14" w:name="page15"/>
    <w:bookmarkEnd w:id="14"/>
    <w:p>
      <w:pPr>
        <w:jc w:val="center"/>
        <w:ind w:right="2759"/>
        <w:spacing w:after="0"/>
        <w:rPr>
          <w:sz w:val="20"/>
          <w:szCs w:val="20"/>
          <w:color w:val="auto"/>
        </w:rPr>
      </w:pPr>
      <w:r>
        <w:rPr>
          <w:rFonts w:ascii="Courier New" w:cs="Courier New" w:eastAsia="Courier New" w:hAnsi="Courier New"/>
          <w:sz w:val="16"/>
          <w:szCs w:val="16"/>
          <w:color w:val="auto"/>
        </w:rPr>
        <w:t>PERFORMANCE GRAPH</w:t>
      </w:r>
    </w:p>
    <w:p>
      <w:pPr>
        <w:spacing w:after="0" w:line="191" w:lineRule="exact"/>
        <w:rPr>
          <w:sz w:val="20"/>
          <w:szCs w:val="20"/>
          <w:color w:val="auto"/>
        </w:rPr>
      </w:pPr>
    </w:p>
    <w:p>
      <w:pPr>
        <w:ind w:right="2759" w:firstLine="484"/>
        <w:spacing w:after="0" w:line="246" w:lineRule="auto"/>
        <w:rPr>
          <w:sz w:val="20"/>
          <w:szCs w:val="20"/>
          <w:color w:val="auto"/>
        </w:rPr>
      </w:pPr>
      <w:r>
        <w:rPr>
          <w:rFonts w:ascii="Courier New" w:cs="Courier New" w:eastAsia="Courier New" w:hAnsi="Courier New"/>
          <w:sz w:val="16"/>
          <w:szCs w:val="16"/>
          <w:color w:val="auto"/>
        </w:rPr>
        <w:t>The following graph illustrates a five-year comparison of cumulative total returns for the Company's Common Stock, the S&amp;P 500 Composite Index and the S&amp;P Electronics (Semiconductors) Index from August 31, 1989, through August 31, 1994. In September 1994, the Company was added to the S&amp;P Electronics (Semiconductors) Index. For purpose of this disclosure, current companies of S&amp;P Electronics (Semiconductors) Index include Advanced Micro Devices, Inc.; Intel Corporation; Micron Technology, Inc.; Motorola, Inc.; National Semiconductor Corporation; and Texas Instruments Incorporated.</w:t>
      </w:r>
    </w:p>
    <w:p>
      <w:pPr>
        <w:spacing w:after="0" w:line="191" w:lineRule="exact"/>
        <w:rPr>
          <w:sz w:val="20"/>
          <w:szCs w:val="20"/>
          <w:color w:val="auto"/>
        </w:rPr>
      </w:pPr>
    </w:p>
    <w:p>
      <w:pPr>
        <w:ind w:right="2959" w:firstLine="484"/>
        <w:spacing w:after="0" w:line="247" w:lineRule="auto"/>
        <w:rPr>
          <w:sz w:val="20"/>
          <w:szCs w:val="20"/>
          <w:color w:val="auto"/>
        </w:rPr>
      </w:pPr>
      <w:r>
        <w:rPr>
          <w:rFonts w:ascii="Courier New" w:cs="Courier New" w:eastAsia="Courier New" w:hAnsi="Courier New"/>
          <w:sz w:val="16"/>
          <w:szCs w:val="16"/>
          <w:color w:val="auto"/>
        </w:rPr>
        <w:t>Note: Management cautions that the stock price performance information shown in the graph below is provided as of fiscal year-end and may not be indicative of current stock price levels or future stock price performance.</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 operates on a 52/53 week fiscal year which ends 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Thursday closest to August 31. Accordingly, the Company's last trading day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fiscal year varies. For consistent presentation and comparison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indices shown herein, the Company has calculated its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performance graph assuming an August 31 year-end. The performance graph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assumes $100 invested on August 31, 1989, in common stock of Micron Technology,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 the S&amp;P 500 Composite Index, and the S&amp;P Electronics (Semiconductors)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Index. Any dividends paid during the period presented are assumed to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reinvested. The performance was plotted using the following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Year Ending</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August</w:t>
            </w:r>
          </w:p>
        </w:tc>
        <w:tc>
          <w:tcPr>
            <w:tcW w:w="6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31</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6"/>
        </w:trPr>
        <w:tc>
          <w:tcPr>
            <w:tcW w:w="3780" w:type="dxa"/>
            <w:vAlign w:val="bottom"/>
          </w:tcPr>
          <w:p>
            <w:pPr>
              <w:spacing w:after="0"/>
              <w:rPr>
                <w:sz w:val="16"/>
                <w:szCs w:val="16"/>
                <w:color w:val="auto"/>
              </w:rPr>
            </w:pPr>
          </w:p>
        </w:tc>
        <w:tc>
          <w:tcPr>
            <w:tcW w:w="3880" w:type="dxa"/>
            <w:vAlign w:val="bottom"/>
            <w:gridSpan w:val="9"/>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780" w:type="dxa"/>
            <w:vAlign w:val="bottom"/>
          </w:tcPr>
          <w:p>
            <w:pPr>
              <w:spacing w:after="0"/>
              <w:rPr>
                <w:sz w:val="16"/>
                <w:szCs w:val="16"/>
                <w:color w:val="auto"/>
              </w:rPr>
            </w:pP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1989</w:t>
            </w:r>
          </w:p>
        </w:tc>
        <w:tc>
          <w:tcPr>
            <w:tcW w:w="200" w:type="dxa"/>
            <w:vAlign w:val="bottom"/>
          </w:tcPr>
          <w:p>
            <w:pPr>
              <w:spacing w:after="0"/>
              <w:rPr>
                <w:sz w:val="16"/>
                <w:szCs w:val="16"/>
                <w:color w:val="auto"/>
              </w:rPr>
            </w:pP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1990</w:t>
            </w:r>
          </w:p>
        </w:tc>
        <w:tc>
          <w:tcPr>
            <w:tcW w:w="200" w:type="dxa"/>
            <w:vAlign w:val="bottom"/>
          </w:tcPr>
          <w:p>
            <w:pPr>
              <w:spacing w:after="0"/>
              <w:rPr>
                <w:sz w:val="16"/>
                <w:szCs w:val="16"/>
                <w:color w:val="auto"/>
              </w:rPr>
            </w:pP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3"/>
              </w:rPr>
              <w:t>1991</w:t>
            </w: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1992</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1993</w:t>
            </w: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1994</w:t>
            </w:r>
          </w:p>
        </w:tc>
      </w:tr>
      <w:tr>
        <w:trPr>
          <w:trHeight w:val="186"/>
        </w:trPr>
        <w:tc>
          <w:tcPr>
            <w:tcW w:w="3780" w:type="dxa"/>
            <w:vAlign w:val="bottom"/>
          </w:tcPr>
          <w:p>
            <w:pPr>
              <w:spacing w:after="0"/>
              <w:rPr>
                <w:sz w:val="16"/>
                <w:szCs w:val="16"/>
                <w:color w:val="auto"/>
              </w:rPr>
            </w:pP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c>
          <w:tcPr>
            <w:tcW w:w="6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780" w:type="dxa"/>
            <w:vAlign w:val="bottom"/>
          </w:tcPr>
          <w:p>
            <w:pPr>
              <w:spacing w:after="0"/>
              <w:rPr>
                <w:sz w:val="20"/>
                <w:szCs w:val="20"/>
                <w:color w:val="auto"/>
              </w:rPr>
            </w:pPr>
            <w:r>
              <w:rPr>
                <w:rFonts w:ascii="Courier New" w:cs="Courier New" w:eastAsia="Courier New" w:hAnsi="Courier New"/>
                <w:sz w:val="16"/>
                <w:szCs w:val="16"/>
                <w:color w:val="auto"/>
              </w:rPr>
              <w:t>Micron Technology, Inc.................</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$ 100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98</w:t>
            </w: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$ 106</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$ 374</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707</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S&amp;P Electronics (Semiconductors) Index.</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w:t>
            </w:r>
          </w:p>
        </w:tc>
        <w:tc>
          <w:tcPr>
            <w:tcW w:w="200" w:type="dxa"/>
            <w:vAlign w:val="bottom"/>
          </w:tcPr>
          <w:p>
            <w:pPr>
              <w:spacing w:after="0"/>
              <w:rPr>
                <w:sz w:val="16"/>
                <w:szCs w:val="16"/>
                <w:color w:val="auto"/>
              </w:rPr>
            </w:pP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106</w:t>
            </w:r>
          </w:p>
        </w:tc>
        <w:tc>
          <w:tcPr>
            <w:tcW w:w="200" w:type="dxa"/>
            <w:vAlign w:val="bottom"/>
          </w:tcPr>
          <w:p>
            <w:pPr>
              <w:spacing w:after="0"/>
              <w:rPr>
                <w:sz w:val="16"/>
                <w:szCs w:val="16"/>
                <w:color w:val="auto"/>
              </w:rPr>
            </w:pP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126</w:t>
            </w: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154</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366</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S&amp;P 500 Composite Index................</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w:t>
            </w:r>
          </w:p>
        </w:tc>
        <w:tc>
          <w:tcPr>
            <w:tcW w:w="200" w:type="dxa"/>
            <w:vAlign w:val="bottom"/>
          </w:tcPr>
          <w:p>
            <w:pPr>
              <w:spacing w:after="0"/>
              <w:rPr>
                <w:sz w:val="16"/>
                <w:szCs w:val="16"/>
                <w:color w:val="auto"/>
              </w:rPr>
            </w:pP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w:t>
            </w:r>
          </w:p>
        </w:tc>
        <w:tc>
          <w:tcPr>
            <w:tcW w:w="200" w:type="dxa"/>
            <w:vAlign w:val="bottom"/>
          </w:tcPr>
          <w:p>
            <w:pPr>
              <w:spacing w:after="0"/>
              <w:rPr>
                <w:sz w:val="16"/>
                <w:szCs w:val="16"/>
                <w:color w:val="auto"/>
              </w:rPr>
            </w:pP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121</w:t>
            </w: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130</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158</w:t>
            </w:r>
          </w:p>
        </w:tc>
      </w:tr>
    </w:tbl>
    <w:p>
      <w:pPr>
        <w:sectPr>
          <w:pgSz w:w="11900" w:h="16838" w:orient="portrait"/>
          <w:cols w:equalWidth="0" w:num="1">
            <w:col w:w="10219"/>
          </w:cols>
          <w:pgMar w:left="240" w:top="48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Joseph L. Parkinson and Reid N. Langrill, who resigned as directors and officers of the Company on September 26, 1994, served as committee members during fiscal year 1994. During the fiscal year, there were no other members of the Compensation Committee who were officers or employees of the Company or any of its subsidiaries, or that had any relationship otherwise requiring disclosure.</w:t>
      </w:r>
    </w:p>
    <w:p>
      <w:pPr>
        <w:spacing w:after="0" w:line="18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PROPOSAL TO APPROVE THE AMENDMENT TO THE COMPANY'S</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CERTIFICATE OF INCORPORATION</w:t>
      </w:r>
    </w:p>
    <w:p>
      <w:pPr>
        <w:spacing w:after="0" w:line="191"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The Company's Certificate of Incorporation (the "Certificate"), as currently in effect, provides that the Company is authorized to issue one class of stock, consisting of 150,000,000 shares of Common Stock, $0.10 par value per share. In 1994, the Board of Directors authorized an amendment to the Certificate to increase the authorized number of shares of Common Stock to 300,000,000 shares. The shareholders are being asked to approve at the Annual Meeting such amendment to the Certificate. Under the proposed amendment, paragraph 4 of the Certificate would be amended to read as follows:</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"4. The total number of shares of common stock which the corporation shall have the authority to issue is three hundred million (300,000,000), and the par value of each of such shares is Ten Cents ($0.10)."</w:t>
      </w:r>
    </w:p>
    <w:p>
      <w:pPr>
        <w:spacing w:after="0" w:line="186"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The Company currently has 150,000,000 authorized shares of Common Stock. As of November 3, 1994, 102,093,051 shares of Common Stock were issued and outstanding. In addition, as of November 3, 1994, and without giving effect to the proposal to approve the Company's 1994 Stock Option Plan described in this Proxy Statement, 3,698,100 shares were reserved for future grant or for issuance upon the exercise of outstanding options under the Company's 1985 Incentive Stock Option Plan and 1989 Employee Stock Purchase Plan.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 and Effect of the Amendment</w:t>
      </w:r>
    </w:p>
    <w:p>
      <w:pPr>
        <w:spacing w:after="0" w:line="191"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The principal purpose of the proposed amendment to the Certificate is to authorize additional shares of Common Stock which will be available in the event the Board of Directors determines that it is necessary or appropriate to permit future stock dividends or stock splits, to raise additional capital through the sale of securities, to acquire another company or its business or assets, or to establish a strategic relationship with a corporate partner. The Board of Directors has no present plan, agreement, or arrangement to issue any of the shares for which approval is sought. If the amendment is approved by the shareholders, the Board of Directors does not intend to solicit further shareholder approval prior to the issuance of any additional shares of Common Stock, except as may be required by applicable law.</w:t>
      </w:r>
    </w:p>
    <w:p>
      <w:pPr>
        <w:spacing w:after="0" w:line="193"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The increase in authorized Common Stock will not have any immediate effect on the rights of existing shareholders. To the extent that the additional authorized shares are issued in the future, the existing shareholders' percentage equity ownership will decrease and, depending on the price at which shares are issued, could have the effect of diluting the earnings per share and book value per share of outstanding shares of Common Stock. The holders of Common Stock have no preemptive rights. The increase in the authorized number of shares of Common Stock and the subsequent issuance of such shares could have the effect of delaying or preventing a change in control of the Company without further action by the shareholders by diluting the stock ownership or voting rights of a person seeking to obtain control of the Company.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Required Vote</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The approval of the amendment to the Certificate of Incorporation requires the affirmative vote of a majority of the shares of the Company's Common Stock present and entitled to vote on this subject matter at the meeting. An abstention is not an affirmative vote and, therefore, will have the same effect as a vote against the proposal. Management recommends voting "FOR" approval of the amendment.</w:t>
      </w:r>
    </w:p>
    <w:p>
      <w:pPr>
        <w:sectPr>
          <w:pgSz w:w="11900" w:h="16838" w:orient="portrait"/>
          <w:cols w:equalWidth="0" w:num="1">
            <w:col w:w="10219"/>
          </w:cols>
          <w:pgMar w:left="240" w:top="676" w:right="1440" w:bottom="1440" w:gutter="0" w:footer="0" w:header="0"/>
        </w:sectPr>
      </w:pPr>
    </w:p>
    <w:bookmarkStart w:id="16" w:name="page17"/>
    <w:bookmarkEnd w:id="16"/>
    <w:p>
      <w:pPr>
        <w:ind w:left="1541"/>
        <w:spacing w:after="0"/>
        <w:rPr>
          <w:sz w:val="20"/>
          <w:szCs w:val="20"/>
          <w:color w:val="auto"/>
        </w:rPr>
      </w:pPr>
      <w:r>
        <w:rPr>
          <w:rFonts w:ascii="Courier New" w:cs="Courier New" w:eastAsia="Courier New" w:hAnsi="Courier New"/>
          <w:sz w:val="16"/>
          <w:szCs w:val="16"/>
          <w:color w:val="auto"/>
        </w:rPr>
        <w:t>PROPOSAL TO APPROVE THE 1994 STOCK OPTION PLAN</w:t>
      </w:r>
    </w:p>
    <w:p>
      <w:pPr>
        <w:spacing w:after="0" w:line="191" w:lineRule="exact"/>
        <w:rPr>
          <w:sz w:val="20"/>
          <w:szCs w:val="20"/>
          <w:color w:val="auto"/>
        </w:rPr>
      </w:pPr>
    </w:p>
    <w:p>
      <w:pPr>
        <w:ind w:left="1" w:right="2659" w:firstLine="484"/>
        <w:spacing w:after="0" w:line="246" w:lineRule="auto"/>
        <w:rPr>
          <w:sz w:val="20"/>
          <w:szCs w:val="20"/>
          <w:color w:val="auto"/>
        </w:rPr>
      </w:pPr>
      <w:r>
        <w:rPr>
          <w:rFonts w:ascii="Courier New" w:cs="Courier New" w:eastAsia="Courier New" w:hAnsi="Courier New"/>
          <w:sz w:val="16"/>
          <w:szCs w:val="16"/>
          <w:color w:val="auto"/>
        </w:rPr>
        <w:t>The Company seeks shareholder approval of the 1994 Stock Option Plan (the "1994 Plan"). On October 27, 1994, the Board of Directors unanimously approved the 1994 Plan and directed that it be submitted to the Company's shareholders at the 1994 Annual Meeting. The 1994 Plan includes provisions necessary for the plan to comply with Section 162(m) of the Internal Revenue Code of 1986 (the "Code"). Section 162(m) places a limit of $1,000,000 on the amount of certain compensation that may be deducted by the Company in any tax year with respect to each of the Company's highest paid executives, including compensation relating to stock option exercises. The compensation of the highest paid executives is not subject to the deduction limit, if certain limitations approved by shareholders are applied to stock options granted to executive officers.</w:t>
      </w:r>
    </w:p>
    <w:p>
      <w:pPr>
        <w:spacing w:after="0" w:line="193" w:lineRule="exact"/>
        <w:rPr>
          <w:sz w:val="20"/>
          <w:szCs w:val="20"/>
          <w:color w:val="auto"/>
        </w:rPr>
      </w:pPr>
    </w:p>
    <w:p>
      <w:pPr>
        <w:ind w:left="1" w:right="3039" w:firstLine="484"/>
        <w:spacing w:after="0" w:line="247" w:lineRule="auto"/>
        <w:rPr>
          <w:sz w:val="20"/>
          <w:szCs w:val="20"/>
          <w:color w:val="auto"/>
        </w:rPr>
      </w:pPr>
      <w:r>
        <w:rPr>
          <w:rFonts w:ascii="Courier New" w:cs="Courier New" w:eastAsia="Courier New" w:hAnsi="Courier New"/>
          <w:sz w:val="16"/>
          <w:szCs w:val="16"/>
          <w:color w:val="auto"/>
        </w:rPr>
        <w:t>The following is a summary of the material features of the 1994 Plan. The 1994 Plan is attached as Appendix A to this Proxy Statement, and the following summary is qualified in its entirety by reference to it.</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Purpose of the 1994 Plan</w:t>
      </w:r>
    </w:p>
    <w:p>
      <w:pPr>
        <w:spacing w:after="0" w:line="191"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The 1,000,000 shares reserved for issuance under the 1994 Plan represent less than one percent (1%) of the Company's Common Stock outstanding as of November 3, 1994. The stock options awarded under the 1994 Plan are designed to align management and shareholder long-term interests and to enable the Company to attract, motivate, and retain experienced and qualified management personnel.</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Administration</w:t>
      </w:r>
    </w:p>
    <w:p>
      <w:pPr>
        <w:spacing w:after="0" w:line="191" w:lineRule="exact"/>
        <w:rPr>
          <w:sz w:val="20"/>
          <w:szCs w:val="20"/>
          <w:color w:val="auto"/>
        </w:rPr>
      </w:pPr>
    </w:p>
    <w:p>
      <w:pPr>
        <w:ind w:left="1" w:right="2759" w:firstLine="484"/>
        <w:spacing w:after="0" w:line="246" w:lineRule="auto"/>
        <w:rPr>
          <w:sz w:val="20"/>
          <w:szCs w:val="20"/>
          <w:color w:val="auto"/>
        </w:rPr>
      </w:pPr>
      <w:r>
        <w:rPr>
          <w:rFonts w:ascii="Courier New" w:cs="Courier New" w:eastAsia="Courier New" w:hAnsi="Courier New"/>
          <w:sz w:val="16"/>
          <w:szCs w:val="16"/>
          <w:color w:val="auto"/>
        </w:rPr>
        <w:t>The 1994 Plan shall be administered by (i) the Board of Directors if the Board may administer the Plan in compliance with Rule 16b-3 ("Rule 16b-3") promulgated under the Securities Exchange Act of 1934 (the "Exchange Act") or</w:t>
      </w:r>
    </w:p>
    <w:p>
      <w:pPr>
        <w:spacing w:after="0" w:line="2" w:lineRule="exact"/>
        <w:rPr>
          <w:sz w:val="20"/>
          <w:szCs w:val="20"/>
          <w:color w:val="auto"/>
        </w:rPr>
      </w:pPr>
    </w:p>
    <w:p>
      <w:pPr>
        <w:ind w:left="481" w:hanging="481"/>
        <w:spacing w:after="0"/>
        <w:tabs>
          <w:tab w:leader="none" w:pos="4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committee appointed by the Board and constituted so as to permit the</w:t>
      </w:r>
    </w:p>
    <w:p>
      <w:pPr>
        <w:spacing w:after="0" w:line="5" w:lineRule="exact"/>
        <w:rPr>
          <w:rFonts w:ascii="Courier New" w:cs="Courier New" w:eastAsia="Courier New" w:hAnsi="Courier New"/>
          <w:sz w:val="16"/>
          <w:szCs w:val="16"/>
          <w:color w:val="auto"/>
        </w:rPr>
      </w:pPr>
    </w:p>
    <w:p>
      <w:pPr>
        <w:ind w:left="1"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1994 Plan to comply with the provisions of Rule 16b-3. If permitted by Rule 16b-3, the 1994 Plan may be administered by different bodies with respect to employees who are directors, non-director officers, employees who are neither directors nor officers, and consultants. For purposes of this plan description, the term "Committee" shall mean the Compensation Committee of the Board. Members of the Board receive no additional compensation for their services in connection with the administration of the 1994 Plan.</w:t>
      </w:r>
    </w:p>
    <w:p>
      <w:pPr>
        <w:spacing w:after="0" w:line="185" w:lineRule="exact"/>
        <w:rPr>
          <w:sz w:val="20"/>
          <w:szCs w:val="20"/>
          <w:color w:val="auto"/>
        </w:rPr>
      </w:pPr>
    </w:p>
    <w:p>
      <w:pPr>
        <w:ind w:left="1" w:right="2759" w:firstLine="484"/>
        <w:spacing w:after="0" w:line="246" w:lineRule="auto"/>
        <w:rPr>
          <w:sz w:val="20"/>
          <w:szCs w:val="20"/>
          <w:color w:val="auto"/>
        </w:rPr>
      </w:pPr>
      <w:r>
        <w:rPr>
          <w:rFonts w:ascii="Courier New" w:cs="Courier New" w:eastAsia="Courier New" w:hAnsi="Courier New"/>
          <w:sz w:val="16"/>
          <w:szCs w:val="16"/>
          <w:color w:val="auto"/>
        </w:rPr>
        <w:t>The Committee has the discretion to select the employees and consultants to whom options may be granted (an "Optionee"), to determine the number of shares granted under each option, and to make all other determinations which it deems necessary or appropriate in the interpretation and administration of the 1994 Plan. The Committee, in its discretion, may accelerate the vesting of any option, may reduce the exercise price of any option, and amend or modify any option provided such amendment does not impair the rights of any Optionee unless mutually agreed otherwise by the Optionee and Committee. Options granted under the 1994 Plan will be evidenced by a written agreement between the Company and the Optionee, containing the specific terms and conditions of each option. The current form of agreement provides for an option term of six (6) years with the shares exercisable one-fifth (1/5) per year commencing with the first anniversary date of the date of grant.</w:t>
      </w:r>
    </w:p>
    <w:p>
      <w:pPr>
        <w:spacing w:after="0" w:line="19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Eligible Participants</w:t>
      </w:r>
    </w:p>
    <w:p>
      <w:pPr>
        <w:spacing w:after="0" w:line="191" w:lineRule="exact"/>
        <w:rPr>
          <w:sz w:val="20"/>
          <w:szCs w:val="20"/>
          <w:color w:val="auto"/>
        </w:rPr>
      </w:pPr>
    </w:p>
    <w:p>
      <w:pPr>
        <w:ind w:left="1" w:right="2759" w:firstLine="484"/>
        <w:spacing w:after="0" w:line="246" w:lineRule="auto"/>
        <w:rPr>
          <w:sz w:val="20"/>
          <w:szCs w:val="20"/>
          <w:color w:val="auto"/>
        </w:rPr>
      </w:pPr>
      <w:r>
        <w:rPr>
          <w:rFonts w:ascii="Courier New" w:cs="Courier New" w:eastAsia="Courier New" w:hAnsi="Courier New"/>
          <w:sz w:val="16"/>
          <w:szCs w:val="16"/>
          <w:color w:val="auto"/>
        </w:rPr>
        <w:t>Only persons who are officers, employees, or consultants, including advisors, of the Company will be eligible to participate in, and to receive options under, the 1994 Plan. Neither the members of the Committee, nor any member of the Company's Board of Directors who is not also an officer or employee of the Company, may participate in the 1994 Plan. As of November 3, 1994, there were approximately 5,700 employees of the Company who would be eligible to participate in the 1994 Plan. An Optionee may be granted more than one option under the 1994 Plan. No employee of the Company shall be granted Options to purchase more than 250,000 shares during any fiscal year.</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Terms of Options</w:t>
      </w:r>
    </w:p>
    <w:p>
      <w:pPr>
        <w:spacing w:after="0" w:line="191" w:lineRule="exact"/>
        <w:rPr>
          <w:sz w:val="20"/>
          <w:szCs w:val="20"/>
          <w:color w:val="auto"/>
        </w:rPr>
      </w:pPr>
    </w:p>
    <w:p>
      <w:pPr>
        <w:ind w:left="1" w:right="2759" w:firstLine="484"/>
        <w:spacing w:after="0" w:line="248" w:lineRule="auto"/>
        <w:rPr>
          <w:sz w:val="20"/>
          <w:szCs w:val="20"/>
          <w:color w:val="auto"/>
        </w:rPr>
      </w:pPr>
      <w:r>
        <w:rPr>
          <w:rFonts w:ascii="Courier New" w:cs="Courier New" w:eastAsia="Courier New" w:hAnsi="Courier New"/>
          <w:sz w:val="16"/>
          <w:szCs w:val="16"/>
          <w:color w:val="auto"/>
        </w:rPr>
        <w:t>The 1994 Plan provides for the grant of incentive stock options ("ISOs") as defined in Section 422A of the Code, or nonstatutory stock options ("NSOs"). Options granted to consultants shall be nonstatutory stock options.</w:t>
      </w:r>
    </w:p>
    <w:p>
      <w:pPr>
        <w:sectPr>
          <w:pgSz w:w="11900" w:h="16838" w:orient="portrait"/>
          <w:cols w:equalWidth="0" w:num="1">
            <w:col w:w="10220"/>
          </w:cols>
          <w:pgMar w:left="239" w:top="676" w:right="1440" w:bottom="1440" w:gutter="0" w:footer="0" w:header="0"/>
        </w:sectPr>
      </w:pPr>
    </w:p>
    <w:bookmarkStart w:id="17" w:name="page18"/>
    <w:bookmarkEnd w:id="17"/>
    <w:p>
      <w:pPr>
        <w:ind w:left="1"/>
        <w:spacing w:after="0"/>
        <w:rPr>
          <w:sz w:val="20"/>
          <w:szCs w:val="20"/>
          <w:color w:val="auto"/>
        </w:rPr>
      </w:pPr>
      <w:r>
        <w:rPr>
          <w:rFonts w:ascii="Courier New" w:cs="Courier New" w:eastAsia="Courier New" w:hAnsi="Courier New"/>
          <w:sz w:val="16"/>
          <w:szCs w:val="16"/>
          <w:color w:val="auto"/>
        </w:rPr>
        <w:t>The purchase price per share payable by an Optionee upon the</w:t>
      </w:r>
    </w:p>
    <w:p>
      <w:pPr>
        <w:spacing w:after="0" w:line="5" w:lineRule="exact"/>
        <w:rPr>
          <w:sz w:val="20"/>
          <w:szCs w:val="20"/>
          <w:color w:val="auto"/>
        </w:rPr>
      </w:pPr>
    </w:p>
    <w:p>
      <w:pPr>
        <w:ind w:left="1" w:right="2659"/>
        <w:spacing w:after="0" w:line="246" w:lineRule="auto"/>
        <w:rPr>
          <w:sz w:val="20"/>
          <w:szCs w:val="20"/>
          <w:color w:val="auto"/>
        </w:rPr>
      </w:pPr>
      <w:r>
        <w:rPr>
          <w:rFonts w:ascii="Courier New" w:cs="Courier New" w:eastAsia="Courier New" w:hAnsi="Courier New"/>
          <w:sz w:val="16"/>
          <w:szCs w:val="16"/>
          <w:color w:val="auto"/>
        </w:rPr>
        <w:t>exercise of each ISO granted under the 1994 Plan shall equal the fair market value of the Company's Common Stock on the date of the grant. The fair market value of the Company's stock is deemed to be the average closing price of the Company's Common Stock as quoted on the New York Stock Exchange for the five</w:t>
      </w:r>
    </w:p>
    <w:p>
      <w:pPr>
        <w:spacing w:after="0" w:line="2" w:lineRule="exact"/>
        <w:rPr>
          <w:sz w:val="20"/>
          <w:szCs w:val="20"/>
          <w:color w:val="auto"/>
        </w:rPr>
      </w:pPr>
    </w:p>
    <w:p>
      <w:pPr>
        <w:ind w:left="1" w:right="2559" w:hanging="1"/>
        <w:spacing w:after="0" w:line="247" w:lineRule="auto"/>
        <w:tabs>
          <w:tab w:leader="none" w:pos="38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days preceding the date the Option is granted. The purchase price per share payable by an Optionee upon the exercise of each NSO granted under the 1994 Plan shall be determined by the Committee.</w:t>
      </w:r>
    </w:p>
    <w:p>
      <w:pPr>
        <w:spacing w:after="0" w:line="186" w:lineRule="exact"/>
        <w:rPr>
          <w:sz w:val="20"/>
          <w:szCs w:val="20"/>
          <w:color w:val="auto"/>
        </w:rPr>
      </w:pPr>
    </w:p>
    <w:p>
      <w:pPr>
        <w:ind w:left="1" w:right="2859" w:firstLine="484"/>
        <w:spacing w:after="0" w:line="246" w:lineRule="auto"/>
        <w:rPr>
          <w:sz w:val="20"/>
          <w:szCs w:val="20"/>
          <w:color w:val="auto"/>
        </w:rPr>
      </w:pPr>
      <w:r>
        <w:rPr>
          <w:rFonts w:ascii="Courier New" w:cs="Courier New" w:eastAsia="Courier New" w:hAnsi="Courier New"/>
          <w:sz w:val="16"/>
          <w:szCs w:val="16"/>
          <w:color w:val="auto"/>
        </w:rPr>
        <w:t>The exercise price of an Option granted under the 1994 Plan may be paid in cash, check, promissory note, or, at the discretion of the Committee, in shares of the Company's Common Stock, or in any combination thereof.</w:t>
      </w:r>
    </w:p>
    <w:p>
      <w:pPr>
        <w:spacing w:after="0" w:line="2" w:lineRule="exact"/>
        <w:rPr>
          <w:sz w:val="20"/>
          <w:szCs w:val="20"/>
          <w:color w:val="auto"/>
        </w:rPr>
      </w:pPr>
    </w:p>
    <w:p>
      <w:pPr>
        <w:ind w:left="1" w:right="2659"/>
        <w:spacing w:after="0" w:line="246" w:lineRule="auto"/>
        <w:rPr>
          <w:sz w:val="20"/>
          <w:szCs w:val="20"/>
          <w:color w:val="auto"/>
        </w:rPr>
      </w:pPr>
      <w:r>
        <w:rPr>
          <w:rFonts w:ascii="Courier New" w:cs="Courier New" w:eastAsia="Courier New" w:hAnsi="Courier New"/>
          <w:sz w:val="16"/>
          <w:szCs w:val="16"/>
          <w:color w:val="auto"/>
        </w:rPr>
        <w:t>Other methods of payment available under the Plan include the acceptance by the Committee and stockbroker of documentation necessary to perform a cashless exercise transaction or the reduction of any Company liability to an Optionee. In general, if an Optionee's employment with the Company is terminated for any reason, Options exercisable as of the date of termination may be exercised for a period of 30 days following such date. Options yet to be exercisable terminate immediately upon the date of the termination. However, the Committee may grant Options under the 1994 Plan which survive the termination of an Optionee's employment with the Company, and may accelerate the vesting of Options upon such terms and conditions as the Committee may determine.</w:t>
      </w:r>
    </w:p>
    <w:p>
      <w:pPr>
        <w:spacing w:after="0" w:line="378"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Options granted under the 1994 Plan cannot be assigned, transferred, pledged, or otherwise encumbered in any way, except in the event of the death of an Optionee, by the Optionee's will or by the applicable laws of descent and distribution. Options granted under the 1994 Plan may be exercised during an Optionee's lifetime only by the Optionee or, in certain limited situations, by the Optionee's personal representative.</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Adjustments upon Changes in Capitalization</w:t>
      </w:r>
    </w:p>
    <w:p>
      <w:pPr>
        <w:spacing w:after="0" w:line="191" w:lineRule="exact"/>
        <w:rPr>
          <w:sz w:val="20"/>
          <w:szCs w:val="20"/>
          <w:color w:val="auto"/>
        </w:rPr>
      </w:pPr>
    </w:p>
    <w:p>
      <w:pPr>
        <w:ind w:left="1" w:right="2759" w:firstLine="484"/>
        <w:spacing w:after="0" w:line="246" w:lineRule="auto"/>
        <w:rPr>
          <w:sz w:val="20"/>
          <w:szCs w:val="20"/>
          <w:color w:val="auto"/>
        </w:rPr>
      </w:pPr>
      <w:r>
        <w:rPr>
          <w:rFonts w:ascii="Courier New" w:cs="Courier New" w:eastAsia="Courier New" w:hAnsi="Courier New"/>
          <w:sz w:val="16"/>
          <w:szCs w:val="16"/>
          <w:color w:val="auto"/>
        </w:rPr>
        <w:t>Subject to adjustment in the case of certain changes in the capital structure of the Company, and subject to the shareholders' approval of the 1994 Plan, a maximum of 1,000,000 shares of the Company's $.10 par value Common Stock has been reserved for issuance pursuant to options granted under the 1994 Plan. In the event of a change in the number or nature of the Company's shares of outstanding Common Stock by reason of a stock dividend, stock split, recapitalization, reorganization, merger, exchange of shares, or other similar capital adjustment, a proportionate adjustment may be made in the number of shares reserved for issuance under the 1994 Plan and will be made to the number, class, and a exercise price of shares subject to any outstanding options under the 1994 Plan, in order to maintain the purpose of the original grant.</w:t>
      </w:r>
    </w:p>
    <w:p>
      <w:pPr>
        <w:spacing w:after="0" w:line="19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Amendment and Termination of the 1994 Plan</w:t>
      </w:r>
    </w:p>
    <w:p>
      <w:pPr>
        <w:spacing w:after="0" w:line="191"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The 1994 Plan is effective upon the adoption by the Company's Board of Directors and is subject to approval by the Company's shareholders at the 1994 Annual Meeting and will terminate ten (10) years from such date, unless earlier terminated by the Board of Directors. However, the Company's</w:t>
      </w:r>
    </w:p>
    <w:p>
      <w:pPr>
        <w:spacing w:after="0" w:line="2"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Board of Directors may, at any time, terminate the 1994 Plan on an earlier date, provided that such termination will not affect the rights of the Optionees under any outstanding Options previously granted under the 1994 Plan. In addition, and subject to the limitations in the 1994 Plan, the Company's Board of Directors may amend the Plan at any time.</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Federal Income Tax Consequences</w:t>
      </w:r>
    </w:p>
    <w:p>
      <w:pPr>
        <w:spacing w:after="0" w:line="191"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The following discussion of the federal income tax consequences of the 1994 Plan is intended to be a summary of applicable federal law. State and local tax consequences may differ. Because the federal income tax rules governing options and related payments are complex and subject to frequent change, Optionees are advised to consult their tax advisors prior to exercise of options or dispositions of stock acquired pursuant to option exercise.</w:t>
      </w:r>
    </w:p>
    <w:p>
      <w:pPr>
        <w:spacing w:after="0" w:line="185"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ISOs and NSOs are treated differently for federal tax purposes. ISOs are intended to comply with the requirements of Section 422A of the Code. NSOs need not comply with such requirements.</w:t>
      </w:r>
    </w:p>
    <w:p>
      <w:pPr>
        <w:spacing w:after="0" w:line="186"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An Optionee is not taxed on the grant or exercise of an ISO. The difference between the exercise price and the fair market value of the shares on the exercise date will, however, be a preference item for purposes of the alternative minimum tax. If an Optionee holds the shares acquired upon exercise of an ISO for at least two years</w:t>
      </w:r>
    </w:p>
    <w:p>
      <w:pPr>
        <w:sectPr>
          <w:pgSz w:w="11900" w:h="16838" w:orient="portrait"/>
          <w:cols w:equalWidth="0" w:num="1">
            <w:col w:w="10220"/>
          </w:cols>
          <w:pgMar w:left="239" w:top="676" w:right="1440" w:bottom="1440" w:gutter="0" w:footer="0" w:header="0"/>
        </w:sectPr>
      </w:pPr>
    </w:p>
    <w:bookmarkStart w:id="18" w:name="page19"/>
    <w:bookmarkEnd w:id="18"/>
    <w:p>
      <w:pPr>
        <w:ind w:left="1" w:right="2559"/>
        <w:spacing w:after="0" w:line="246" w:lineRule="auto"/>
        <w:rPr>
          <w:sz w:val="20"/>
          <w:szCs w:val="20"/>
          <w:color w:val="auto"/>
        </w:rPr>
      </w:pPr>
      <w:r>
        <w:rPr>
          <w:rFonts w:ascii="Courier New" w:cs="Courier New" w:eastAsia="Courier New" w:hAnsi="Courier New"/>
          <w:sz w:val="16"/>
          <w:szCs w:val="16"/>
          <w:color w:val="auto"/>
        </w:rPr>
        <w:t>following grant and at least one year following exercise, the Optionee's gain, if any, upon a subsequent disposition of such shares is long-term capital gain. The measure of the gain is the difference between the proceeds received on disposition and the Optionee's basis in the shares (which generally equals the exercise price). If an Optionee disposes of stock acquired pursuant to exercise of an ISO before satisfying the one and two-year holding periods described above, the disposition disqualifies the Option from favorable tax treatment as an ISO and the Optionee will recognize both ordinary income and capital gain in the year of disposition. The amount of the ordinary income will be the lesser of (i) the amount realized on disposition less the Optionee's adjusted basis in the stock (usually the option price) or (ii) the difference between the fair market value of the stock on the exercise date and the option price. The balance of the consideration received on such a disposition will be capital gain. The Company is not entitled to an income tax deduction on the grant or exercise of an ISO or on the Optionee's disposition of the shares after satisfying the holding period requirement described above. If the holding periods are not satisfied, the Company will be entitled to a deduction in the year the Optionee disposes of the shares in an amount equal to the ordinary income recognized by the Optionee.</w:t>
      </w:r>
    </w:p>
    <w:p>
      <w:pPr>
        <w:spacing w:after="0" w:line="197" w:lineRule="exact"/>
        <w:rPr>
          <w:sz w:val="20"/>
          <w:szCs w:val="20"/>
          <w:color w:val="auto"/>
        </w:rPr>
      </w:pPr>
    </w:p>
    <w:p>
      <w:pPr>
        <w:ind w:left="1" w:right="2759" w:firstLine="484"/>
        <w:spacing w:after="0" w:line="246" w:lineRule="auto"/>
        <w:rPr>
          <w:sz w:val="20"/>
          <w:szCs w:val="20"/>
          <w:color w:val="auto"/>
        </w:rPr>
      </w:pPr>
      <w:r>
        <w:rPr>
          <w:rFonts w:ascii="Courier New" w:cs="Courier New" w:eastAsia="Courier New" w:hAnsi="Courier New"/>
          <w:sz w:val="16"/>
          <w:szCs w:val="16"/>
          <w:color w:val="auto"/>
        </w:rPr>
        <w:t>An Optionee is not taxed on the grant of an NSO. On exercise, however, the Optionee recognizes ordinary income equal to the difference between the option price and the fair market value of the shares on the date of exercise. The Company is entitled to an income tax deduction in the year of exercise in the amount recognized by the Optionee as ordinary income. Any gain on subsequent disposition of the shares is long-term capital gain if the shares are held for at least one year following exercise. The Company does not receive a deduction for this gain.</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Plan Benefits</w:t>
      </w:r>
    </w:p>
    <w:p>
      <w:pPr>
        <w:spacing w:after="0" w:line="191" w:lineRule="exact"/>
        <w:rPr>
          <w:sz w:val="20"/>
          <w:szCs w:val="20"/>
          <w:color w:val="auto"/>
        </w:rPr>
      </w:pPr>
    </w:p>
    <w:p>
      <w:pPr>
        <w:ind w:left="1" w:right="2959" w:firstLine="388"/>
        <w:spacing w:after="0" w:line="246" w:lineRule="auto"/>
        <w:rPr>
          <w:sz w:val="20"/>
          <w:szCs w:val="20"/>
          <w:color w:val="auto"/>
        </w:rPr>
      </w:pPr>
      <w:r>
        <w:rPr>
          <w:rFonts w:ascii="Courier New" w:cs="Courier New" w:eastAsia="Courier New" w:hAnsi="Courier New"/>
          <w:sz w:val="16"/>
          <w:szCs w:val="16"/>
          <w:color w:val="auto"/>
        </w:rPr>
        <w:t>As of December 1, 1994, the following Options representing shares of the Company's Common Stock were granted under the 1994 Plan to the</w:t>
      </w:r>
    </w:p>
    <w:p>
      <w:pPr>
        <w:spacing w:after="0" w:line="1" w:lineRule="exact"/>
        <w:rPr>
          <w:sz w:val="20"/>
          <w:szCs w:val="20"/>
          <w:color w:val="auto"/>
        </w:rPr>
      </w:pPr>
    </w:p>
    <w:p>
      <w:pPr>
        <w:jc w:val="both"/>
        <w:ind w:left="1" w:right="2959" w:hanging="1"/>
        <w:spacing w:after="0" w:line="247" w:lineRule="auto"/>
        <w:tabs>
          <w:tab w:leader="none" w:pos="48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Named Executive Officers, (ii) all current executive officers as a group, (iii) current directors who are not executive officers as a group, and (iv) all employees who are not executive officers, as a group:</w:t>
      </w:r>
    </w:p>
    <w:p>
      <w:pPr>
        <w:spacing w:after="0" w:line="372"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60" w:type="dxa"/>
            <w:vAlign w:val="bottom"/>
            <w:gridSpan w:val="2"/>
          </w:tcPr>
          <w:p>
            <w:pPr>
              <w:jc w:val="center"/>
              <w:ind w:left="1139"/>
              <w:spacing w:after="0"/>
              <w:rPr>
                <w:sz w:val="20"/>
                <w:szCs w:val="20"/>
                <w:color w:val="auto"/>
              </w:rPr>
            </w:pPr>
            <w:r>
              <w:rPr>
                <w:rFonts w:ascii="Courier New" w:cs="Courier New" w:eastAsia="Courier New" w:hAnsi="Courier New"/>
                <w:sz w:val="16"/>
                <w:szCs w:val="16"/>
                <w:color w:val="auto"/>
              </w:rPr>
              <w:t>1994 Stock Option Plan</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6"/>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60" w:type="dxa"/>
            <w:vAlign w:val="bottom"/>
            <w:gridSpan w:val="2"/>
          </w:tcPr>
          <w:p>
            <w:pPr>
              <w:jc w:val="center"/>
              <w:ind w:left="1139"/>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3"/>
        </w:trPr>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0" w:type="dxa"/>
            <w:vAlign w:val="bottom"/>
          </w:tcPr>
          <w:p>
            <w:pPr>
              <w:ind w:left="240"/>
              <w:spacing w:after="0"/>
              <w:rPr>
                <w:sz w:val="20"/>
                <w:szCs w:val="20"/>
                <w:color w:val="auto"/>
              </w:rPr>
            </w:pPr>
            <w:r>
              <w:rPr>
                <w:rFonts w:ascii="Courier New" w:cs="Courier New" w:eastAsia="Courier New" w:hAnsi="Courier New"/>
                <w:sz w:val="16"/>
                <w:szCs w:val="16"/>
                <w:color w:val="auto"/>
              </w:rPr>
              <w:t>Number of</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6"/>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0" w:type="dxa"/>
            <w:vAlign w:val="bottom"/>
          </w:tcPr>
          <w:p>
            <w:pPr>
              <w:jc w:val="center"/>
              <w:ind w:right="259"/>
              <w:spacing w:after="0"/>
              <w:rPr>
                <w:sz w:val="20"/>
                <w:szCs w:val="20"/>
                <w:color w:val="auto"/>
              </w:rPr>
            </w:pPr>
            <w:r>
              <w:rPr>
                <w:rFonts w:ascii="Courier New" w:cs="Courier New" w:eastAsia="Courier New" w:hAnsi="Courier New"/>
                <w:sz w:val="16"/>
                <w:szCs w:val="16"/>
                <w:color w:val="auto"/>
              </w:rPr>
              <w:t>Shares</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0" w:type="dxa"/>
            <w:vAlign w:val="bottom"/>
          </w:tcPr>
          <w:p>
            <w:pPr>
              <w:jc w:val="center"/>
              <w:ind w:right="279"/>
              <w:spacing w:after="0"/>
              <w:rPr>
                <w:sz w:val="20"/>
                <w:szCs w:val="20"/>
                <w:color w:val="auto"/>
              </w:rPr>
            </w:pPr>
            <w:r>
              <w:rPr>
                <w:rFonts w:ascii="Courier New" w:cs="Courier New" w:eastAsia="Courier New" w:hAnsi="Courier New"/>
                <w:sz w:val="16"/>
                <w:szCs w:val="16"/>
                <w:color w:val="auto"/>
                <w:w w:val="99"/>
              </w:rPr>
              <w:t>Subject to</w:t>
            </w:r>
          </w:p>
        </w:tc>
        <w:tc>
          <w:tcPr>
            <w:tcW w:w="18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Aggregate</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Name (1)</w:t>
            </w:r>
          </w:p>
        </w:tc>
        <w:tc>
          <w:tcPr>
            <w:tcW w:w="18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Dollar Value(2)</w:t>
            </w:r>
          </w:p>
        </w:tc>
        <w:tc>
          <w:tcPr>
            <w:tcW w:w="18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Options Granted</w:t>
            </w:r>
          </w:p>
        </w:tc>
        <w:tc>
          <w:tcPr>
            <w:tcW w:w="15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w w:val="98"/>
              </w:rPr>
              <w:t>Exercise Price</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2320" w:type="dxa"/>
            <w:vAlign w:val="bottom"/>
          </w:tcPr>
          <w:p>
            <w:pPr>
              <w:spacing w:after="0"/>
              <w:rPr>
                <w:sz w:val="20"/>
                <w:szCs w:val="20"/>
                <w:color w:val="auto"/>
              </w:rPr>
            </w:pPr>
            <w:r>
              <w:rPr>
                <w:rFonts w:ascii="Courier New" w:cs="Courier New" w:eastAsia="Courier New" w:hAnsi="Courier New"/>
                <w:sz w:val="16"/>
                <w:szCs w:val="16"/>
                <w:color w:val="auto"/>
              </w:rPr>
              <w:t>Joseph L. Parkinson</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James W. Garrett</w:t>
            </w:r>
          </w:p>
        </w:tc>
        <w:tc>
          <w:tcPr>
            <w:tcW w:w="24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w:t>
            </w:r>
          </w:p>
        </w:tc>
        <w:tc>
          <w:tcPr>
            <w:tcW w:w="180" w:type="dxa"/>
            <w:vAlign w:val="bottom"/>
          </w:tcPr>
          <w:p>
            <w:pPr>
              <w:spacing w:after="0"/>
              <w:rPr>
                <w:sz w:val="16"/>
                <w:szCs w:val="16"/>
                <w:color w:val="auto"/>
              </w:rPr>
            </w:pP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Steven R. Appleton</w:t>
            </w:r>
          </w:p>
        </w:tc>
        <w:tc>
          <w:tcPr>
            <w:tcW w:w="24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285,900</w:t>
            </w:r>
          </w:p>
        </w:tc>
        <w:tc>
          <w:tcPr>
            <w:tcW w:w="1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60,000</w:t>
            </w:r>
          </w:p>
        </w:tc>
        <w:tc>
          <w:tcPr>
            <w:tcW w:w="180" w:type="dxa"/>
            <w:vAlign w:val="bottom"/>
          </w:tcPr>
          <w:p>
            <w:pPr>
              <w:spacing w:after="0"/>
              <w:rPr>
                <w:sz w:val="16"/>
                <w:szCs w:val="16"/>
                <w:color w:val="auto"/>
              </w:rPr>
            </w:pP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2,181,600</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Tyler A. Lowrey</w:t>
            </w:r>
          </w:p>
        </w:tc>
        <w:tc>
          <w:tcPr>
            <w:tcW w:w="24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285,900</w:t>
            </w:r>
          </w:p>
        </w:tc>
        <w:tc>
          <w:tcPr>
            <w:tcW w:w="1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60,000</w:t>
            </w:r>
          </w:p>
        </w:tc>
        <w:tc>
          <w:tcPr>
            <w:tcW w:w="180" w:type="dxa"/>
            <w:vAlign w:val="bottom"/>
          </w:tcPr>
          <w:p>
            <w:pPr>
              <w:spacing w:after="0"/>
              <w:rPr>
                <w:sz w:val="16"/>
                <w:szCs w:val="16"/>
                <w:color w:val="auto"/>
              </w:rPr>
            </w:pP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2,181,600</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Reid N. Langrill</w:t>
            </w:r>
          </w:p>
        </w:tc>
        <w:tc>
          <w:tcPr>
            <w:tcW w:w="24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w:t>
            </w:r>
          </w:p>
        </w:tc>
        <w:tc>
          <w:tcPr>
            <w:tcW w:w="180" w:type="dxa"/>
            <w:vAlign w:val="bottom"/>
          </w:tcPr>
          <w:p>
            <w:pPr>
              <w:spacing w:after="0"/>
              <w:rPr>
                <w:sz w:val="16"/>
                <w:szCs w:val="16"/>
                <w:color w:val="auto"/>
              </w:rPr>
            </w:pP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r>
      <w:tr>
        <w:trPr>
          <w:trHeight w:val="373"/>
        </w:trPr>
        <w:tc>
          <w:tcPr>
            <w:tcW w:w="2320" w:type="dxa"/>
            <w:vAlign w:val="bottom"/>
          </w:tcPr>
          <w:p>
            <w:pPr>
              <w:spacing w:after="0"/>
              <w:rPr>
                <w:sz w:val="20"/>
                <w:szCs w:val="20"/>
                <w:color w:val="auto"/>
              </w:rPr>
            </w:pPr>
            <w:r>
              <w:rPr>
                <w:rFonts w:ascii="Courier New" w:cs="Courier New" w:eastAsia="Courier New" w:hAnsi="Courier New"/>
                <w:sz w:val="16"/>
                <w:szCs w:val="16"/>
                <w:color w:val="auto"/>
              </w:rPr>
              <w:t>All  Executive Officers</w:t>
            </w:r>
          </w:p>
        </w:tc>
        <w:tc>
          <w:tcPr>
            <w:tcW w:w="240" w:type="dxa"/>
            <w:vAlign w:val="bottom"/>
          </w:tcPr>
          <w:p>
            <w:pPr>
              <w:spacing w:after="0"/>
              <w:rPr>
                <w:sz w:val="24"/>
                <w:szCs w:val="24"/>
                <w:color w:val="auto"/>
              </w:rPr>
            </w:pP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1,906,000</w:t>
            </w:r>
          </w:p>
        </w:tc>
        <w:tc>
          <w:tcPr>
            <w:tcW w:w="1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400,000</w:t>
            </w:r>
          </w:p>
        </w:tc>
        <w:tc>
          <w:tcPr>
            <w:tcW w:w="180" w:type="dxa"/>
            <w:vAlign w:val="bottom"/>
          </w:tcPr>
          <w:p>
            <w:pPr>
              <w:spacing w:after="0"/>
              <w:rPr>
                <w:sz w:val="24"/>
                <w:szCs w:val="24"/>
                <w:color w:val="auto"/>
              </w:rPr>
            </w:pP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9"/>
              </w:rPr>
              <w:t>14,544,000</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as a group (13)</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3"/>
        </w:trPr>
        <w:tc>
          <w:tcPr>
            <w:tcW w:w="2320" w:type="dxa"/>
            <w:vAlign w:val="bottom"/>
          </w:tcPr>
          <w:p>
            <w:pPr>
              <w:spacing w:after="0"/>
              <w:rPr>
                <w:sz w:val="20"/>
                <w:szCs w:val="20"/>
                <w:color w:val="auto"/>
              </w:rPr>
            </w:pPr>
            <w:r>
              <w:rPr>
                <w:rFonts w:ascii="Courier New" w:cs="Courier New" w:eastAsia="Courier New" w:hAnsi="Courier New"/>
                <w:sz w:val="16"/>
                <w:szCs w:val="16"/>
                <w:color w:val="auto"/>
              </w:rPr>
              <w:t>Non-Executive Director</w:t>
            </w:r>
          </w:p>
        </w:tc>
        <w:tc>
          <w:tcPr>
            <w:tcW w:w="240" w:type="dxa"/>
            <w:vAlign w:val="bottom"/>
          </w:tcPr>
          <w:p>
            <w:pPr>
              <w:spacing w:after="0"/>
              <w:rPr>
                <w:sz w:val="24"/>
                <w:szCs w:val="24"/>
                <w:color w:val="auto"/>
              </w:rPr>
            </w:pP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w:t>
            </w:r>
          </w:p>
        </w:tc>
        <w:tc>
          <w:tcPr>
            <w:tcW w:w="180" w:type="dxa"/>
            <w:vAlign w:val="bottom"/>
          </w:tcPr>
          <w:p>
            <w:pPr>
              <w:spacing w:after="0"/>
              <w:rPr>
                <w:sz w:val="24"/>
                <w:szCs w:val="24"/>
                <w:color w:val="auto"/>
              </w:rPr>
            </w:pP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Group</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3"/>
        </w:trPr>
        <w:tc>
          <w:tcPr>
            <w:tcW w:w="2320" w:type="dxa"/>
            <w:vAlign w:val="bottom"/>
          </w:tcPr>
          <w:p>
            <w:pPr>
              <w:spacing w:after="0"/>
              <w:rPr>
                <w:sz w:val="20"/>
                <w:szCs w:val="20"/>
                <w:color w:val="auto"/>
              </w:rPr>
            </w:pPr>
            <w:r>
              <w:rPr>
                <w:rFonts w:ascii="Courier New" w:cs="Courier New" w:eastAsia="Courier New" w:hAnsi="Courier New"/>
                <w:sz w:val="16"/>
                <w:szCs w:val="16"/>
                <w:color w:val="auto"/>
              </w:rPr>
              <w:t>Non-Executive Officer</w:t>
            </w:r>
          </w:p>
        </w:tc>
        <w:tc>
          <w:tcPr>
            <w:tcW w:w="240" w:type="dxa"/>
            <w:vAlign w:val="bottom"/>
          </w:tcPr>
          <w:p>
            <w:pPr>
              <w:spacing w:after="0"/>
              <w:rPr>
                <w:sz w:val="24"/>
                <w:szCs w:val="24"/>
                <w:color w:val="auto"/>
              </w:rPr>
            </w:pP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w:t>
            </w:r>
          </w:p>
        </w:tc>
        <w:tc>
          <w:tcPr>
            <w:tcW w:w="180" w:type="dxa"/>
            <w:vAlign w:val="bottom"/>
          </w:tcPr>
          <w:p>
            <w:pPr>
              <w:spacing w:after="0"/>
              <w:rPr>
                <w:sz w:val="24"/>
                <w:szCs w:val="24"/>
                <w:color w:val="auto"/>
              </w:rPr>
            </w:pP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Employee Group</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bl>
    <w:p>
      <w:pPr>
        <w:spacing w:after="0" w:line="200" w:lineRule="exact"/>
        <w:rPr>
          <w:sz w:val="20"/>
          <w:szCs w:val="20"/>
          <w:color w:val="auto"/>
        </w:rPr>
      </w:pPr>
    </w:p>
    <w:p>
      <w:pPr>
        <w:spacing w:after="0" w:line="363" w:lineRule="exact"/>
        <w:rPr>
          <w:sz w:val="20"/>
          <w:szCs w:val="20"/>
          <w:color w:val="auto"/>
        </w:rPr>
      </w:pPr>
    </w:p>
    <w:p>
      <w:pPr>
        <w:ind w:left="1" w:right="3339" w:hanging="1"/>
        <w:spacing w:after="0" w:line="247" w:lineRule="auto"/>
        <w:tabs>
          <w:tab w:leader="none" w:pos="5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Parkinson, Mr. Garrett, and Mr. Langrill resigned from their positions as officers and directors of the Company effective as of September 26, 1994.</w:t>
      </w:r>
    </w:p>
    <w:p>
      <w:pPr>
        <w:spacing w:after="0" w:line="186" w:lineRule="exact"/>
        <w:rPr>
          <w:sz w:val="20"/>
          <w:szCs w:val="20"/>
          <w:color w:val="auto"/>
        </w:rPr>
      </w:pPr>
    </w:p>
    <w:p>
      <w:pPr>
        <w:ind w:left="1" w:right="2759"/>
        <w:spacing w:after="0" w:line="247" w:lineRule="auto"/>
        <w:rPr>
          <w:sz w:val="20"/>
          <w:szCs w:val="20"/>
          <w:color w:val="auto"/>
        </w:rPr>
      </w:pPr>
      <w:r>
        <w:rPr>
          <w:rFonts w:ascii="Courier New" w:cs="Courier New" w:eastAsia="Courier New" w:hAnsi="Courier New"/>
          <w:sz w:val="16"/>
          <w:szCs w:val="16"/>
          <w:color w:val="auto"/>
        </w:rPr>
        <w:t>(2) The dollar value reflects the difference obtained by subtracting the aggregate exercise price of such options granted from the aggregate market value of the Company's Common Stock underlying such options, based on a closing price of $41.125 as traded on the New York Stock Exchange, on December 1, 1994.</w:t>
      </w:r>
    </w:p>
    <w:p>
      <w:pPr>
        <w:sectPr>
          <w:pgSz w:w="11900" w:h="16838" w:orient="portrait"/>
          <w:cols w:equalWidth="0" w:num="1">
            <w:col w:w="10220"/>
          </w:cols>
          <w:pgMar w:left="239" w:top="676"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Required Vote</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affirmative vote of the holders of a majority of the shares of Common Stock entitled to vote at the Annual Meeting is required to adopt the proposed 1994 Stock Option Plan. Management recommends voting "FOR" approval of the proposal.</w:t>
      </w:r>
    </w:p>
    <w:p>
      <w:pPr>
        <w:spacing w:after="0" w:line="372"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PROPOSAL TO APPROVE</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THE COMPANY'S EXECUTIVE BONUS PLAN</w:t>
      </w:r>
    </w:p>
    <w:p>
      <w:pPr>
        <w:spacing w:after="0" w:line="191"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In 1993, Section 162(m) was added to the Internal Revenue Code of 1986. The inclusion of this section limits the Company's deduction for federal income tax purposes of compensation in excess of $1,000,000 paid to the Company's Chief Executive Officer and its four highest paid executives unless the plans under which the compensation was paid meets the requirements of Section 162(m). Compensation plans which are performance based and approved by the Company's shareholders will not be subject to the deduction limit. Therefore, in order to maximize the Company's deductions, the Board of Directors of the Company is requesting that shareholders approve the Executive Bonus Plan at the Annual Meeting.</w:t>
      </w:r>
    </w:p>
    <w:p>
      <w:pPr>
        <w:spacing w:after="0" w:line="192"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following is a summary of the material features of the Executive Bonus Plan. The Executive Bonus Plan is attached as Appendix B to this Proxy Statement, and the following summary is qualified in its entirety by reference to it.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Micron Technology, Inc. Executive Bonus Plan (the "Plan") is designed to attract, retain, and reward highly qualified executives who are important to the Company's success and to provide incentives relating directly to the financial performance and long-term growth of the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Eligible Participants</w:t>
      </w:r>
    </w:p>
    <w:p>
      <w:pPr>
        <w:spacing w:after="0" w:line="191" w:lineRule="exact"/>
        <w:rPr>
          <w:sz w:val="20"/>
          <w:szCs w:val="20"/>
          <w:color w:val="auto"/>
        </w:rPr>
      </w:pPr>
    </w:p>
    <w:p>
      <w:pPr>
        <w:ind w:right="2959" w:firstLine="484"/>
        <w:spacing w:after="0" w:line="247" w:lineRule="auto"/>
        <w:rPr>
          <w:sz w:val="20"/>
          <w:szCs w:val="20"/>
          <w:color w:val="auto"/>
        </w:rPr>
      </w:pPr>
      <w:r>
        <w:rPr>
          <w:rFonts w:ascii="Courier New" w:cs="Courier New" w:eastAsia="Courier New" w:hAnsi="Courier New"/>
          <w:sz w:val="16"/>
          <w:szCs w:val="16"/>
          <w:color w:val="auto"/>
        </w:rPr>
        <w:t>Individuals who are eligible to participate in the Plan include the executive officers and certain other key employees of the Company as may be determined by the Compensation Committee of the Board of Directors. Individuals subject to the reporting requirements of Section 16 of the Securities Exchange Act of 1934 ("Exchange Act") are considered to be executive officers for purposes of the Plan.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Administration</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The Plan is administered by the Compensation Committee (the "Committee") of the Board of Directors. The present members of the Committee are Messrs. Robert A. Lothrop, Thomas T. Nicholson, Allen T. Noble, and John R. Simplot, all of whom are deemed to be outside directors of the Company, as defined under Section 162(m). None of the members receive compensation from the Company in any capacity other than as a director of the Company.</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Promptly after the beginning of the fiscal year the Committee establishes for the fiscal year a profitability target based on the Company's consolidated after-tax net profits, determines the executives eligible to participate, designates each executive's target bonus for the fiscal year, and determines the frequency in which the executive bonuses will be paid when attained.</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maximum bonus amount that can be paid to any executive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 to any one fiscal year results cannot exceed the greater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$2,000,000 or two percent (2%) of the Company's consolidated after-tax net</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profits.</w:t>
        <w:tab/>
        <w:t>Such amount shall be paid within 90 days after the close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fiscal year unless the Committee elects to defer the payout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bonus amount over a period not to exceed five (5) years, subject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continuation of the executive's employment and profitability of the Company in</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year paid. Bonuses will be paid only when the Committee certifies in writing that the profitability target has been met. In the event of a change of control any bonuses earned but not yet paid under the Plan shall be immediately payable. (See "Change of Control Agreement" set forth on page ___.)</w:t>
      </w:r>
    </w:p>
    <w:p>
      <w:pPr>
        <w:sectPr>
          <w:pgSz w:w="11900" w:h="16838" w:orient="portrait"/>
          <w:cols w:equalWidth="0" w:num="1">
            <w:col w:w="10219"/>
          </w:cols>
          <w:pgMar w:left="240" w:top="676" w:right="1440" w:bottom="1440" w:gutter="0" w:footer="0" w:header="0"/>
        </w:sectPr>
      </w:pPr>
    </w:p>
    <w:bookmarkStart w:id="20" w:name="page21"/>
    <w:bookmarkEnd w:id="20"/>
    <w:p>
      <w:pPr>
        <w:ind w:right="2659" w:firstLine="484"/>
        <w:spacing w:after="0" w:line="247" w:lineRule="auto"/>
        <w:rPr>
          <w:sz w:val="20"/>
          <w:szCs w:val="20"/>
          <w:color w:val="auto"/>
        </w:rPr>
      </w:pPr>
      <w:r>
        <w:rPr>
          <w:rFonts w:ascii="Courier New" w:cs="Courier New" w:eastAsia="Courier New" w:hAnsi="Courier New"/>
          <w:sz w:val="16"/>
          <w:szCs w:val="16"/>
          <w:color w:val="auto"/>
        </w:rPr>
        <w:t>The Committee may amend, modify, suspend, or terminate the Plan for the purpose of meeting or addressing any changes in legal requirements or for any other purpose permitted by law. The Committee will seek shareholder approval of any amendment determined to require shareholder approval or advisable under the regulations of the Internal Revenue Service or other applicable laws or regulations.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Required Vote</w:t>
      </w:r>
    </w:p>
    <w:p>
      <w:pPr>
        <w:spacing w:after="0" w:line="191" w:lineRule="exact"/>
        <w:rPr>
          <w:sz w:val="20"/>
          <w:szCs w:val="20"/>
          <w:color w:val="auto"/>
        </w:rPr>
      </w:pPr>
    </w:p>
    <w:p>
      <w:pPr>
        <w:ind w:right="2959" w:firstLine="484"/>
        <w:spacing w:after="0" w:line="247" w:lineRule="auto"/>
        <w:rPr>
          <w:sz w:val="20"/>
          <w:szCs w:val="20"/>
          <w:color w:val="auto"/>
        </w:rPr>
      </w:pPr>
      <w:r>
        <w:rPr>
          <w:rFonts w:ascii="Courier New" w:cs="Courier New" w:eastAsia="Courier New" w:hAnsi="Courier New"/>
          <w:sz w:val="16"/>
          <w:szCs w:val="16"/>
          <w:color w:val="auto"/>
        </w:rPr>
        <w:t>The affirmative vote of the holders of a majority of the shares of the Company's Common Stock represented and voting at the Annual Meeting is required to approve the Executive Bonus Plan. Management recommends voting "FOR" approval of the proposal.</w:t>
      </w:r>
    </w:p>
    <w:p>
      <w:pPr>
        <w:sectPr>
          <w:pgSz w:w="11900" w:h="16838" w:orient="portrait"/>
          <w:cols w:equalWidth="0" w:num="1">
            <w:col w:w="10219"/>
          </w:cols>
          <w:pgMar w:left="240" w:top="676" w:right="1440" w:bottom="1440" w:gutter="0" w:footer="0" w:header="0"/>
        </w:sectPr>
      </w:pPr>
    </w:p>
    <w:bookmarkStart w:id="21" w:name="page22"/>
    <w:bookmarkEnd w:id="21"/>
    <w:p>
      <w:pPr>
        <w:ind w:left="2620"/>
        <w:spacing w:after="0"/>
        <w:rPr>
          <w:sz w:val="20"/>
          <w:szCs w:val="20"/>
          <w:color w:val="auto"/>
        </w:rPr>
      </w:pPr>
      <w:r>
        <w:rPr>
          <w:rFonts w:ascii="Courier New" w:cs="Courier New" w:eastAsia="Courier New" w:hAnsi="Courier New"/>
          <w:sz w:val="16"/>
          <w:szCs w:val="16"/>
          <w:color w:val="auto"/>
        </w:rPr>
        <w:t>RATIFICATION OF APPOINTMENT OF</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INDEPENDENT PUBLIC ACCOUNTANTS</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Board of Directors has appointed Coopers &amp; Lybrand L.L.P., independent public accountants, to audit the consolidated financial statements of the Company for the fiscal year ending August 31, 1995, and recommends that shareholders vote "FOR" ratification of such appointment. Coopers &amp; Lybrand L.L.P. have been the Company's independent public accountants since fiscal year 1985. The affirmative vote of the holders of a majority of the outstanding shares of the Company's Common Stock present or represented and voting at the meeting will be required for ratification of such appointment. In the event of a negative vote on such ratification, the Board of Directors will reconsider its selection.</w:t>
      </w:r>
    </w:p>
    <w:p>
      <w:pPr>
        <w:spacing w:after="0" w:line="192"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Representatives of Coopers &amp; Lybrand L.L.P. are expected to be present at the meeting, will have the opportunity to make a statement if they so desire, and are expected to be available to respond to appropriate questions.</w:t>
      </w:r>
    </w:p>
    <w:p>
      <w:pPr>
        <w:spacing w:after="0" w:line="372"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OTHER MATTERS</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The Company knows of no other matters to be submitted at the meeting. If any other matters properly come before the meeting, the persons named in the accompanying form of Proxy will vote, in their discretion, the shares they represent.</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THE BOARD OF DIRECTORS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19, 1994</w:t>
      </w:r>
    </w:p>
    <w:p>
      <w:pPr>
        <w:sectPr>
          <w:pgSz w:w="11900" w:h="16838" w:orient="portrait"/>
          <w:cols w:equalWidth="0" w:num="1">
            <w:col w:w="10219"/>
          </w:cols>
          <w:pgMar w:left="240" w:top="1049" w:right="1440" w:bottom="1440" w:gutter="0" w:footer="0" w:header="0"/>
        </w:sectPr>
      </w:pPr>
    </w:p>
    <w:bookmarkStart w:id="22" w:name="page23"/>
    <w:bookmarkEnd w:id="22"/>
    <w:p>
      <w:pPr>
        <w:ind w:left="1061"/>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MICRON TECHNOLOGY, INC.</w:t>
      </w:r>
    </w:p>
    <w:p>
      <w:pPr>
        <w:spacing w:after="0" w:line="191"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1994 ANNUAL MEETING OF SHAREHOLDERS</w:t>
      </w:r>
    </w:p>
    <w:p>
      <w:pPr>
        <w:spacing w:after="0" w:line="5" w:lineRule="exact"/>
        <w:rPr>
          <w:sz w:val="20"/>
          <w:szCs w:val="20"/>
          <w:color w:val="auto"/>
        </w:rPr>
      </w:pPr>
    </w:p>
    <w:p>
      <w:pPr>
        <w:ind w:left="3101"/>
        <w:spacing w:after="0"/>
        <w:rPr>
          <w:sz w:val="20"/>
          <w:szCs w:val="20"/>
          <w:color w:val="auto"/>
        </w:rPr>
      </w:pPr>
      <w:r>
        <w:rPr>
          <w:rFonts w:ascii="Courier New" w:cs="Courier New" w:eastAsia="Courier New" w:hAnsi="Courier New"/>
          <w:sz w:val="16"/>
          <w:szCs w:val="16"/>
          <w:color w:val="auto"/>
        </w:rPr>
        <w:t>January 30, 1995</w:t>
      </w:r>
    </w:p>
    <w:p>
      <w:pPr>
        <w:spacing w:after="0" w:line="191" w:lineRule="exact"/>
        <w:rPr>
          <w:sz w:val="20"/>
          <w:szCs w:val="20"/>
          <w:color w:val="auto"/>
        </w:rPr>
      </w:pPr>
    </w:p>
    <w:p>
      <w:pPr>
        <w:ind w:left="1" w:right="2659"/>
        <w:spacing w:after="0" w:line="246" w:lineRule="auto"/>
        <w:rPr>
          <w:sz w:val="20"/>
          <w:szCs w:val="20"/>
          <w:color w:val="auto"/>
        </w:rPr>
      </w:pPr>
      <w:r>
        <w:rPr>
          <w:rFonts w:ascii="Courier New" w:cs="Courier New" w:eastAsia="Courier New" w:hAnsi="Courier New"/>
          <w:sz w:val="16"/>
          <w:szCs w:val="16"/>
          <w:color w:val="auto"/>
        </w:rPr>
        <w:t>The undersigned shareholder(s) of Micron Technology, Inc., a Delaware corporation, hereby acknowledges receipt of the Notice of 1994 Annual Meeting of Shareholders and Proxy Statement, each dated December 19, 1994, and hereby appoints Steven R. Appleton and Wilbur G. Stover, Jr., and each of them, proxies and attorneys-in-fact, with full power to each of substitution, on behalf and in the name of the undersigned, to represent the undersigned at the 1994 Annual Meeting of Shareholders of Micron Technology, Inc., to be held January 30, 1995, at 9:00 a.m., Mountain Standard Time, at the principal office of the Company, 2805 East Columbia Road, Boise, Idaho 83706-9698, and at any adjournment or adjournments thereof, and to vote (including cumulatively, if required) all shares of Common Stock which the undersigned would be entitled to vote if then and there personally present, on the matters set forth below:</w:t>
      </w:r>
    </w:p>
    <w:p>
      <w:pPr>
        <w:spacing w:after="0" w:line="194" w:lineRule="exact"/>
        <w:rPr>
          <w:sz w:val="20"/>
          <w:szCs w:val="20"/>
          <w:color w:val="auto"/>
        </w:rPr>
      </w:pPr>
    </w:p>
    <w:p>
      <w:pPr>
        <w:ind w:left="1"/>
        <w:spacing w:after="0"/>
        <w:tabs>
          <w:tab w:leader="none" w:pos="360" w:val="left"/>
        </w:tabs>
        <w:rPr>
          <w:sz w:val="20"/>
          <w:szCs w:val="20"/>
          <w:color w:val="auto"/>
        </w:rPr>
      </w:pPr>
      <w:r>
        <w:rPr>
          <w:rFonts w:ascii="Courier New" w:cs="Courier New" w:eastAsia="Courier New" w:hAnsi="Courier New"/>
          <w:sz w:val="16"/>
          <w:szCs w:val="16"/>
          <w:color w:val="auto"/>
        </w:rPr>
        <w:t>1.</w:t>
        <w:tab/>
        <w:t>ELECTION OF DIRECTORS:</w:t>
      </w:r>
    </w:p>
    <w:p>
      <w:pPr>
        <w:sectPr>
          <w:pgSz w:w="11900" w:h="16838" w:orient="portrait"/>
          <w:cols w:equalWidth="0" w:num="1">
            <w:col w:w="10220"/>
          </w:cols>
          <w:pgMar w:left="239" w:top="676" w:right="1440" w:bottom="1440" w:gutter="0" w:footer="0" w:header="0"/>
        </w:sectPr>
      </w:pPr>
    </w:p>
    <w:p>
      <w:pPr>
        <w:spacing w:after="0" w:line="191" w:lineRule="exact"/>
        <w:rPr>
          <w:sz w:val="20"/>
          <w:szCs w:val="20"/>
          <w:color w:val="auto"/>
        </w:rPr>
      </w:pPr>
    </w:p>
    <w:p>
      <w:pPr>
        <w:ind w:left="781"/>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248" w:lineRule="auto"/>
        <w:rPr>
          <w:sz w:val="20"/>
          <w:szCs w:val="20"/>
          <w:color w:val="auto"/>
        </w:rPr>
      </w:pPr>
      <w:r>
        <w:rPr>
          <w:rFonts w:ascii="Courier New" w:cs="Courier New" w:eastAsia="Courier New" w:hAnsi="Courier New"/>
          <w:sz w:val="16"/>
          <w:szCs w:val="16"/>
          <w:color w:val="auto"/>
        </w:rPr>
        <w:t>FOR nominees listed below (except as indicated)</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WITHHOLD authority to vote for all nominees listed below</w:t>
      </w:r>
    </w:p>
    <w:p>
      <w:pPr>
        <w:spacing w:after="0" w:line="184" w:lineRule="exact"/>
        <w:rPr>
          <w:sz w:val="20"/>
          <w:szCs w:val="20"/>
          <w:color w:val="auto"/>
        </w:rPr>
      </w:pPr>
    </w:p>
    <w:p>
      <w:pPr>
        <w:sectPr>
          <w:pgSz w:w="11900" w:h="16838" w:orient="portrait"/>
          <w:cols w:equalWidth="0" w:num="4">
            <w:col w:w="1061" w:space="200"/>
            <w:col w:w="2420" w:space="300"/>
            <w:col w:w="280" w:space="200"/>
            <w:col w:w="5759"/>
          </w:cols>
          <w:pgMar w:left="239" w:top="676" w:right="1440" w:bottom="1440" w:gutter="0" w:footer="0" w:header="0"/>
          <w:type w:val="continuous"/>
        </w:sectPr>
      </w:pPr>
    </w:p>
    <w:p>
      <w:pPr>
        <w:ind w:left="1" w:right="2859"/>
        <w:spacing w:after="0" w:line="248" w:lineRule="auto"/>
        <w:rPr>
          <w:sz w:val="20"/>
          <w:szCs w:val="20"/>
          <w:color w:val="auto"/>
        </w:rPr>
      </w:pPr>
      <w:r>
        <w:rPr>
          <w:rFonts w:ascii="Courier New" w:cs="Courier New" w:eastAsia="Courier New" w:hAnsi="Courier New"/>
          <w:sz w:val="16"/>
          <w:szCs w:val="16"/>
          <w:color w:val="auto"/>
        </w:rPr>
        <w:t>If you wish to withhold authority to vote for any individual nominee, strike a line through that nominee's name in the list below:</w:t>
      </w:r>
    </w:p>
    <w:p>
      <w:pPr>
        <w:spacing w:after="0" w:line="184" w:lineRule="exact"/>
        <w:rPr>
          <w:sz w:val="20"/>
          <w:szCs w:val="20"/>
          <w:color w:val="auto"/>
        </w:rPr>
      </w:pPr>
    </w:p>
    <w:p>
      <w:pPr>
        <w:jc w:val="both"/>
        <w:ind w:left="481" w:right="2959"/>
        <w:spacing w:after="0" w:line="247" w:lineRule="auto"/>
        <w:rPr>
          <w:sz w:val="20"/>
          <w:szCs w:val="20"/>
          <w:color w:val="auto"/>
        </w:rPr>
      </w:pPr>
      <w:r>
        <w:rPr>
          <w:rFonts w:ascii="Courier New" w:cs="Courier New" w:eastAsia="Courier New" w:hAnsi="Courier New"/>
          <w:sz w:val="16"/>
          <w:szCs w:val="16"/>
          <w:color w:val="auto"/>
        </w:rPr>
        <w:t>Steven R. Appleton; Jerry M. Hess; Robert A. Lothrop; Tyler A. Lowrey; Thomas T. Nicholson; Allen T. Noble; Don J. Simplot; John R. Simplot; Gordon C. Smith; Wilbur G. Stover, Jr.</w:t>
      </w:r>
    </w:p>
    <w:p>
      <w:pPr>
        <w:spacing w:after="0" w:line="186" w:lineRule="exact"/>
        <w:rPr>
          <w:sz w:val="20"/>
          <w:szCs w:val="20"/>
          <w:color w:val="auto"/>
        </w:rPr>
      </w:pPr>
    </w:p>
    <w:p>
      <w:pPr>
        <w:ind w:left="1" w:right="3039" w:hanging="1"/>
        <w:spacing w:after="0" w:line="247" w:lineRule="auto"/>
        <w:tabs>
          <w:tab w:leader="none" w:pos="38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APPROVE AN AMENDMENT TO THE COMPANY'S CERTIFICATE OF INCORPORATION TO INCREASE THE NUMBER OF AUTHORIZED SHARES OF THE COMPANY'S COMMON STOCK FROM 150,000,000 SHARES TO 300,000,000 SHARES:</w:t>
      </w:r>
    </w:p>
    <w:p>
      <w:pPr>
        <w:spacing w:after="0" w:line="186" w:lineRule="exact"/>
        <w:rPr>
          <w:sz w:val="20"/>
          <w:szCs w:val="20"/>
          <w:color w:val="auto"/>
        </w:rPr>
      </w:pPr>
    </w:p>
    <w:p>
      <w:pPr>
        <w:ind w:left="781"/>
        <w:spacing w:after="0"/>
        <w:tabs>
          <w:tab w:leader="none" w:pos="1240" w:val="left"/>
          <w:tab w:leader="none" w:pos="2500" w:val="left"/>
          <w:tab w:leader="none" w:pos="2980" w:val="left"/>
          <w:tab w:leader="none" w:pos="4540" w:val="left"/>
          <w:tab w:leader="none" w:pos="5020"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tab/>
        <w:t>ABSTAIN</w:t>
      </w:r>
    </w:p>
    <w:p>
      <w:pPr>
        <w:spacing w:after="0" w:line="191"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(to be signed on reverse side)</w:t>
      </w:r>
    </w:p>
    <w:p>
      <w:pPr>
        <w:sectPr>
          <w:pgSz w:w="11900" w:h="16838" w:orient="portrait"/>
          <w:cols w:equalWidth="0" w:num="1">
            <w:col w:w="10220"/>
          </w:cols>
          <w:pgMar w:left="239" w:top="676" w:right="1440" w:bottom="1440" w:gutter="0" w:footer="0" w:header="0"/>
          <w:type w:val="continuous"/>
        </w:sectPr>
      </w:pPr>
    </w:p>
    <w:bookmarkStart w:id="23" w:name="page24"/>
    <w:bookmarkEnd w:id="23"/>
    <w:p>
      <w:pPr>
        <w:ind w:left="2421"/>
        <w:spacing w:after="0"/>
        <w:rPr>
          <w:sz w:val="20"/>
          <w:szCs w:val="20"/>
          <w:color w:val="auto"/>
        </w:rPr>
      </w:pPr>
      <w:r>
        <w:rPr>
          <w:rFonts w:ascii="Courier New" w:cs="Courier New" w:eastAsia="Courier New" w:hAnsi="Courier New"/>
          <w:sz w:val="16"/>
          <w:szCs w:val="16"/>
          <w:color w:val="auto"/>
        </w:rPr>
        <w:t>(continued from other side)</w:t>
      </w:r>
    </w:p>
    <w:p>
      <w:pPr>
        <w:spacing w:after="0" w:line="191" w:lineRule="exact"/>
        <w:rPr>
          <w:sz w:val="20"/>
          <w:szCs w:val="20"/>
          <w:color w:val="auto"/>
        </w:rPr>
      </w:pPr>
    </w:p>
    <w:p>
      <w:pPr>
        <w:ind w:left="381" w:hanging="381"/>
        <w:spacing w:after="0"/>
        <w:tabs>
          <w:tab w:leader="none" w:pos="3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APPROVE THE COMPANY'S 1994 STOCK OPTION PLAN AND TO RESERVE</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1,000,000 SHARES OF THE COMPANY'S COMMON STOCK FOR ISSUANCE THEREUNDER:</w:t>
      </w:r>
    </w:p>
    <w:p>
      <w:pPr>
        <w:spacing w:after="0" w:line="191" w:lineRule="exact"/>
        <w:rPr>
          <w:sz w:val="20"/>
          <w:szCs w:val="20"/>
          <w:color w:val="auto"/>
        </w:rPr>
      </w:pPr>
    </w:p>
    <w:p>
      <w:pPr>
        <w:ind w:left="781"/>
        <w:spacing w:after="0"/>
        <w:tabs>
          <w:tab w:leader="none" w:pos="1240" w:val="left"/>
          <w:tab w:leader="none" w:pos="2500" w:val="left"/>
          <w:tab w:leader="none" w:pos="2980" w:val="left"/>
          <w:tab w:leader="none" w:pos="4540" w:val="left"/>
          <w:tab w:leader="none" w:pos="5020"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tab/>
        <w:t>ABSTAIN</w:t>
      </w:r>
    </w:p>
    <w:p>
      <w:pPr>
        <w:spacing w:after="0" w:line="378" w:lineRule="exact"/>
        <w:rPr>
          <w:sz w:val="20"/>
          <w:szCs w:val="20"/>
          <w:color w:val="auto"/>
        </w:rPr>
      </w:pPr>
    </w:p>
    <w:p>
      <w:pPr>
        <w:ind w:left="381" w:hanging="381"/>
        <w:spacing w:after="0"/>
        <w:tabs>
          <w:tab w:leader="none" w:pos="3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APPROVE THE COMPANY'S EXECUTIVE BONUS PLAN:</w:t>
      </w:r>
    </w:p>
    <w:p>
      <w:pPr>
        <w:spacing w:after="0" w:line="191" w:lineRule="exact"/>
        <w:rPr>
          <w:sz w:val="20"/>
          <w:szCs w:val="20"/>
          <w:color w:val="auto"/>
        </w:rPr>
      </w:pPr>
    </w:p>
    <w:p>
      <w:pPr>
        <w:ind w:left="781"/>
        <w:spacing w:after="0"/>
        <w:tabs>
          <w:tab w:leader="none" w:pos="1240" w:val="left"/>
          <w:tab w:leader="none" w:pos="2500" w:val="left"/>
          <w:tab w:leader="none" w:pos="2980" w:val="left"/>
          <w:tab w:leader="none" w:pos="4540" w:val="left"/>
          <w:tab w:leader="none" w:pos="5020"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tab/>
        <w:t>ABSTAIN</w:t>
      </w:r>
    </w:p>
    <w:p>
      <w:pPr>
        <w:spacing w:after="0" w:line="378" w:lineRule="exact"/>
        <w:rPr>
          <w:sz w:val="20"/>
          <w:szCs w:val="20"/>
          <w:color w:val="auto"/>
        </w:rPr>
      </w:pPr>
    </w:p>
    <w:p>
      <w:pPr>
        <w:ind w:left="1" w:right="3139" w:hanging="1"/>
        <w:spacing w:after="0" w:line="248" w:lineRule="auto"/>
        <w:tabs>
          <w:tab w:leader="none" w:pos="38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RATIFY THE APPOINTMENT OF COOPERS &amp; LYBRAND L.L.P. AS THE COMPANY'S INDEPENDENT PUBLIC ACCOUNTANTS FOR FISCAL 1995:</w:t>
      </w:r>
    </w:p>
    <w:p>
      <w:pPr>
        <w:spacing w:after="0" w:line="184" w:lineRule="exact"/>
        <w:rPr>
          <w:sz w:val="20"/>
          <w:szCs w:val="20"/>
          <w:color w:val="auto"/>
        </w:rPr>
      </w:pPr>
    </w:p>
    <w:p>
      <w:pPr>
        <w:ind w:left="781"/>
        <w:spacing w:after="0"/>
        <w:tabs>
          <w:tab w:leader="none" w:pos="1240" w:val="left"/>
          <w:tab w:leader="none" w:pos="2500" w:val="left"/>
          <w:tab w:leader="none" w:pos="2980" w:val="left"/>
          <w:tab w:leader="none" w:pos="4540" w:val="left"/>
          <w:tab w:leader="none" w:pos="5020"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tab/>
        <w:t>ABSTAIN</w:t>
      </w:r>
    </w:p>
    <w:p>
      <w:pPr>
        <w:spacing w:after="0" w:line="378" w:lineRule="exact"/>
        <w:rPr>
          <w:sz w:val="20"/>
          <w:szCs w:val="20"/>
          <w:color w:val="auto"/>
        </w:rPr>
      </w:pPr>
    </w:p>
    <w:p>
      <w:pPr>
        <w:ind w:left="1" w:right="2759"/>
        <w:spacing w:after="0" w:line="248" w:lineRule="auto"/>
        <w:rPr>
          <w:sz w:val="20"/>
          <w:szCs w:val="20"/>
          <w:color w:val="auto"/>
        </w:rPr>
      </w:pPr>
      <w:r>
        <w:rPr>
          <w:rFonts w:ascii="Courier New" w:cs="Courier New" w:eastAsia="Courier New" w:hAnsi="Courier New"/>
          <w:sz w:val="16"/>
          <w:szCs w:val="16"/>
          <w:color w:val="auto"/>
        </w:rPr>
        <w:t>and in their discretion, upon such other matter or matters which may properly come before the meeting or any adjournment or adjournments thereof.</w:t>
      </w:r>
    </w:p>
    <w:p>
      <w:pPr>
        <w:spacing w:after="0" w:line="184"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The shares represented by this proxy when properly executed will be voted in the manner directed herein by the undersigned shareholder(s). If no direction is made, this proxy will be voted FOR items 1, 2, 3, 4, and 5. If any other matters properly come before the meeting, or if cumulative voting is required, the persons named in this proxy will vote in their discretion, provided that they will not vote in the election of directors for persons for whom authority to vote has been withheld.</w:t>
      </w:r>
    </w:p>
    <w:p>
      <w:pPr>
        <w:spacing w:after="0" w:line="371" w:lineRule="exact"/>
        <w:rPr>
          <w:sz w:val="20"/>
          <w:szCs w:val="20"/>
          <w:color w:val="auto"/>
        </w:rPr>
      </w:pPr>
    </w:p>
    <w:p>
      <w:pPr>
        <w:ind w:left="2901"/>
        <w:spacing w:after="0"/>
        <w:rPr>
          <w:sz w:val="20"/>
          <w:szCs w:val="20"/>
          <w:color w:val="auto"/>
        </w:rPr>
      </w:pPr>
      <w:r>
        <w:rPr>
          <w:rFonts w:ascii="Courier New" w:cs="Courier New" w:eastAsia="Courier New" w:hAnsi="Courier New"/>
          <w:sz w:val="16"/>
          <w:szCs w:val="16"/>
          <w:color w:val="auto"/>
        </w:rPr>
        <w:t>Dated______________________________, 199_______</w:t>
      </w:r>
    </w:p>
    <w:p>
      <w:pPr>
        <w:spacing w:after="0" w:line="378" w:lineRule="exact"/>
        <w:rPr>
          <w:sz w:val="20"/>
          <w:szCs w:val="20"/>
          <w:color w:val="auto"/>
        </w:rPr>
      </w:pPr>
    </w:p>
    <w:p>
      <w:pPr>
        <w:ind w:left="2901"/>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5"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Signature</w:t>
      </w:r>
    </w:p>
    <w:p>
      <w:pPr>
        <w:spacing w:after="0" w:line="378" w:lineRule="exact"/>
        <w:rPr>
          <w:sz w:val="20"/>
          <w:szCs w:val="20"/>
          <w:color w:val="auto"/>
        </w:rPr>
      </w:pPr>
    </w:p>
    <w:p>
      <w:pPr>
        <w:ind w:left="2901"/>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5"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Signature</w:t>
      </w:r>
    </w:p>
    <w:p>
      <w:pPr>
        <w:spacing w:after="0" w:line="378" w:lineRule="exact"/>
        <w:rPr>
          <w:sz w:val="20"/>
          <w:szCs w:val="20"/>
          <w:color w:val="auto"/>
        </w:rPr>
      </w:pPr>
    </w:p>
    <w:p>
      <w:pPr>
        <w:ind w:left="1" w:right="2759"/>
        <w:spacing w:after="0" w:line="247" w:lineRule="auto"/>
        <w:rPr>
          <w:sz w:val="20"/>
          <w:szCs w:val="20"/>
          <w:color w:val="auto"/>
        </w:rPr>
      </w:pPr>
      <w:r>
        <w:rPr>
          <w:rFonts w:ascii="Courier New" w:cs="Courier New" w:eastAsia="Courier New" w:hAnsi="Courier New"/>
          <w:sz w:val="16"/>
          <w:szCs w:val="16"/>
          <w:color w:val="auto"/>
        </w:rPr>
        <w:t>(This proxy should be voted, signed, and dated by the shareholder(s) exactly as his or her name appears hereon, and returned promptly in the enclosed envelope. Persons signing in a fiduciary capacity should so indicate. If shares are held by joint tenants or as community property, both should sign.)</w:t>
      </w:r>
    </w:p>
    <w:p>
      <w:pPr>
        <w:sectPr>
          <w:pgSz w:w="11900" w:h="16838" w:orient="portrait"/>
          <w:cols w:equalWidth="0" w:num="1">
            <w:col w:w="10220"/>
          </w:cols>
          <w:pgMar w:left="239" w:top="676" w:right="1440" w:bottom="1440" w:gutter="0" w:footer="0" w:header="0"/>
        </w:sectPr>
      </w:pPr>
    </w:p>
    <w:bookmarkStart w:id="24" w:name="page25"/>
    <w:bookmarkEnd w:id="24"/>
    <w:p>
      <w:pPr>
        <w:ind w:left="3100"/>
        <w:spacing w:after="0"/>
        <w:rPr>
          <w:sz w:val="20"/>
          <w:szCs w:val="20"/>
          <w:color w:val="auto"/>
        </w:rPr>
      </w:pPr>
      <w:r>
        <w:rPr>
          <w:rFonts w:ascii="Courier New" w:cs="Courier New" w:eastAsia="Courier New" w:hAnsi="Courier New"/>
          <w:sz w:val="16"/>
          <w:szCs w:val="16"/>
          <w:color w:val="auto"/>
        </w:rPr>
        <w:t>"APPENDIX A"</w:t>
      </w:r>
    </w:p>
    <w:p>
      <w:pPr>
        <w:spacing w:after="0" w:line="5" w:lineRule="exact"/>
        <w:rPr>
          <w:sz w:val="20"/>
          <w:szCs w:val="20"/>
          <w:color w:val="auto"/>
        </w:rPr>
      </w:pPr>
    </w:p>
    <w:p>
      <w:pPr>
        <w:jc w:val="right"/>
        <w:ind w:right="5379"/>
        <w:spacing w:after="0"/>
        <w:rPr>
          <w:sz w:val="20"/>
          <w:szCs w:val="20"/>
          <w:color w:val="auto"/>
        </w:rPr>
      </w:pPr>
      <w:r>
        <w:rPr>
          <w:rFonts w:ascii="Courier New" w:cs="Courier New" w:eastAsia="Courier New" w:hAnsi="Courier New"/>
          <w:sz w:val="16"/>
          <w:szCs w:val="16"/>
          <w:color w:val="auto"/>
        </w:rPr>
        <w:t>MICRON TECHNOLOGY, INC.</w:t>
      </w:r>
    </w:p>
    <w:p>
      <w:pPr>
        <w:spacing w:after="0" w:line="5" w:lineRule="exact"/>
        <w:rPr>
          <w:sz w:val="20"/>
          <w:szCs w:val="20"/>
          <w:color w:val="auto"/>
        </w:rPr>
      </w:pPr>
    </w:p>
    <w:p>
      <w:pPr>
        <w:jc w:val="right"/>
        <w:ind w:right="5379"/>
        <w:spacing w:after="0"/>
        <w:rPr>
          <w:sz w:val="20"/>
          <w:szCs w:val="20"/>
          <w:color w:val="auto"/>
        </w:rPr>
      </w:pPr>
      <w:r>
        <w:rPr>
          <w:rFonts w:ascii="Courier New" w:cs="Courier New" w:eastAsia="Courier New" w:hAnsi="Courier New"/>
          <w:sz w:val="16"/>
          <w:szCs w:val="16"/>
          <w:color w:val="auto"/>
        </w:rPr>
        <w:t>1994 STOCK OPTION PLAN</w:t>
      </w:r>
    </w:p>
    <w:p>
      <w:pPr>
        <w:spacing w:after="0" w:line="378" w:lineRule="exact"/>
        <w:rPr>
          <w:sz w:val="20"/>
          <w:szCs w:val="20"/>
          <w:color w:val="auto"/>
        </w:rPr>
      </w:pPr>
    </w:p>
    <w:p>
      <w:pPr>
        <w:ind w:left="880" w:hanging="396"/>
        <w:spacing w:after="0"/>
        <w:tabs>
          <w:tab w:leader="none" w:pos="8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Purposes of the Plan.  The purposes of this Stock Option Plan are:</w:t>
      </w:r>
    </w:p>
    <w:p>
      <w:pPr>
        <w:spacing w:after="0" w:line="191" w:lineRule="exact"/>
        <w:rPr>
          <w:sz w:val="20"/>
          <w:szCs w:val="20"/>
          <w:color w:val="auto"/>
        </w:rPr>
      </w:pPr>
    </w:p>
    <w:p>
      <w:pPr>
        <w:ind w:left="480" w:right="3139" w:firstLine="388"/>
        <w:spacing w:after="0" w:line="248" w:lineRule="auto"/>
        <w:rPr>
          <w:sz w:val="20"/>
          <w:szCs w:val="20"/>
          <w:color w:val="auto"/>
        </w:rPr>
      </w:pPr>
      <w:r>
        <w:rPr>
          <w:rFonts w:ascii="Courier New" w:cs="Courier New" w:eastAsia="Courier New" w:hAnsi="Courier New"/>
          <w:sz w:val="16"/>
          <w:szCs w:val="16"/>
          <w:color w:val="auto"/>
        </w:rPr>
        <w:t>to attract and retain the best available personnel for positions of substantial responsibility,</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to provide additional incentive to Employees and Consultants, and</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to promote the success of the Company's business.</w:t>
      </w:r>
    </w:p>
    <w:p>
      <w:pPr>
        <w:spacing w:after="0" w:line="191"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Options granted under the Plan may be Incentive Stock Options or Nonstatutory Stock Options, as determined by the Administrator at the time of grant.</w:t>
      </w:r>
    </w:p>
    <w:p>
      <w:pPr>
        <w:spacing w:after="0" w:line="184" w:lineRule="exact"/>
        <w:rPr>
          <w:sz w:val="20"/>
          <w:szCs w:val="20"/>
          <w:color w:val="auto"/>
        </w:rPr>
      </w:pPr>
    </w:p>
    <w:p>
      <w:pPr>
        <w:ind w:left="880" w:hanging="396"/>
        <w:spacing w:after="0"/>
        <w:tabs>
          <w:tab w:leader="none" w:pos="8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As used herein, the following definitions shall apply:</w:t>
      </w:r>
    </w:p>
    <w:p>
      <w:pPr>
        <w:spacing w:after="0" w:line="191" w:lineRule="exact"/>
        <w:rPr>
          <w:rFonts w:ascii="Courier New" w:cs="Courier New" w:eastAsia="Courier New" w:hAnsi="Courier New"/>
          <w:sz w:val="16"/>
          <w:szCs w:val="16"/>
          <w:color w:val="auto"/>
        </w:rPr>
      </w:pPr>
    </w:p>
    <w:p>
      <w:pPr>
        <w:jc w:val="both"/>
        <w:ind w:right="3039" w:firstLine="871"/>
        <w:spacing w:after="0" w:line="248" w:lineRule="auto"/>
        <w:tabs>
          <w:tab w:leader="none" w:pos="1357"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"Administrator" means the Board or any of its Committees as shall be administering the Plan, in accordance with Section 4 of the Plan.</w:t>
      </w:r>
    </w:p>
    <w:p>
      <w:pPr>
        <w:spacing w:after="0" w:line="184" w:lineRule="exact"/>
        <w:rPr>
          <w:rFonts w:ascii="Courier New" w:cs="Courier New" w:eastAsia="Courier New" w:hAnsi="Courier New"/>
          <w:sz w:val="16"/>
          <w:szCs w:val="16"/>
          <w:color w:val="auto"/>
        </w:rPr>
      </w:pPr>
    </w:p>
    <w:p>
      <w:pPr>
        <w:jc w:val="both"/>
        <w:ind w:right="2859" w:firstLine="871"/>
        <w:spacing w:after="0" w:line="247" w:lineRule="auto"/>
        <w:tabs>
          <w:tab w:leader="none" w:pos="1357"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Laws" means the legal requirements relating to the administration of stock option plans under Delaware corporate and securities laws and the Code.</w:t>
      </w:r>
    </w:p>
    <w:p>
      <w:pPr>
        <w:spacing w:after="0" w:line="185" w:lineRule="exact"/>
        <w:rPr>
          <w:rFonts w:ascii="Courier New" w:cs="Courier New" w:eastAsia="Courier New" w:hAnsi="Courier New"/>
          <w:sz w:val="16"/>
          <w:szCs w:val="16"/>
          <w:color w:val="auto"/>
        </w:rPr>
      </w:pPr>
    </w:p>
    <w:p>
      <w:pPr>
        <w:ind w:left="1360" w:hanging="489"/>
        <w:spacing w:after="0"/>
        <w:tabs>
          <w:tab w:leader="none" w:pos="13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191" w:lineRule="exact"/>
        <w:rPr>
          <w:rFonts w:ascii="Courier New" w:cs="Courier New" w:eastAsia="Courier New" w:hAnsi="Courier New"/>
          <w:sz w:val="16"/>
          <w:szCs w:val="16"/>
          <w:color w:val="auto"/>
        </w:rPr>
      </w:pPr>
    </w:p>
    <w:p>
      <w:pPr>
        <w:ind w:right="2859" w:firstLine="871"/>
        <w:spacing w:after="0" w:line="247" w:lineRule="auto"/>
        <w:tabs>
          <w:tab w:leader="none" w:pos="1357"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means the acquisition by any person or entity, directly, indirectly or beneficially, acting alone or in concert, of more than thirty-five percent (35%) of the Common Stock of the Company outstanding at any time.</w:t>
      </w:r>
    </w:p>
    <w:p>
      <w:pPr>
        <w:spacing w:after="0" w:line="185" w:lineRule="exact"/>
        <w:rPr>
          <w:rFonts w:ascii="Courier New" w:cs="Courier New" w:eastAsia="Courier New" w:hAnsi="Courier New"/>
          <w:sz w:val="16"/>
          <w:szCs w:val="16"/>
          <w:color w:val="auto"/>
        </w:rPr>
      </w:pPr>
    </w:p>
    <w:p>
      <w:pPr>
        <w:ind w:left="1360" w:hanging="489"/>
        <w:spacing w:after="0"/>
        <w:tabs>
          <w:tab w:leader="none" w:pos="13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191" w:lineRule="exact"/>
        <w:rPr>
          <w:rFonts w:ascii="Courier New" w:cs="Courier New" w:eastAsia="Courier New" w:hAnsi="Courier New"/>
          <w:sz w:val="16"/>
          <w:szCs w:val="16"/>
          <w:color w:val="auto"/>
        </w:rPr>
      </w:pPr>
    </w:p>
    <w:p>
      <w:pPr>
        <w:ind w:right="3539" w:firstLine="871"/>
        <w:spacing w:after="0" w:line="248" w:lineRule="auto"/>
        <w:tabs>
          <w:tab w:leader="none" w:pos="1357"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a Committee appointed by the Board in accordance with Section 4 of the Plan.</w:t>
      </w:r>
    </w:p>
    <w:p>
      <w:pPr>
        <w:spacing w:after="0" w:line="184" w:lineRule="exact"/>
        <w:rPr>
          <w:rFonts w:ascii="Courier New" w:cs="Courier New" w:eastAsia="Courier New" w:hAnsi="Courier New"/>
          <w:sz w:val="16"/>
          <w:szCs w:val="16"/>
          <w:color w:val="auto"/>
        </w:rPr>
      </w:pPr>
    </w:p>
    <w:p>
      <w:pPr>
        <w:ind w:left="1360" w:hanging="489"/>
        <w:spacing w:after="0"/>
        <w:tabs>
          <w:tab w:leader="none" w:pos="13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means the Common Stock of the Company.</w:t>
      </w:r>
    </w:p>
    <w:p>
      <w:pPr>
        <w:spacing w:after="0" w:line="191" w:lineRule="exact"/>
        <w:rPr>
          <w:rFonts w:ascii="Courier New" w:cs="Courier New" w:eastAsia="Courier New" w:hAnsi="Courier New"/>
          <w:sz w:val="16"/>
          <w:szCs w:val="16"/>
          <w:color w:val="auto"/>
        </w:rPr>
      </w:pPr>
    </w:p>
    <w:p>
      <w:pPr>
        <w:ind w:left="1360" w:hanging="489"/>
        <w:spacing w:after="0"/>
        <w:tabs>
          <w:tab w:leader="none" w:pos="13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Micron Technology, Inc., a Delaware corporation.</w:t>
      </w:r>
    </w:p>
    <w:p>
      <w:pPr>
        <w:spacing w:after="0" w:line="191" w:lineRule="exact"/>
        <w:rPr>
          <w:rFonts w:ascii="Courier New" w:cs="Courier New" w:eastAsia="Courier New" w:hAnsi="Courier New"/>
          <w:sz w:val="16"/>
          <w:szCs w:val="16"/>
          <w:color w:val="auto"/>
        </w:rPr>
      </w:pPr>
    </w:p>
    <w:p>
      <w:pPr>
        <w:ind w:right="2759" w:firstLine="871"/>
        <w:spacing w:after="0" w:line="247" w:lineRule="auto"/>
        <w:tabs>
          <w:tab w:leader="none" w:pos="1357"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"Consultant" means any person, including an advisor, engaged by the Company or a Parent or Subsidiary to render services and who is compensated for such services. The term "Consultant" shall not include Directors who are paid only a director's fee by the Company or who are not compensated by the Company for their services as Directors.</w:t>
      </w:r>
    </w:p>
    <w:p>
      <w:pPr>
        <w:sectPr>
          <w:pgSz w:w="11900" w:h="16838" w:orient="portrait"/>
          <w:cols w:equalWidth="0" w:num="1">
            <w:col w:w="10219"/>
          </w:cols>
          <w:pgMar w:left="240" w:top="676" w:right="1440" w:bottom="1440" w:gutter="0" w:footer="0" w:header="0"/>
        </w:sectPr>
      </w:pPr>
    </w:p>
    <w:bookmarkStart w:id="25" w:name="page26"/>
    <w:bookmarkEnd w:id="25"/>
    <w:p>
      <w:pPr>
        <w:ind w:right="2659" w:firstLine="871"/>
        <w:spacing w:after="0" w:line="246" w:lineRule="auto"/>
        <w:tabs>
          <w:tab w:leader="none" w:pos="135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"Continuous Status as and Employee or Consultant" means that the employment or consulting relationship with the Company, any Parent, or Subsidiary, is not interrupted or terminated. Continuous Status as an Employee or Consultant shall not be considered interrupted in the case of (i) any leave of absence approved by the Company or (ii) transfers between locations of the Company or between the Company, its Parent, any Subsidiary, or any successor. A leave of absence approved by the Company shall include sick leave, military leave, or any other personal leave approved by an authorized representative of the Company.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194" w:lineRule="exact"/>
        <w:rPr>
          <w:rFonts w:ascii="Courier New" w:cs="Courier New" w:eastAsia="Courier New" w:hAnsi="Courier New"/>
          <w:sz w:val="16"/>
          <w:szCs w:val="16"/>
          <w:color w:val="auto"/>
        </w:rPr>
      </w:pPr>
    </w:p>
    <w:p>
      <w:pPr>
        <w:ind w:left="1360" w:hanging="489"/>
        <w:spacing w:after="0"/>
        <w:tabs>
          <w:tab w:leader="none" w:pos="13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means a member of the Board.</w:t>
      </w:r>
    </w:p>
    <w:p>
      <w:pPr>
        <w:spacing w:after="0" w:line="191" w:lineRule="exact"/>
        <w:rPr>
          <w:rFonts w:ascii="Courier New" w:cs="Courier New" w:eastAsia="Courier New" w:hAnsi="Courier New"/>
          <w:sz w:val="16"/>
          <w:szCs w:val="16"/>
          <w:color w:val="auto"/>
        </w:rPr>
      </w:pPr>
    </w:p>
    <w:p>
      <w:pPr>
        <w:ind w:right="2759" w:firstLine="871"/>
        <w:spacing w:after="0" w:line="248" w:lineRule="auto"/>
        <w:tabs>
          <w:tab w:leader="none" w:pos="135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means total and permanent disability as defined in Section 22(e)(3) of the Code.</w:t>
      </w:r>
    </w:p>
    <w:p>
      <w:pPr>
        <w:spacing w:after="0" w:line="184" w:lineRule="exact"/>
        <w:rPr>
          <w:rFonts w:ascii="Courier New" w:cs="Courier New" w:eastAsia="Courier New" w:hAnsi="Courier New"/>
          <w:sz w:val="16"/>
          <w:szCs w:val="16"/>
          <w:color w:val="auto"/>
        </w:rPr>
      </w:pPr>
    </w:p>
    <w:p>
      <w:pPr>
        <w:jc w:val="both"/>
        <w:ind w:right="2859" w:firstLine="871"/>
        <w:spacing w:after="0" w:line="247" w:lineRule="auto"/>
        <w:tabs>
          <w:tab w:leader="none" w:pos="135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85" w:lineRule="exact"/>
        <w:rPr>
          <w:rFonts w:ascii="Courier New" w:cs="Courier New" w:eastAsia="Courier New" w:hAnsi="Courier New"/>
          <w:sz w:val="16"/>
          <w:szCs w:val="16"/>
          <w:color w:val="auto"/>
        </w:rPr>
      </w:pPr>
    </w:p>
    <w:p>
      <w:pPr>
        <w:ind w:left="1360" w:hanging="489"/>
        <w:spacing w:after="0"/>
        <w:tabs>
          <w:tab w:leader="none" w:pos="13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means the Securities Exchange Act of 1934, as</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amended.</w:t>
      </w:r>
    </w:p>
    <w:p>
      <w:pPr>
        <w:spacing w:after="0" w:line="191" w:lineRule="exact"/>
        <w:rPr>
          <w:rFonts w:ascii="Courier New" w:cs="Courier New" w:eastAsia="Courier New" w:hAnsi="Courier New"/>
          <w:sz w:val="16"/>
          <w:szCs w:val="16"/>
          <w:color w:val="auto"/>
        </w:rPr>
      </w:pPr>
    </w:p>
    <w:p>
      <w:pPr>
        <w:ind w:right="2859" w:firstLine="871"/>
        <w:spacing w:after="0" w:line="248" w:lineRule="auto"/>
        <w:tabs>
          <w:tab w:leader="none" w:pos="135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means, as of any date, the value of Common Stock determined as follows:</w:t>
      </w:r>
    </w:p>
    <w:p>
      <w:pPr>
        <w:spacing w:after="0" w:line="184" w:lineRule="exact"/>
        <w:rPr>
          <w:rFonts w:ascii="Courier New" w:cs="Courier New" w:eastAsia="Courier New" w:hAnsi="Courier New"/>
          <w:sz w:val="16"/>
          <w:szCs w:val="16"/>
          <w:color w:val="auto"/>
        </w:rPr>
      </w:pPr>
    </w:p>
    <w:p>
      <w:pPr>
        <w:ind w:right="2759" w:firstLine="1356"/>
        <w:spacing w:after="0" w:line="246" w:lineRule="auto"/>
        <w:tabs>
          <w:tab w:leader="none" w:pos="1841"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five business days preceding the day of determination, as reported in the The Wall Street Journal or such other source as the Administrator deems reliable;</w:t>
      </w:r>
    </w:p>
    <w:p>
      <w:pPr>
        <w:spacing w:after="0" w:line="190" w:lineRule="exact"/>
        <w:rPr>
          <w:rFonts w:ascii="Courier New" w:cs="Courier New" w:eastAsia="Courier New" w:hAnsi="Courier New"/>
          <w:sz w:val="16"/>
          <w:szCs w:val="16"/>
          <w:color w:val="auto"/>
        </w:rPr>
      </w:pPr>
    </w:p>
    <w:p>
      <w:pPr>
        <w:ind w:right="2759" w:firstLine="1356"/>
        <w:spacing w:after="0" w:line="247" w:lineRule="auto"/>
        <w:tabs>
          <w:tab w:leader="none" w:pos="1938"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in The Wall Street Journal or such other source as the Administrator deems reliable;</w:t>
      </w:r>
    </w:p>
    <w:p>
      <w:pPr>
        <w:spacing w:after="0" w:line="185" w:lineRule="exact"/>
        <w:rPr>
          <w:rFonts w:ascii="Courier New" w:cs="Courier New" w:eastAsia="Courier New" w:hAnsi="Courier New"/>
          <w:sz w:val="16"/>
          <w:szCs w:val="16"/>
          <w:color w:val="auto"/>
        </w:rPr>
      </w:pPr>
    </w:p>
    <w:p>
      <w:pPr>
        <w:ind w:right="3039" w:firstLine="1356"/>
        <w:spacing w:after="0" w:line="247" w:lineRule="auto"/>
        <w:tabs>
          <w:tab w:leader="none" w:pos="1938"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absence of an established market for the Common Stock, the Fair Market Value shall be determined in good faith by the Administrator.</w:t>
      </w:r>
    </w:p>
    <w:p>
      <w:pPr>
        <w:sectPr>
          <w:pgSz w:w="11900" w:h="16838" w:orient="portrait"/>
          <w:cols w:equalWidth="0" w:num="1">
            <w:col w:w="10219"/>
          </w:cols>
          <w:pgMar w:left="240" w:top="489" w:right="1440" w:bottom="1440" w:gutter="0" w:footer="0" w:header="0"/>
        </w:sectPr>
      </w:pPr>
    </w:p>
    <w:bookmarkStart w:id="26" w:name="page27"/>
    <w:bookmarkEnd w:id="26"/>
    <w:p>
      <w:pPr>
        <w:ind w:left="-871" w:right="2759" w:firstLine="871"/>
        <w:spacing w:after="0" w:line="247" w:lineRule="auto"/>
        <w:tabs>
          <w:tab w:leader="none" w:pos="48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 means an Option intended to qualify as an incentive stock option within the meaning of Section 422 of the Code and the regulations promulgated thereunder.</w:t>
      </w:r>
    </w:p>
    <w:p>
      <w:pPr>
        <w:spacing w:after="0" w:line="185" w:lineRule="exact"/>
        <w:rPr>
          <w:rFonts w:ascii="Courier New" w:cs="Courier New" w:eastAsia="Courier New" w:hAnsi="Courier New"/>
          <w:sz w:val="16"/>
          <w:szCs w:val="16"/>
          <w:color w:val="auto"/>
        </w:rPr>
      </w:pPr>
    </w:p>
    <w:p>
      <w:pPr>
        <w:ind w:left="-871" w:right="3139" w:firstLine="871"/>
        <w:spacing w:after="0" w:line="248" w:lineRule="auto"/>
        <w:tabs>
          <w:tab w:leader="none" w:pos="48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"Nonstatutory Stock Option" means an Option not intended to qualify as an Incentive Stock Option.</w:t>
      </w:r>
    </w:p>
    <w:p>
      <w:pPr>
        <w:spacing w:after="0" w:line="184" w:lineRule="exact"/>
        <w:rPr>
          <w:rFonts w:ascii="Courier New" w:cs="Courier New" w:eastAsia="Courier New" w:hAnsi="Courier New"/>
          <w:sz w:val="16"/>
          <w:szCs w:val="16"/>
          <w:color w:val="auto"/>
        </w:rPr>
      </w:pPr>
    </w:p>
    <w:p>
      <w:pPr>
        <w:ind w:left="-871" w:right="2959" w:firstLine="871"/>
        <w:spacing w:after="0" w:line="247" w:lineRule="auto"/>
        <w:tabs>
          <w:tab w:leader="none" w:pos="48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Grant" means a written notice evidencing certain terms and conditions of an individual Option grant. The Notice of Grant is subject to the terms and conditions of the Option Agreement.</w:t>
      </w:r>
    </w:p>
    <w:p>
      <w:pPr>
        <w:spacing w:after="0" w:line="185" w:lineRule="exact"/>
        <w:rPr>
          <w:rFonts w:ascii="Courier New" w:cs="Courier New" w:eastAsia="Courier New" w:hAnsi="Courier New"/>
          <w:sz w:val="16"/>
          <w:szCs w:val="16"/>
          <w:color w:val="auto"/>
        </w:rPr>
      </w:pPr>
    </w:p>
    <w:p>
      <w:pPr>
        <w:ind w:left="-871" w:right="2659" w:firstLine="871"/>
        <w:spacing w:after="0" w:line="247" w:lineRule="auto"/>
        <w:tabs>
          <w:tab w:leader="none" w:pos="48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"Officer" means a person who is an officer of the Company within the meaning of Section 16 of the Exchange Act and the rules and regulations promulgated thereunder.</w:t>
      </w:r>
    </w:p>
    <w:p>
      <w:pPr>
        <w:spacing w:after="0" w:line="185" w:lineRule="exact"/>
        <w:rPr>
          <w:rFonts w:ascii="Courier New" w:cs="Courier New" w:eastAsia="Courier New" w:hAnsi="Courier New"/>
          <w:sz w:val="16"/>
          <w:szCs w:val="16"/>
          <w:color w:val="auto"/>
        </w:rPr>
      </w:pPr>
    </w:p>
    <w:p>
      <w:pPr>
        <w:ind w:left="489" w:hanging="489"/>
        <w:spacing w:after="0"/>
        <w:tabs>
          <w:tab w:leader="none" w:pos="48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means a stock option granted pursuant to the Plan.</w:t>
      </w:r>
    </w:p>
    <w:p>
      <w:pPr>
        <w:spacing w:after="0" w:line="191" w:lineRule="exact"/>
        <w:rPr>
          <w:rFonts w:ascii="Courier New" w:cs="Courier New" w:eastAsia="Courier New" w:hAnsi="Courier New"/>
          <w:sz w:val="16"/>
          <w:szCs w:val="16"/>
          <w:color w:val="auto"/>
        </w:rPr>
      </w:pPr>
    </w:p>
    <w:p>
      <w:pPr>
        <w:ind w:left="-871" w:right="2459" w:firstLine="871"/>
        <w:spacing w:after="0" w:line="247" w:lineRule="auto"/>
        <w:tabs>
          <w:tab w:leader="none" w:pos="48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Agreement" means a written agreement between the Company and an Optionee evidencing the terms and conditions of an individual Option grant. The Option Agreement is subject to the terms and conditions of the Plan.</w:t>
      </w:r>
    </w:p>
    <w:p>
      <w:pPr>
        <w:spacing w:after="0" w:line="185" w:lineRule="exact"/>
        <w:rPr>
          <w:rFonts w:ascii="Courier New" w:cs="Courier New" w:eastAsia="Courier New" w:hAnsi="Courier New"/>
          <w:sz w:val="16"/>
          <w:szCs w:val="16"/>
          <w:color w:val="auto"/>
        </w:rPr>
      </w:pPr>
    </w:p>
    <w:p>
      <w:pPr>
        <w:ind w:left="-871" w:right="2859" w:firstLine="871"/>
        <w:spacing w:after="0" w:line="248" w:lineRule="auto"/>
        <w:tabs>
          <w:tab w:leader="none" w:pos="48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Exchange Program" means a program whereby outstanding options are surrendered in exchange for options with a lower exercise price.</w:t>
      </w:r>
    </w:p>
    <w:p>
      <w:pPr>
        <w:spacing w:after="0" w:line="184" w:lineRule="exact"/>
        <w:rPr>
          <w:rFonts w:ascii="Courier New" w:cs="Courier New" w:eastAsia="Courier New" w:hAnsi="Courier New"/>
          <w:sz w:val="16"/>
          <w:szCs w:val="16"/>
          <w:color w:val="auto"/>
        </w:rPr>
      </w:pPr>
    </w:p>
    <w:p>
      <w:pPr>
        <w:ind w:left="489" w:hanging="489"/>
        <w:spacing w:after="0"/>
        <w:tabs>
          <w:tab w:leader="none" w:pos="48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"Optioned Stock" means the Common Stock subject to an Option.</w:t>
      </w:r>
    </w:p>
    <w:p>
      <w:pPr>
        <w:spacing w:after="0" w:line="191" w:lineRule="exact"/>
        <w:rPr>
          <w:rFonts w:ascii="Courier New" w:cs="Courier New" w:eastAsia="Courier New" w:hAnsi="Courier New"/>
          <w:sz w:val="16"/>
          <w:szCs w:val="16"/>
          <w:color w:val="auto"/>
        </w:rPr>
      </w:pPr>
    </w:p>
    <w:p>
      <w:pPr>
        <w:ind w:left="-871" w:right="3539" w:firstLine="871"/>
        <w:spacing w:after="0" w:line="248" w:lineRule="auto"/>
        <w:tabs>
          <w:tab w:leader="none" w:pos="48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means an Employee or Consultant who holds an outstanding Option.</w:t>
      </w:r>
    </w:p>
    <w:p>
      <w:pPr>
        <w:spacing w:after="0" w:line="184" w:lineRule="exact"/>
        <w:rPr>
          <w:rFonts w:ascii="Courier New" w:cs="Courier New" w:eastAsia="Courier New" w:hAnsi="Courier New"/>
          <w:sz w:val="16"/>
          <w:szCs w:val="16"/>
          <w:color w:val="auto"/>
        </w:rPr>
      </w:pPr>
    </w:p>
    <w:p>
      <w:pPr>
        <w:ind w:left="-871" w:right="2759" w:firstLine="871"/>
        <w:spacing w:after="0" w:line="248" w:lineRule="auto"/>
        <w:tabs>
          <w:tab w:leader="none" w:pos="48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means a "parent corporation", whether now or hereafter existing, as defined in Section 424(e) of the Code.</w:t>
      </w:r>
    </w:p>
    <w:p>
      <w:pPr>
        <w:spacing w:after="0" w:line="184" w:lineRule="exact"/>
        <w:rPr>
          <w:rFonts w:ascii="Courier New" w:cs="Courier New" w:eastAsia="Courier New" w:hAnsi="Courier New"/>
          <w:sz w:val="16"/>
          <w:szCs w:val="16"/>
          <w:color w:val="auto"/>
        </w:rPr>
      </w:pPr>
    </w:p>
    <w:p>
      <w:pPr>
        <w:ind w:left="489" w:hanging="489"/>
        <w:spacing w:after="0"/>
        <w:tabs>
          <w:tab w:leader="none" w:pos="48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this 1994 Option Plan.</w:t>
      </w:r>
    </w:p>
    <w:p>
      <w:pPr>
        <w:spacing w:after="0" w:line="191" w:lineRule="exact"/>
        <w:rPr>
          <w:sz w:val="20"/>
          <w:szCs w:val="20"/>
          <w:color w:val="auto"/>
        </w:rPr>
      </w:pPr>
    </w:p>
    <w:p>
      <w:pPr>
        <w:ind w:left="-871" w:right="2759" w:firstLine="871"/>
        <w:spacing w:after="0" w:line="247" w:lineRule="auto"/>
        <w:tabs>
          <w:tab w:leader="none" w:pos="48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16b-3" means Rule 16b-3 of the Exchange Act or any successor to Rule 16b-3, as in effect when discretion is being exercised with respect to the Plan.</w:t>
      </w:r>
    </w:p>
    <w:p>
      <w:pPr>
        <w:spacing w:after="0" w:line="185" w:lineRule="exact"/>
        <w:rPr>
          <w:rFonts w:ascii="Courier New" w:cs="Courier New" w:eastAsia="Courier New" w:hAnsi="Courier New"/>
          <w:sz w:val="16"/>
          <w:szCs w:val="16"/>
          <w:color w:val="auto"/>
        </w:rPr>
      </w:pPr>
    </w:p>
    <w:p>
      <w:pPr>
        <w:ind w:left="-871" w:right="3339" w:firstLine="871"/>
        <w:spacing w:after="0" w:line="248" w:lineRule="auto"/>
        <w:tabs>
          <w:tab w:leader="none" w:pos="48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means a share of the Common Stock, as adjusted in accordance with Section 12 of the Plan.</w:t>
      </w:r>
    </w:p>
    <w:p>
      <w:pPr>
        <w:spacing w:after="0" w:line="184" w:lineRule="exact"/>
        <w:rPr>
          <w:rFonts w:ascii="Courier New" w:cs="Courier New" w:eastAsia="Courier New" w:hAnsi="Courier New"/>
          <w:sz w:val="16"/>
          <w:szCs w:val="16"/>
          <w:color w:val="auto"/>
        </w:rPr>
      </w:pPr>
    </w:p>
    <w:p>
      <w:pPr>
        <w:ind w:left="-871" w:right="2759" w:firstLine="871"/>
        <w:spacing w:after="0" w:line="247" w:lineRule="auto"/>
        <w:tabs>
          <w:tab w:leader="none" w:pos="48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means a "subsidiary corporation", whether now or hereafter existing, as defined in Section 424(f) of the Code. In the case of an Option that is not intended to qualify as an Incentive Stock Option, the term "Subsidiary" shall also include any other entity in</w:t>
      </w:r>
    </w:p>
    <w:p>
      <w:pPr>
        <w:sectPr>
          <w:pgSz w:w="11900" w:h="16838" w:orient="portrait"/>
          <w:cols w:equalWidth="0" w:num="1">
            <w:col w:w="9348"/>
          </w:cols>
          <w:pgMar w:left="1111" w:top="489" w:right="1440" w:bottom="1440" w:gutter="0" w:footer="0" w:header="0"/>
        </w:sectPr>
      </w:pPr>
    </w:p>
    <w:bookmarkStart w:id="27" w:name="page28"/>
    <w:bookmarkEnd w:id="27"/>
    <w:p>
      <w:pPr>
        <w:ind w:right="3719"/>
        <w:spacing w:after="0" w:line="248" w:lineRule="auto"/>
        <w:rPr>
          <w:sz w:val="20"/>
          <w:szCs w:val="20"/>
          <w:color w:val="auto"/>
        </w:rPr>
      </w:pPr>
      <w:r>
        <w:rPr>
          <w:rFonts w:ascii="Courier New" w:cs="Courier New" w:eastAsia="Courier New" w:hAnsi="Courier New"/>
          <w:sz w:val="16"/>
          <w:szCs w:val="16"/>
          <w:color w:val="auto"/>
        </w:rPr>
        <w:t>which the Company, or any Parent or Subsidiary of the Company has a significant ownership interest.</w:t>
      </w:r>
    </w:p>
    <w:p>
      <w:pPr>
        <w:spacing w:after="0" w:line="184" w:lineRule="exact"/>
        <w:rPr>
          <w:sz w:val="20"/>
          <w:szCs w:val="20"/>
          <w:color w:val="auto"/>
        </w:rPr>
      </w:pPr>
    </w:p>
    <w:p>
      <w:pPr>
        <w:ind w:right="2759" w:firstLine="484"/>
        <w:spacing w:after="0" w:line="247" w:lineRule="auto"/>
        <w:tabs>
          <w:tab w:leader="none" w:pos="87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Subject to the Plan. Subject to the provisions of Section 12 of the Plan, the maximum aggregate number of Shares which may be optioned and sold under the Plan is 1,000,000 Shares. The Shares may be authorized, but unissued, or reacquired Common Stock.</w:t>
      </w:r>
    </w:p>
    <w:p>
      <w:pPr>
        <w:spacing w:after="0" w:line="186"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 provided, however, that Shares that have actually been issued under the Plan shall not be returned to the Plan and shall not become available for future distribution under the Plan.</w:t>
      </w:r>
    </w:p>
    <w:p>
      <w:pPr>
        <w:spacing w:after="0" w:line="185" w:lineRule="exact"/>
        <w:rPr>
          <w:sz w:val="20"/>
          <w:szCs w:val="20"/>
          <w:color w:val="auto"/>
        </w:rPr>
      </w:pPr>
    </w:p>
    <w:p>
      <w:pPr>
        <w:ind w:left="880" w:hanging="396"/>
        <w:spacing w:after="0"/>
        <w:tabs>
          <w:tab w:leader="none" w:pos="8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the Plan.</w:t>
      </w:r>
    </w:p>
    <w:p>
      <w:pPr>
        <w:spacing w:after="0" w:line="191" w:lineRule="exact"/>
        <w:rPr>
          <w:rFonts w:ascii="Courier New" w:cs="Courier New" w:eastAsia="Courier New" w:hAnsi="Courier New"/>
          <w:sz w:val="16"/>
          <w:szCs w:val="16"/>
          <w:color w:val="auto"/>
        </w:rPr>
      </w:pPr>
    </w:p>
    <w:p>
      <w:pPr>
        <w:ind w:left="1360" w:hanging="489"/>
        <w:spacing w:after="0"/>
        <w:tabs>
          <w:tab w:leader="none" w:pos="136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w:t>
      </w:r>
    </w:p>
    <w:p>
      <w:pPr>
        <w:spacing w:after="0" w:line="191" w:lineRule="exact"/>
        <w:rPr>
          <w:rFonts w:ascii="Courier New" w:cs="Courier New" w:eastAsia="Courier New" w:hAnsi="Courier New"/>
          <w:sz w:val="16"/>
          <w:szCs w:val="16"/>
          <w:color w:val="auto"/>
        </w:rPr>
      </w:pPr>
    </w:p>
    <w:p>
      <w:pPr>
        <w:ind w:right="2559" w:firstLine="1356"/>
        <w:spacing w:after="0" w:line="247" w:lineRule="auto"/>
        <w:tabs>
          <w:tab w:leader="none" w:pos="1841" w:val="left"/>
        </w:tabs>
        <w:numPr>
          <w:ilvl w:val="3"/>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Multiple Administrative Bodies. If permitted by Rule 16b-3, the Plan may be administered by different bodies with respect to Directors, Officers who are not Directors, and Employees who are neither Directors nor Officers.</w:t>
      </w:r>
    </w:p>
    <w:p>
      <w:pPr>
        <w:spacing w:after="0" w:line="185" w:lineRule="exact"/>
        <w:rPr>
          <w:rFonts w:ascii="Courier New" w:cs="Courier New" w:eastAsia="Courier New" w:hAnsi="Courier New"/>
          <w:sz w:val="16"/>
          <w:szCs w:val="16"/>
          <w:color w:val="auto"/>
        </w:rPr>
      </w:pPr>
    </w:p>
    <w:p>
      <w:pPr>
        <w:ind w:right="2659" w:firstLine="1356"/>
        <w:spacing w:after="0" w:line="246" w:lineRule="auto"/>
        <w:tabs>
          <w:tab w:leader="none" w:pos="1841" w:val="left"/>
        </w:tabs>
        <w:numPr>
          <w:ilvl w:val="3"/>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With Respect to Directors and Officers Subject to Section 16(b). With respect to Option grants made to Employees who are also Officers or Directors subject to Section 16(b) of the Exchange Act, the Plan shall be administered by (A) the Board, if the Board may administer the Plan in compliance with the rules governing a plan intended to qualify as a discretionary plan under Rule 16b-3, or (B) a committee designated by the Board to administer the Plan, which committee shall be constituted to comply with the rules governing a plan intended to qualify as a discretionary plan under Rule 16b-3. Once appointed, such committee shall continue to serve in its designated capacity until otherwise directed by the Board. From time to time the Board may increase the size of the Committee and appoint additional members, remove members (with or without cause) and substitute new members, full vacancies (however caused), and remove all members of the Committee and thereafter directly administer the Plan, all to the extent permitted by the rules governing a plan intended to qualify as a discretionary plan under Rule 16b-3.</w:t>
      </w:r>
    </w:p>
    <w:p>
      <w:pPr>
        <w:spacing w:after="0" w:line="195" w:lineRule="exact"/>
        <w:rPr>
          <w:rFonts w:ascii="Courier New" w:cs="Courier New" w:eastAsia="Courier New" w:hAnsi="Courier New"/>
          <w:sz w:val="16"/>
          <w:szCs w:val="16"/>
          <w:color w:val="auto"/>
        </w:rPr>
      </w:pPr>
    </w:p>
    <w:p>
      <w:pPr>
        <w:ind w:right="2659" w:firstLine="1259"/>
        <w:spacing w:after="0" w:line="246" w:lineRule="auto"/>
        <w:tabs>
          <w:tab w:leader="none" w:pos="1841" w:val="left"/>
        </w:tabs>
        <w:numPr>
          <w:ilvl w:val="2"/>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With Respect to Other Persons. With respect to Option grants made to Employees or Consultants who are neither Directors nor Officers of the Company, the Plan shall be administered by (A) the Board or (B) a 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ectPr>
          <w:pgSz w:w="11900" w:h="16838" w:orient="portrait"/>
          <w:cols w:equalWidth="0" w:num="1">
            <w:col w:w="10219"/>
          </w:cols>
          <w:pgMar w:left="240" w:top="676" w:right="1440" w:bottom="1440" w:gutter="0" w:footer="0" w:header="0"/>
        </w:sectPr>
      </w:pPr>
    </w:p>
    <w:bookmarkStart w:id="28" w:name="page29"/>
    <w:bookmarkEnd w:id="28"/>
    <w:p>
      <w:pPr>
        <w:ind w:right="2659" w:firstLine="871"/>
        <w:spacing w:after="0" w:line="247" w:lineRule="auto"/>
        <w:tabs>
          <w:tab w:leader="none" w:pos="1357"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the Administrator. Subject to the provisions of the Plan, and in the case of a Committee, subject to the specific duties delegated by the Board to such Committee, the Administrator shall have the authority, in its discretion:</w:t>
      </w:r>
    </w:p>
    <w:p>
      <w:pPr>
        <w:spacing w:after="0" w:line="185" w:lineRule="exact"/>
        <w:rPr>
          <w:rFonts w:ascii="Courier New" w:cs="Courier New" w:eastAsia="Courier New" w:hAnsi="Courier New"/>
          <w:sz w:val="16"/>
          <w:szCs w:val="16"/>
          <w:color w:val="auto"/>
        </w:rPr>
      </w:pPr>
    </w:p>
    <w:p>
      <w:pPr>
        <w:ind w:right="2759" w:firstLine="1356"/>
        <w:spacing w:after="0" w:line="248" w:lineRule="auto"/>
        <w:tabs>
          <w:tab w:leader="none" w:pos="1841"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Fair Market Value of the Common Stock, in accordance with Section 2(o) of the Plan;</w:t>
      </w:r>
    </w:p>
    <w:p>
      <w:pPr>
        <w:spacing w:after="0" w:line="370" w:lineRule="exact"/>
        <w:rPr>
          <w:rFonts w:ascii="Courier New" w:cs="Courier New" w:eastAsia="Courier New" w:hAnsi="Courier New"/>
          <w:sz w:val="16"/>
          <w:szCs w:val="16"/>
          <w:color w:val="auto"/>
        </w:rPr>
      </w:pPr>
    </w:p>
    <w:p>
      <w:pPr>
        <w:ind w:right="2659" w:firstLine="1356"/>
        <w:spacing w:after="0" w:line="248" w:lineRule="auto"/>
        <w:tabs>
          <w:tab w:leader="none" w:pos="1841"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select the Consultants and Employees to whom Options may be granted hereunder;</w:t>
      </w:r>
    </w:p>
    <w:p>
      <w:pPr>
        <w:spacing w:after="0" w:line="184" w:lineRule="exact"/>
        <w:rPr>
          <w:rFonts w:ascii="Courier New" w:cs="Courier New" w:eastAsia="Courier New" w:hAnsi="Courier New"/>
          <w:sz w:val="16"/>
          <w:szCs w:val="16"/>
          <w:color w:val="auto"/>
        </w:rPr>
      </w:pPr>
    </w:p>
    <w:p>
      <w:pPr>
        <w:ind w:left="1840" w:hanging="581"/>
        <w:spacing w:after="0"/>
        <w:tabs>
          <w:tab w:leader="none" w:pos="184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whether and to what extent Options are granted</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hereunder;</w:t>
      </w:r>
    </w:p>
    <w:p>
      <w:pPr>
        <w:spacing w:after="0" w:line="191" w:lineRule="exact"/>
        <w:rPr>
          <w:rFonts w:ascii="Courier New" w:cs="Courier New" w:eastAsia="Courier New" w:hAnsi="Courier New"/>
          <w:sz w:val="16"/>
          <w:szCs w:val="16"/>
          <w:color w:val="auto"/>
        </w:rPr>
      </w:pPr>
    </w:p>
    <w:p>
      <w:pPr>
        <w:ind w:right="3039" w:firstLine="1356"/>
        <w:spacing w:after="0" w:line="248" w:lineRule="auto"/>
        <w:tabs>
          <w:tab w:leader="none" w:pos="1841"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number of shares of Common Stock to be covered by each Option granted hereunder;</w:t>
      </w:r>
    </w:p>
    <w:p>
      <w:pPr>
        <w:spacing w:after="0" w:line="184" w:lineRule="exact"/>
        <w:rPr>
          <w:rFonts w:ascii="Courier New" w:cs="Courier New" w:eastAsia="Courier New" w:hAnsi="Courier New"/>
          <w:sz w:val="16"/>
          <w:szCs w:val="16"/>
          <w:color w:val="auto"/>
        </w:rPr>
      </w:pPr>
    </w:p>
    <w:p>
      <w:pPr>
        <w:ind w:left="1840" w:hanging="484"/>
        <w:spacing w:after="0"/>
        <w:tabs>
          <w:tab w:leader="none" w:pos="1840" w:val="left"/>
        </w:tabs>
        <w:numPr>
          <w:ilvl w:val="2"/>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forms of agreement for use under the Plan;</w:t>
      </w:r>
    </w:p>
    <w:p>
      <w:pPr>
        <w:spacing w:after="0" w:line="191" w:lineRule="exact"/>
        <w:rPr>
          <w:rFonts w:ascii="Courier New" w:cs="Courier New" w:eastAsia="Courier New" w:hAnsi="Courier New"/>
          <w:sz w:val="16"/>
          <w:szCs w:val="16"/>
          <w:color w:val="auto"/>
        </w:rPr>
      </w:pPr>
    </w:p>
    <w:p>
      <w:pPr>
        <w:ind w:right="2959" w:firstLine="1356"/>
        <w:spacing w:after="0" w:line="246" w:lineRule="auto"/>
        <w:tabs>
          <w:tab w:leader="none" w:pos="1841" w:val="left"/>
        </w:tabs>
        <w:numPr>
          <w:ilvl w:val="2"/>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w:t>
      </w:r>
    </w:p>
    <w:p>
      <w:pPr>
        <w:spacing w:after="0" w:line="2"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any restriction or limitation regarding any Option or the shares of Common Stock relating thereto, based in each case on such factors as the Administrator, in its sole discretion, shall determine;</w:t>
      </w:r>
    </w:p>
    <w:p>
      <w:pPr>
        <w:spacing w:after="0" w:line="186" w:lineRule="exact"/>
        <w:rPr>
          <w:sz w:val="20"/>
          <w:szCs w:val="20"/>
          <w:color w:val="auto"/>
        </w:rPr>
      </w:pPr>
    </w:p>
    <w:p>
      <w:pPr>
        <w:ind w:right="2659" w:firstLine="1259"/>
        <w:spacing w:after="0" w:line="247" w:lineRule="auto"/>
        <w:tabs>
          <w:tab w:leader="none" w:pos="1841"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reduce the exercise price of any Option to the then current Fair Market Value if the Fair Market Value of the Common Stock covered by such Option shall have declined since the date the Option was granted;</w:t>
      </w:r>
    </w:p>
    <w:p>
      <w:pPr>
        <w:spacing w:after="0" w:line="185" w:lineRule="exact"/>
        <w:rPr>
          <w:rFonts w:ascii="Courier New" w:cs="Courier New" w:eastAsia="Courier New" w:hAnsi="Courier New"/>
          <w:sz w:val="16"/>
          <w:szCs w:val="16"/>
          <w:color w:val="auto"/>
        </w:rPr>
      </w:pPr>
    </w:p>
    <w:p>
      <w:pPr>
        <w:ind w:right="2759" w:firstLine="1162"/>
        <w:spacing w:after="0" w:line="248" w:lineRule="auto"/>
        <w:tabs>
          <w:tab w:leader="none" w:pos="1841"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construe and interpret the terms of the Plan and awards granted pursuant to the Plan;</w:t>
      </w:r>
    </w:p>
    <w:p>
      <w:pPr>
        <w:spacing w:after="0" w:line="184" w:lineRule="exact"/>
        <w:rPr>
          <w:rFonts w:ascii="Courier New" w:cs="Courier New" w:eastAsia="Courier New" w:hAnsi="Courier New"/>
          <w:sz w:val="16"/>
          <w:szCs w:val="16"/>
          <w:color w:val="auto"/>
        </w:rPr>
      </w:pPr>
    </w:p>
    <w:p>
      <w:pPr>
        <w:ind w:right="2959" w:firstLine="1356"/>
        <w:spacing w:after="0" w:line="247" w:lineRule="auto"/>
        <w:tabs>
          <w:tab w:leader="none" w:pos="1841"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85" w:lineRule="exact"/>
        <w:rPr>
          <w:rFonts w:ascii="Courier New" w:cs="Courier New" w:eastAsia="Courier New" w:hAnsi="Courier New"/>
          <w:sz w:val="16"/>
          <w:szCs w:val="16"/>
          <w:color w:val="auto"/>
        </w:rPr>
      </w:pPr>
    </w:p>
    <w:p>
      <w:pPr>
        <w:ind w:right="2559" w:firstLine="1356"/>
        <w:spacing w:after="0" w:line="247" w:lineRule="auto"/>
        <w:tabs>
          <w:tab w:leader="none" w:pos="184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modify or amend each Option (subject to Section 14(c) of the Plan), including the discretionary authority to extend the post-termination exercisability period of Options longer than is otherwise provided for in the Plan;</w:t>
      </w:r>
    </w:p>
    <w:p>
      <w:pPr>
        <w:spacing w:after="0" w:line="185" w:lineRule="exact"/>
        <w:rPr>
          <w:rFonts w:ascii="Courier New" w:cs="Courier New" w:eastAsia="Courier New" w:hAnsi="Courier New"/>
          <w:sz w:val="16"/>
          <w:szCs w:val="16"/>
          <w:color w:val="auto"/>
        </w:rPr>
      </w:pPr>
    </w:p>
    <w:p>
      <w:pPr>
        <w:jc w:val="both"/>
        <w:ind w:right="2659" w:firstLine="1356"/>
        <w:spacing w:after="0" w:line="247" w:lineRule="auto"/>
        <w:tabs>
          <w:tab w:leader="none" w:pos="184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authorize any person to execute on behalf of the Company any instrument required to effect the grant of an Option previously granted by the Administrator;</w:t>
      </w:r>
    </w:p>
    <w:p>
      <w:pPr>
        <w:sectPr>
          <w:pgSz w:w="11900" w:h="16838" w:orient="portrait"/>
          <w:cols w:equalWidth="0" w:num="1">
            <w:col w:w="10219"/>
          </w:cols>
          <w:pgMar w:left="240" w:top="489" w:right="1440" w:bottom="1440" w:gutter="0" w:footer="0" w:header="0"/>
        </w:sectPr>
      </w:pPr>
    </w:p>
    <w:bookmarkStart w:id="29" w:name="page30"/>
    <w:bookmarkEnd w:id="29"/>
    <w:p>
      <w:pPr>
        <w:ind w:left="1840" w:hanging="581"/>
        <w:spacing w:after="0"/>
        <w:tabs>
          <w:tab w:leader="none" w:pos="1840" w:val="left"/>
        </w:tabs>
        <w:numPr>
          <w:ilvl w:val="3"/>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institute and Option Exchange Program; and</w:t>
      </w:r>
    </w:p>
    <w:p>
      <w:pPr>
        <w:spacing w:after="0" w:line="191" w:lineRule="exact"/>
        <w:rPr>
          <w:rFonts w:ascii="Courier New" w:cs="Courier New" w:eastAsia="Courier New" w:hAnsi="Courier New"/>
          <w:sz w:val="16"/>
          <w:szCs w:val="16"/>
          <w:color w:val="auto"/>
        </w:rPr>
      </w:pPr>
    </w:p>
    <w:p>
      <w:pPr>
        <w:ind w:right="3339" w:firstLine="1162"/>
        <w:spacing w:after="0" w:line="248" w:lineRule="auto"/>
        <w:tabs>
          <w:tab w:leader="none" w:pos="1841" w:val="left"/>
        </w:tabs>
        <w:numPr>
          <w:ilvl w:val="3"/>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all other determinations deemed necessary or advisable for administering the Plan.</w:t>
      </w:r>
    </w:p>
    <w:p>
      <w:pPr>
        <w:spacing w:after="0" w:line="184" w:lineRule="exact"/>
        <w:rPr>
          <w:rFonts w:ascii="Courier New" w:cs="Courier New" w:eastAsia="Courier New" w:hAnsi="Courier New"/>
          <w:sz w:val="16"/>
          <w:szCs w:val="16"/>
          <w:color w:val="auto"/>
        </w:rPr>
      </w:pPr>
    </w:p>
    <w:p>
      <w:pPr>
        <w:ind w:right="2959" w:firstLine="871"/>
        <w:spacing w:after="0" w:line="247" w:lineRule="auto"/>
        <w:tabs>
          <w:tab w:leader="none" w:pos="126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Administrator's Decision. The Administrator's decisions, determinations and interpretations shall be final and binding on all Optionees and any other holders of Options.</w:t>
      </w:r>
    </w:p>
    <w:p>
      <w:pPr>
        <w:spacing w:after="0" w:line="185" w:lineRule="exact"/>
        <w:rPr>
          <w:rFonts w:ascii="Courier New" w:cs="Courier New" w:eastAsia="Courier New" w:hAnsi="Courier New"/>
          <w:sz w:val="16"/>
          <w:szCs w:val="16"/>
          <w:color w:val="auto"/>
        </w:rPr>
      </w:pPr>
    </w:p>
    <w:p>
      <w:pPr>
        <w:ind w:right="2759" w:firstLine="484"/>
        <w:spacing w:after="0" w:line="247" w:lineRule="auto"/>
        <w:tabs>
          <w:tab w:leader="none" w:pos="87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Nonstatutory stock Options may be granted to Employees and Consultants. Incentive Stock Options may be granted only to Employees. If otherwise eligible, an Employee or Consultant who has been granted an Option may be granted additional Options.</w:t>
      </w:r>
    </w:p>
    <w:p>
      <w:pPr>
        <w:spacing w:after="0" w:line="185"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w:t>
      </w:r>
    </w:p>
    <w:p>
      <w:pPr>
        <w:spacing w:after="0" w:line="191" w:lineRule="exact"/>
        <w:rPr>
          <w:rFonts w:ascii="Courier New" w:cs="Courier New" w:eastAsia="Courier New" w:hAnsi="Courier New"/>
          <w:sz w:val="16"/>
          <w:szCs w:val="16"/>
          <w:color w:val="auto"/>
        </w:rPr>
      </w:pPr>
    </w:p>
    <w:p>
      <w:pPr>
        <w:ind w:right="2659" w:firstLine="871"/>
        <w:spacing w:after="0" w:line="247" w:lineRule="auto"/>
        <w:tabs>
          <w:tab w:leader="none" w:pos="1357"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shall be designated in the Notice of Grant as either an Incentive Stock Option or a Nonstatutory Stock Option. However, notwithstanding such designations, to the extent that the aggregate Fair Market Value:</w:t>
      </w:r>
    </w:p>
    <w:p>
      <w:pPr>
        <w:spacing w:after="0" w:line="185" w:lineRule="exact"/>
        <w:rPr>
          <w:rFonts w:ascii="Courier New" w:cs="Courier New" w:eastAsia="Courier New" w:hAnsi="Courier New"/>
          <w:sz w:val="16"/>
          <w:szCs w:val="16"/>
          <w:color w:val="auto"/>
        </w:rPr>
      </w:pPr>
    </w:p>
    <w:p>
      <w:pPr>
        <w:ind w:right="2759" w:firstLine="1356"/>
        <w:spacing w:after="0" w:line="248" w:lineRule="auto"/>
        <w:tabs>
          <w:tab w:leader="none" w:pos="1841" w:val="left"/>
        </w:tabs>
        <w:numPr>
          <w:ilvl w:val="2"/>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Shares subject to an Optionee's Incentive Stock Options granted by the Company or any Parent or Subsidiary, which</w:t>
      </w:r>
    </w:p>
    <w:p>
      <w:pPr>
        <w:spacing w:after="0" w:line="184" w:lineRule="exact"/>
        <w:rPr>
          <w:rFonts w:ascii="Courier New" w:cs="Courier New" w:eastAsia="Courier New" w:hAnsi="Courier New"/>
          <w:sz w:val="16"/>
          <w:szCs w:val="16"/>
          <w:color w:val="auto"/>
        </w:rPr>
      </w:pPr>
    </w:p>
    <w:p>
      <w:pPr>
        <w:ind w:right="2859" w:firstLine="1259"/>
        <w:spacing w:after="0" w:line="248" w:lineRule="auto"/>
        <w:tabs>
          <w:tab w:leader="none" w:pos="1841" w:val="left"/>
        </w:tabs>
        <w:numPr>
          <w:ilvl w:val="2"/>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become exercisable for the first time during any calendar year (under all plans of the Company or any Parent or Subsidiary)</w:t>
      </w:r>
    </w:p>
    <w:p>
      <w:pPr>
        <w:spacing w:after="0" w:line="184"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186" w:lineRule="exact"/>
        <w:rPr>
          <w:sz w:val="20"/>
          <w:szCs w:val="20"/>
          <w:color w:val="auto"/>
        </w:rPr>
      </w:pPr>
    </w:p>
    <w:p>
      <w:pPr>
        <w:ind w:right="2859" w:firstLine="871"/>
        <w:spacing w:after="0" w:line="247" w:lineRule="auto"/>
        <w:tabs>
          <w:tab w:leader="none" w:pos="1357"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tie, with or without cause.</w:t>
      </w:r>
    </w:p>
    <w:p>
      <w:pPr>
        <w:spacing w:after="0" w:line="185" w:lineRule="exact"/>
        <w:rPr>
          <w:rFonts w:ascii="Courier New" w:cs="Courier New" w:eastAsia="Courier New" w:hAnsi="Courier New"/>
          <w:sz w:val="16"/>
          <w:szCs w:val="16"/>
          <w:color w:val="auto"/>
        </w:rPr>
      </w:pPr>
    </w:p>
    <w:p>
      <w:pPr>
        <w:ind w:left="1360" w:hanging="489"/>
        <w:spacing w:after="0"/>
        <w:tabs>
          <w:tab w:leader="none" w:pos="13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limitations shall apply to grants of Options to</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w:t>
      </w:r>
    </w:p>
    <w:p>
      <w:pPr>
        <w:spacing w:after="0" w:line="191" w:lineRule="exact"/>
        <w:rPr>
          <w:rFonts w:ascii="Courier New" w:cs="Courier New" w:eastAsia="Courier New" w:hAnsi="Courier New"/>
          <w:sz w:val="16"/>
          <w:szCs w:val="16"/>
          <w:color w:val="auto"/>
        </w:rPr>
      </w:pPr>
    </w:p>
    <w:p>
      <w:pPr>
        <w:ind w:right="3039" w:firstLine="1356"/>
        <w:spacing w:after="0" w:line="248" w:lineRule="auto"/>
        <w:tabs>
          <w:tab w:leader="none" w:pos="184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employee shall be granted, in any fiscal year of the Company, Options to purchase more than 250,000 Shares.</w:t>
      </w:r>
    </w:p>
    <w:p>
      <w:pPr>
        <w:spacing w:after="0" w:line="184" w:lineRule="exact"/>
        <w:rPr>
          <w:rFonts w:ascii="Courier New" w:cs="Courier New" w:eastAsia="Courier New" w:hAnsi="Courier New"/>
          <w:sz w:val="16"/>
          <w:szCs w:val="16"/>
          <w:color w:val="auto"/>
        </w:rPr>
      </w:pPr>
    </w:p>
    <w:p>
      <w:pPr>
        <w:ind w:right="2659" w:firstLine="1259"/>
        <w:spacing w:after="0" w:line="247" w:lineRule="auto"/>
        <w:tabs>
          <w:tab w:leader="none" w:pos="184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foregoing limitations shall be adjusted proportionately in connection with any change in the Company's capitalization as described in Section 12.</w:t>
      </w:r>
    </w:p>
    <w:p>
      <w:pPr>
        <w:spacing w:after="0" w:line="185" w:lineRule="exact"/>
        <w:rPr>
          <w:rFonts w:ascii="Courier New" w:cs="Courier New" w:eastAsia="Courier New" w:hAnsi="Courier New"/>
          <w:sz w:val="16"/>
          <w:szCs w:val="16"/>
          <w:color w:val="auto"/>
        </w:rPr>
      </w:pPr>
    </w:p>
    <w:p>
      <w:pPr>
        <w:ind w:right="2859" w:firstLine="1162"/>
        <w:spacing w:after="0" w:line="247" w:lineRule="auto"/>
        <w:tabs>
          <w:tab w:leader="none" w:pos="184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Option is canceled in the same fiscal year of the Company in which it was granted (other than in connection with a transaction described in Section 12), the</w:t>
      </w:r>
    </w:p>
    <w:p>
      <w:pPr>
        <w:sectPr>
          <w:pgSz w:w="11900" w:h="16838" w:orient="portrait"/>
          <w:cols w:equalWidth="0" w:num="1">
            <w:col w:w="10219"/>
          </w:cols>
          <w:pgMar w:left="240" w:top="489" w:right="1440" w:bottom="1440" w:gutter="0" w:footer="0" w:header="0"/>
        </w:sectPr>
      </w:pPr>
    </w:p>
    <w:bookmarkStart w:id="30" w:name="page31"/>
    <w:bookmarkEnd w:id="30"/>
    <w:p>
      <w:pPr>
        <w:ind w:right="2559"/>
        <w:spacing w:after="0" w:line="247" w:lineRule="auto"/>
        <w:rPr>
          <w:sz w:val="20"/>
          <w:szCs w:val="20"/>
          <w:color w:val="auto"/>
        </w:rPr>
      </w:pPr>
      <w:r>
        <w:rPr>
          <w:rFonts w:ascii="Courier New" w:cs="Courier New" w:eastAsia="Courier New" w:hAnsi="Courier New"/>
          <w:sz w:val="16"/>
          <w:szCs w:val="16"/>
          <w:color w:val="auto"/>
        </w:rPr>
        <w:t>canceled Option will be counted against the limit set forth in Section 6(c)(i). For this purpose, if the exercise price of an Option is reduced, the transaction will be treated as a cancellation of the Option and the grant of a new Option.</w:t>
      </w:r>
    </w:p>
    <w:p>
      <w:pPr>
        <w:spacing w:after="0" w:line="186" w:lineRule="exact"/>
        <w:rPr>
          <w:sz w:val="20"/>
          <w:szCs w:val="20"/>
          <w:color w:val="auto"/>
        </w:rPr>
      </w:pPr>
    </w:p>
    <w:p>
      <w:pPr>
        <w:ind w:right="2659" w:firstLine="484"/>
        <w:spacing w:after="0" w:line="247" w:lineRule="auto"/>
        <w:tabs>
          <w:tab w:leader="none" w:pos="87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Plan. Subject to Section 18 of the Plan, the Plan shall become effective upon the earlier to occur of its adoption by the Board or its approval by the shareholders of the Company as described in Section 18 of the Plan. It shall continue in effect for a term of ten (10) years unless terminated earlier under Section 14 of the Plan.</w:t>
      </w:r>
    </w:p>
    <w:p>
      <w:pPr>
        <w:spacing w:after="0" w:line="185" w:lineRule="exact"/>
        <w:rPr>
          <w:rFonts w:ascii="Courier New" w:cs="Courier New" w:eastAsia="Courier New" w:hAnsi="Courier New"/>
          <w:sz w:val="16"/>
          <w:szCs w:val="16"/>
          <w:color w:val="auto"/>
        </w:rPr>
      </w:pPr>
    </w:p>
    <w:p>
      <w:pPr>
        <w:ind w:right="2659" w:firstLine="484"/>
        <w:spacing w:after="0" w:line="246" w:lineRule="auto"/>
        <w:tabs>
          <w:tab w:leader="none" w:pos="87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Option. The term of each Option shall be stated in the Notice of Grant; provided, however, that in the case of an Incentive Stock Option, the term shall be ten (10) years from the date of grant or such shorter term as may be provided in the Notice of Grant. Moreover, in the case of an Incentive Stock Option granted to an Optionee who, at the time Incentive Stock Option is granted, owns stock representing more than ten percent (10%) of the voting power of all classes of stock of the Company or any Parent or Subsidiary, the term of the Incentive Stock Option shall be five (5) years from the date of grant or such shorter term as may be provided in</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Notice of Grant.</w:t>
      </w:r>
    </w:p>
    <w:p>
      <w:pPr>
        <w:spacing w:after="0" w:line="191"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Exercise Price and Consideration.</w:t>
      </w:r>
    </w:p>
    <w:p>
      <w:pPr>
        <w:spacing w:after="0" w:line="191" w:lineRule="exact"/>
        <w:rPr>
          <w:rFonts w:ascii="Courier New" w:cs="Courier New" w:eastAsia="Courier New" w:hAnsi="Courier New"/>
          <w:sz w:val="16"/>
          <w:szCs w:val="16"/>
          <w:color w:val="auto"/>
        </w:rPr>
      </w:pPr>
    </w:p>
    <w:p>
      <w:pPr>
        <w:ind w:right="2759" w:firstLine="871"/>
        <w:spacing w:after="0" w:line="247" w:lineRule="auto"/>
        <w:tabs>
          <w:tab w:leader="none" w:pos="1357"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The per share exercise price for the Shares to be issued pursuant to exercise of an Option shall be determined by the Administrator, subject to the following:</w:t>
      </w:r>
    </w:p>
    <w:p>
      <w:pPr>
        <w:spacing w:after="0" w:line="185" w:lineRule="exact"/>
        <w:rPr>
          <w:rFonts w:ascii="Courier New" w:cs="Courier New" w:eastAsia="Courier New" w:hAnsi="Courier New"/>
          <w:sz w:val="16"/>
          <w:szCs w:val="16"/>
          <w:color w:val="auto"/>
        </w:rPr>
      </w:pPr>
    </w:p>
    <w:p>
      <w:pPr>
        <w:ind w:left="1840" w:hanging="484"/>
        <w:spacing w:after="0"/>
        <w:tabs>
          <w:tab w:leader="none" w:pos="1840"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Incentive Stock Option</w:t>
      </w:r>
    </w:p>
    <w:p>
      <w:pPr>
        <w:spacing w:after="0" w:line="191" w:lineRule="exact"/>
        <w:rPr>
          <w:rFonts w:ascii="Courier New" w:cs="Courier New" w:eastAsia="Courier New" w:hAnsi="Courier New"/>
          <w:sz w:val="16"/>
          <w:szCs w:val="16"/>
          <w:color w:val="auto"/>
        </w:rPr>
      </w:pPr>
    </w:p>
    <w:p>
      <w:pPr>
        <w:ind w:right="2759" w:firstLine="1840"/>
        <w:spacing w:after="0" w:line="247" w:lineRule="auto"/>
        <w:tabs>
          <w:tab w:leader="none" w:pos="2326" w:val="left"/>
        </w:tabs>
        <w:numPr>
          <w:ilvl w:val="3"/>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granted to an Employee who, at the time the Incentive Stock Option is granted, owns stock representing more than ten percent (10%) of the voting power of all classes of stock of the Company or Parent or Subsidiary, the per Share exercise price shall be no less than 110% of the Fair Market Value per Share on the date of grant.</w:t>
      </w:r>
    </w:p>
    <w:p>
      <w:pPr>
        <w:spacing w:after="0" w:line="185" w:lineRule="exact"/>
        <w:rPr>
          <w:rFonts w:ascii="Courier New" w:cs="Courier New" w:eastAsia="Courier New" w:hAnsi="Courier New"/>
          <w:sz w:val="16"/>
          <w:szCs w:val="16"/>
          <w:color w:val="auto"/>
        </w:rPr>
      </w:pPr>
    </w:p>
    <w:p>
      <w:pPr>
        <w:ind w:right="2859" w:firstLine="1840"/>
        <w:spacing w:after="0" w:line="247" w:lineRule="auto"/>
        <w:tabs>
          <w:tab w:leader="none" w:pos="2326" w:val="left"/>
        </w:tabs>
        <w:numPr>
          <w:ilvl w:val="3"/>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granted to any Employee other than an Employee described in paragraph (A) immediately above, the per Share exercise price shall be no less than 100% of the Fair Market Value per Share on the date of grant.</w:t>
      </w:r>
    </w:p>
    <w:p>
      <w:pPr>
        <w:spacing w:after="0" w:line="185" w:lineRule="exact"/>
        <w:rPr>
          <w:rFonts w:ascii="Courier New" w:cs="Courier New" w:eastAsia="Courier New" w:hAnsi="Courier New"/>
          <w:sz w:val="16"/>
          <w:szCs w:val="16"/>
          <w:color w:val="auto"/>
        </w:rPr>
      </w:pPr>
    </w:p>
    <w:p>
      <w:pPr>
        <w:ind w:right="2859" w:firstLine="1259"/>
        <w:spacing w:after="0" w:line="248" w:lineRule="auto"/>
        <w:tabs>
          <w:tab w:leader="none" w:pos="1841"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Nonstatutory Stock Option, the per Share exercise price shall be determined by the Administrator.</w:t>
      </w:r>
    </w:p>
    <w:p>
      <w:pPr>
        <w:spacing w:after="0" w:line="184" w:lineRule="exact"/>
        <w:rPr>
          <w:rFonts w:ascii="Courier New" w:cs="Courier New" w:eastAsia="Courier New" w:hAnsi="Courier New"/>
          <w:sz w:val="16"/>
          <w:szCs w:val="16"/>
          <w:color w:val="auto"/>
        </w:rPr>
      </w:pPr>
    </w:p>
    <w:p>
      <w:pPr>
        <w:ind w:right="2659" w:firstLine="871"/>
        <w:spacing w:after="0" w:line="247" w:lineRule="auto"/>
        <w:tabs>
          <w:tab w:leader="none" w:pos="1357"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Waiting Period and Exercise Dates. At the time an Option is granted, the Administrator shall fix the period within which the Option may be exercised and shall determine any conditions which must be satisfied before the Option may be exercised. In doing so, the Administrator may specify that an Option may not be exercised until the completion of a service period.</w:t>
      </w:r>
    </w:p>
    <w:p>
      <w:pPr>
        <w:sectPr>
          <w:pgSz w:w="11900" w:h="16838" w:orient="portrait"/>
          <w:cols w:equalWidth="0" w:num="1">
            <w:col w:w="10219"/>
          </w:cols>
          <w:pgMar w:left="240" w:top="676" w:right="1440" w:bottom="1440" w:gutter="0" w:footer="0" w:header="0"/>
        </w:sectPr>
      </w:pPr>
    </w:p>
    <w:bookmarkStart w:id="31" w:name="page32"/>
    <w:bookmarkEnd w:id="31"/>
    <w:p>
      <w:pPr>
        <w:ind w:left="1" w:right="2659" w:firstLine="871"/>
        <w:spacing w:after="0" w:line="247" w:lineRule="auto"/>
        <w:tabs>
          <w:tab w:leader="none" w:pos="1357"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Consideration. The Administrator shall determine the acceptable form of consideration for exercising an Option, including the method of payment. In the case of an Incentive Stock Option, the Administrator shall determine the acceptable form of consideration at the time of grant. Such consideration may consist entirely of:</w:t>
      </w:r>
    </w:p>
    <w:p>
      <w:pPr>
        <w:spacing w:after="0" w:line="185" w:lineRule="exact"/>
        <w:rPr>
          <w:rFonts w:ascii="Courier New" w:cs="Courier New" w:eastAsia="Courier New" w:hAnsi="Courier New"/>
          <w:sz w:val="16"/>
          <w:szCs w:val="16"/>
          <w:color w:val="auto"/>
        </w:rPr>
      </w:pPr>
    </w:p>
    <w:p>
      <w:pPr>
        <w:ind w:left="1841" w:hanging="484"/>
        <w:spacing w:after="0"/>
        <w:tabs>
          <w:tab w:leader="none" w:pos="1841"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w:t>
      </w:r>
    </w:p>
    <w:p>
      <w:pPr>
        <w:spacing w:after="0" w:line="191" w:lineRule="exact"/>
        <w:rPr>
          <w:rFonts w:ascii="Courier New" w:cs="Courier New" w:eastAsia="Courier New" w:hAnsi="Courier New"/>
          <w:sz w:val="16"/>
          <w:szCs w:val="16"/>
          <w:color w:val="auto"/>
        </w:rPr>
      </w:pPr>
    </w:p>
    <w:p>
      <w:pPr>
        <w:ind w:left="1841" w:hanging="581"/>
        <w:spacing w:after="0"/>
        <w:tabs>
          <w:tab w:leader="none" w:pos="1841"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w:t>
      </w:r>
    </w:p>
    <w:p>
      <w:pPr>
        <w:spacing w:after="0" w:line="191" w:lineRule="exact"/>
        <w:rPr>
          <w:rFonts w:ascii="Courier New" w:cs="Courier New" w:eastAsia="Courier New" w:hAnsi="Courier New"/>
          <w:sz w:val="16"/>
          <w:szCs w:val="16"/>
          <w:color w:val="auto"/>
        </w:rPr>
      </w:pPr>
    </w:p>
    <w:p>
      <w:pPr>
        <w:ind w:left="1841" w:hanging="678"/>
        <w:spacing w:after="0"/>
        <w:tabs>
          <w:tab w:leader="none" w:pos="1841"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promissory note;</w:t>
      </w:r>
    </w:p>
    <w:p>
      <w:pPr>
        <w:spacing w:after="0" w:line="191" w:lineRule="exact"/>
        <w:rPr>
          <w:rFonts w:ascii="Courier New" w:cs="Courier New" w:eastAsia="Courier New" w:hAnsi="Courier New"/>
          <w:sz w:val="16"/>
          <w:szCs w:val="16"/>
          <w:color w:val="auto"/>
        </w:rPr>
      </w:pPr>
    </w:p>
    <w:p>
      <w:pPr>
        <w:ind w:left="1" w:right="2759" w:firstLine="1259"/>
        <w:spacing w:after="0" w:line="247" w:lineRule="auto"/>
        <w:tabs>
          <w:tab w:leader="none" w:pos="1842"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185" w:lineRule="exact"/>
        <w:rPr>
          <w:rFonts w:ascii="Courier New" w:cs="Courier New" w:eastAsia="Courier New" w:hAnsi="Courier New"/>
          <w:sz w:val="16"/>
          <w:szCs w:val="16"/>
          <w:color w:val="auto"/>
        </w:rPr>
      </w:pPr>
    </w:p>
    <w:p>
      <w:pPr>
        <w:ind w:left="1" w:right="2759" w:firstLine="1356"/>
        <w:spacing w:after="0" w:line="247" w:lineRule="auto"/>
        <w:tabs>
          <w:tab w:leader="none" w:pos="1842"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185" w:lineRule="exact"/>
        <w:rPr>
          <w:rFonts w:ascii="Courier New" w:cs="Courier New" w:eastAsia="Courier New" w:hAnsi="Courier New"/>
          <w:sz w:val="16"/>
          <w:szCs w:val="16"/>
          <w:color w:val="auto"/>
        </w:rPr>
      </w:pPr>
    </w:p>
    <w:p>
      <w:pPr>
        <w:ind w:left="1" w:right="2659" w:firstLine="1259"/>
        <w:spacing w:after="0" w:line="247" w:lineRule="auto"/>
        <w:tabs>
          <w:tab w:leader="none" w:pos="1842"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in the amount of any Company liability to the Optionee, including any liability attributable to the Optionee's participation in any Company-sponsored deferred compensation program or arrangement;</w:t>
      </w:r>
    </w:p>
    <w:p>
      <w:pPr>
        <w:spacing w:after="0" w:line="185" w:lineRule="exact"/>
        <w:rPr>
          <w:rFonts w:ascii="Courier New" w:cs="Courier New" w:eastAsia="Courier New" w:hAnsi="Courier New"/>
          <w:sz w:val="16"/>
          <w:szCs w:val="16"/>
          <w:color w:val="auto"/>
        </w:rPr>
      </w:pPr>
    </w:p>
    <w:p>
      <w:pPr>
        <w:ind w:left="1841" w:hanging="678"/>
        <w:spacing w:after="0"/>
        <w:tabs>
          <w:tab w:leader="none" w:pos="1841"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combination of the foregoing methods of payment; or</w:t>
      </w:r>
    </w:p>
    <w:p>
      <w:pPr>
        <w:spacing w:after="0" w:line="191" w:lineRule="exact"/>
        <w:rPr>
          <w:rFonts w:ascii="Courier New" w:cs="Courier New" w:eastAsia="Courier New" w:hAnsi="Courier New"/>
          <w:sz w:val="16"/>
          <w:szCs w:val="16"/>
          <w:color w:val="auto"/>
        </w:rPr>
      </w:pPr>
    </w:p>
    <w:p>
      <w:pPr>
        <w:ind w:left="1" w:right="3139" w:firstLine="1065"/>
        <w:spacing w:after="0" w:line="248" w:lineRule="auto"/>
        <w:tabs>
          <w:tab w:leader="none" w:pos="1842"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consideration and method of payment for the issuance of Shares to the extent permitted by Applicable Laws.</w:t>
      </w:r>
    </w:p>
    <w:p>
      <w:pPr>
        <w:spacing w:after="0" w:line="184" w:lineRule="exact"/>
        <w:rPr>
          <w:rFonts w:ascii="Courier New" w:cs="Courier New" w:eastAsia="Courier New" w:hAnsi="Courier New"/>
          <w:sz w:val="16"/>
          <w:szCs w:val="16"/>
          <w:color w:val="auto"/>
        </w:rPr>
      </w:pPr>
    </w:p>
    <w:p>
      <w:pPr>
        <w:ind w:left="881" w:hanging="396"/>
        <w:spacing w:after="0"/>
        <w:tabs>
          <w:tab w:leader="none" w:pos="88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w:t>
      </w:r>
    </w:p>
    <w:p>
      <w:pPr>
        <w:spacing w:after="0" w:line="191" w:lineRule="exact"/>
        <w:rPr>
          <w:rFonts w:ascii="Courier New" w:cs="Courier New" w:eastAsia="Courier New" w:hAnsi="Courier New"/>
          <w:sz w:val="16"/>
          <w:szCs w:val="16"/>
          <w:color w:val="auto"/>
        </w:rPr>
      </w:pPr>
    </w:p>
    <w:p>
      <w:pPr>
        <w:ind w:left="1" w:right="2659" w:firstLine="871"/>
        <w:spacing w:after="0" w:line="247" w:lineRule="auto"/>
        <w:tabs>
          <w:tab w:leader="none" w:pos="1357"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 for Exercise; Rights as a Shareholder. Any Option granted thereunder shall be exercisable according to the terms of the Plan and at such times and under such conditions as determined by the Administrator and set forth in the Option Agreement.</w:t>
      </w:r>
    </w:p>
    <w:p>
      <w:pPr>
        <w:spacing w:after="0" w:line="186" w:lineRule="exact"/>
        <w:rPr>
          <w:sz w:val="20"/>
          <w:szCs w:val="20"/>
          <w:color w:val="auto"/>
        </w:rPr>
      </w:pPr>
    </w:p>
    <w:p>
      <w:pPr>
        <w:ind w:left="1361"/>
        <w:spacing w:after="0"/>
        <w:rPr>
          <w:sz w:val="20"/>
          <w:szCs w:val="20"/>
          <w:color w:val="auto"/>
        </w:rPr>
      </w:pPr>
      <w:r>
        <w:rPr>
          <w:rFonts w:ascii="Courier New" w:cs="Courier New" w:eastAsia="Courier New" w:hAnsi="Courier New"/>
          <w:sz w:val="16"/>
          <w:szCs w:val="16"/>
          <w:color w:val="auto"/>
        </w:rPr>
        <w:t>An Option may not be exercised for a fraction of a Share.</w:t>
      </w:r>
    </w:p>
    <w:p>
      <w:pPr>
        <w:spacing w:after="0" w:line="191" w:lineRule="exact"/>
        <w:rPr>
          <w:sz w:val="20"/>
          <w:szCs w:val="20"/>
          <w:color w:val="auto"/>
        </w:rPr>
      </w:pPr>
    </w:p>
    <w:p>
      <w:pPr>
        <w:ind w:left="1361"/>
        <w:spacing w:after="0"/>
        <w:rPr>
          <w:sz w:val="20"/>
          <w:szCs w:val="20"/>
          <w:color w:val="auto"/>
        </w:rPr>
      </w:pPr>
      <w:r>
        <w:rPr>
          <w:rFonts w:ascii="Courier New" w:cs="Courier New" w:eastAsia="Courier New" w:hAnsi="Courier New"/>
          <w:sz w:val="16"/>
          <w:szCs w:val="16"/>
          <w:color w:val="auto"/>
        </w:rPr>
        <w:t>An Option shall be deemed exercised when the Company receives:</w:t>
      </w:r>
    </w:p>
    <w:p>
      <w:pPr>
        <w:spacing w:after="0" w:line="5" w:lineRule="exact"/>
        <w:rPr>
          <w:sz w:val="20"/>
          <w:szCs w:val="20"/>
          <w:color w:val="auto"/>
        </w:rPr>
      </w:pPr>
    </w:p>
    <w:p>
      <w:pPr>
        <w:ind w:left="1" w:right="2759" w:hanging="1"/>
        <w:spacing w:after="0" w:line="246" w:lineRule="auto"/>
        <w:tabs>
          <w:tab w:leader="none" w:pos="38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stock certificate</w:t>
      </w:r>
    </w:p>
    <w:p>
      <w:pPr>
        <w:sectPr>
          <w:pgSz w:w="11900" w:h="16838" w:orient="portrait"/>
          <w:cols w:equalWidth="0" w:num="1">
            <w:col w:w="10220"/>
          </w:cols>
          <w:pgMar w:left="239" w:top="489" w:right="1440" w:bottom="1440" w:gutter="0" w:footer="0" w:header="0"/>
        </w:sectPr>
      </w:pPr>
    </w:p>
    <w:bookmarkStart w:id="32" w:name="page33"/>
    <w:bookmarkEnd w:id="32"/>
    <w:p>
      <w:pPr>
        <w:ind w:right="2659"/>
        <w:spacing w:after="0" w:line="246" w:lineRule="auto"/>
        <w:rPr>
          <w:sz w:val="20"/>
          <w:szCs w:val="20"/>
          <w:color w:val="auto"/>
        </w:rPr>
      </w:pPr>
      <w:r>
        <w:rPr>
          <w:rFonts w:ascii="Courier New" w:cs="Courier New" w:eastAsia="Courier New" w:hAnsi="Courier New"/>
          <w:sz w:val="16"/>
          <w:szCs w:val="16"/>
          <w:color w:val="auto"/>
        </w:rPr>
        <w:t>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191" w:lineRule="exact"/>
        <w:rPr>
          <w:sz w:val="20"/>
          <w:szCs w:val="20"/>
          <w:color w:val="auto"/>
        </w:rPr>
      </w:pPr>
    </w:p>
    <w:p>
      <w:pPr>
        <w:jc w:val="both"/>
        <w:ind w:right="2759" w:firstLine="1357"/>
        <w:spacing w:after="0" w:line="247" w:lineRule="auto"/>
        <w:rPr>
          <w:sz w:val="20"/>
          <w:szCs w:val="20"/>
          <w:color w:val="auto"/>
        </w:rPr>
      </w:pPr>
      <w:r>
        <w:rPr>
          <w:rFonts w:ascii="Courier New" w:cs="Courier New" w:eastAsia="Courier New" w:hAnsi="Courier New"/>
          <w:sz w:val="16"/>
          <w:szCs w:val="16"/>
          <w:color w:val="auto"/>
        </w:rPr>
        <w:t>Exercising an Option in any manner shall decrease the number of Shares thereafter available, both for purposes of the Plan and for sale under the Option, by the number of Shares as to which the Option is exercised.</w:t>
      </w:r>
    </w:p>
    <w:p>
      <w:pPr>
        <w:spacing w:after="0" w:line="186" w:lineRule="exact"/>
        <w:rPr>
          <w:sz w:val="20"/>
          <w:szCs w:val="20"/>
          <w:color w:val="auto"/>
        </w:rPr>
      </w:pPr>
    </w:p>
    <w:p>
      <w:pPr>
        <w:ind w:right="2759" w:firstLine="871"/>
        <w:spacing w:after="0" w:line="246" w:lineRule="auto"/>
        <w:tabs>
          <w:tab w:leader="none" w:pos="12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or Consulting Relationship.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In the case of an Incentive Stock Option, such period of time shall not exceed thirty (30) days from the date of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95" w:lineRule="exact"/>
        <w:rPr>
          <w:rFonts w:ascii="Courier New" w:cs="Courier New" w:eastAsia="Courier New" w:hAnsi="Courier New"/>
          <w:sz w:val="16"/>
          <w:szCs w:val="16"/>
          <w:color w:val="auto"/>
        </w:rPr>
      </w:pPr>
    </w:p>
    <w:p>
      <w:pPr>
        <w:ind w:right="2659" w:firstLine="871"/>
        <w:spacing w:after="0" w:line="246" w:lineRule="auto"/>
        <w:tabs>
          <w:tab w:leader="none" w:pos="135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of Optionee. In the event that an Optionee's 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93" w:lineRule="exact"/>
        <w:rPr>
          <w:rFonts w:ascii="Courier New" w:cs="Courier New" w:eastAsia="Courier New" w:hAnsi="Courier New"/>
          <w:sz w:val="16"/>
          <w:szCs w:val="16"/>
          <w:color w:val="auto"/>
        </w:rPr>
      </w:pPr>
    </w:p>
    <w:p>
      <w:pPr>
        <w:ind w:right="2659" w:firstLine="871"/>
        <w:spacing w:after="0" w:line="246" w:lineRule="auto"/>
        <w:tabs>
          <w:tab w:leader="none" w:pos="135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of Optionee. In the event of the death of an Optionee, the Option may be exercised at any time within twelve (12) months following the date of death (but in no event later than the expiration of the term of such Option as set forth in the Notice of Grant), but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w:t>
      </w:r>
    </w:p>
    <w:p>
      <w:pPr>
        <w:sectPr>
          <w:pgSz w:w="11900" w:h="16838" w:orient="portrait"/>
          <w:cols w:equalWidth="0" w:num="1">
            <w:col w:w="10219"/>
          </w:cols>
          <w:pgMar w:left="240" w:top="676"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Option by bequest or inheritance does not exercise the Option</w:t>
      </w:r>
    </w:p>
    <w:p>
      <w:pPr>
        <w:spacing w:after="0" w:line="5"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6"/>
          <w:szCs w:val="16"/>
          <w:color w:val="auto"/>
        </w:rPr>
        <w:t>within the time specified herein, the Option shall terminate, and the Shares covered by such Option shall revert to the Plan.</w:t>
      </w:r>
    </w:p>
    <w:p>
      <w:pPr>
        <w:spacing w:after="0" w:line="184" w:lineRule="exact"/>
        <w:rPr>
          <w:sz w:val="20"/>
          <w:szCs w:val="20"/>
          <w:color w:val="auto"/>
        </w:rPr>
      </w:pPr>
    </w:p>
    <w:p>
      <w:pPr>
        <w:ind w:right="2659" w:firstLine="871"/>
        <w:spacing w:after="0" w:line="247" w:lineRule="auto"/>
        <w:tabs>
          <w:tab w:leader="none" w:pos="1357"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16b-3. Options granted to individuals subject to Section 16 of the Exchange Act ("Insiders") must comply with the applicable provisions of Rule 16b-3 and shall contain such additional conditions or restrictions as may be required thereunder to qualify for the maximum exemption from Section 16 of the Exchange Act with respect to Plan transactions.</w:t>
      </w:r>
    </w:p>
    <w:p>
      <w:pPr>
        <w:spacing w:after="0" w:line="185" w:lineRule="exact"/>
        <w:rPr>
          <w:rFonts w:ascii="Courier New" w:cs="Courier New" w:eastAsia="Courier New" w:hAnsi="Courier New"/>
          <w:sz w:val="16"/>
          <w:szCs w:val="16"/>
          <w:color w:val="auto"/>
        </w:rPr>
      </w:pPr>
    </w:p>
    <w:p>
      <w:pPr>
        <w:ind w:right="2659" w:firstLine="871"/>
        <w:spacing w:after="0" w:line="247" w:lineRule="auto"/>
        <w:tabs>
          <w:tab w:leader="none" w:pos="1357"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Suspension.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85" w:lineRule="exact"/>
        <w:rPr>
          <w:rFonts w:ascii="Courier New" w:cs="Courier New" w:eastAsia="Courier New" w:hAnsi="Courier New"/>
          <w:sz w:val="16"/>
          <w:szCs w:val="16"/>
          <w:color w:val="auto"/>
        </w:rPr>
      </w:pPr>
    </w:p>
    <w:p>
      <w:pPr>
        <w:ind w:right="2659" w:firstLine="484"/>
        <w:spacing w:after="0" w:line="247" w:lineRule="auto"/>
        <w:tabs>
          <w:tab w:leader="none" w:pos="87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of Options. An Option may not be sold, pledged, assigned, hypothecated, transferred, or disposed of in any manner other than by will or by laws of descent or distribution and may be exercised, during the lifetime of the Optionee, only by the Optionee.</w:t>
      </w:r>
    </w:p>
    <w:p>
      <w:pPr>
        <w:spacing w:after="0" w:line="185" w:lineRule="exact"/>
        <w:rPr>
          <w:rFonts w:ascii="Courier New" w:cs="Courier New" w:eastAsia="Courier New" w:hAnsi="Courier New"/>
          <w:sz w:val="16"/>
          <w:szCs w:val="16"/>
          <w:color w:val="auto"/>
        </w:rPr>
      </w:pPr>
    </w:p>
    <w:p>
      <w:pPr>
        <w:ind w:right="2859" w:firstLine="484"/>
        <w:spacing w:after="0" w:line="248" w:lineRule="auto"/>
        <w:tabs>
          <w:tab w:leader="none" w:pos="96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Upon Changes in Capitalization, Dissolution, Merger or Asset Sale.</w:t>
      </w:r>
    </w:p>
    <w:p>
      <w:pPr>
        <w:spacing w:after="0" w:line="184" w:lineRule="exact"/>
        <w:rPr>
          <w:rFonts w:ascii="Courier New" w:cs="Courier New" w:eastAsia="Courier New" w:hAnsi="Courier New"/>
          <w:sz w:val="16"/>
          <w:szCs w:val="16"/>
          <w:color w:val="auto"/>
        </w:rPr>
      </w:pPr>
    </w:p>
    <w:p>
      <w:pPr>
        <w:ind w:right="2559" w:firstLine="871"/>
        <w:spacing w:after="0" w:line="246" w:lineRule="auto"/>
        <w:tabs>
          <w:tab w:leader="none" w:pos="1357"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 Subject to any required action by the 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383" w:lineRule="exact"/>
        <w:rPr>
          <w:rFonts w:ascii="Courier New" w:cs="Courier New" w:eastAsia="Courier New" w:hAnsi="Courier New"/>
          <w:sz w:val="16"/>
          <w:szCs w:val="16"/>
          <w:color w:val="auto"/>
        </w:rPr>
      </w:pPr>
    </w:p>
    <w:p>
      <w:pPr>
        <w:ind w:right="2659" w:firstLine="871"/>
        <w:spacing w:after="0" w:line="246" w:lineRule="auto"/>
        <w:tabs>
          <w:tab w:leader="none" w:pos="1357"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Dissolution or Liquidation. In the event of the proposed 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ectPr>
          <w:pgSz w:w="11900" w:h="16838" w:orient="portrait"/>
          <w:cols w:equalWidth="0" w:num="1">
            <w:col w:w="10219"/>
          </w:cols>
          <w:pgMar w:left="240" w:top="676" w:right="1440" w:bottom="1440" w:gutter="0" w:footer="0" w:header="0"/>
        </w:sectPr>
      </w:pPr>
    </w:p>
    <w:bookmarkStart w:id="34" w:name="page35"/>
    <w:bookmarkEnd w:id="34"/>
    <w:p>
      <w:pPr>
        <w:ind w:left="-484" w:right="2659" w:firstLine="871"/>
        <w:spacing w:after="0" w:line="246" w:lineRule="auto"/>
        <w:tabs>
          <w:tab w:leader="none" w:pos="873"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or Asset Sale. In the event of a merger of the Company with or into another corporation, or the sale of substantially all of the assets of the Company, each outstanding Option may be assumed or an equivalent option or right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 Option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202" w:lineRule="exact"/>
        <w:rPr>
          <w:rFonts w:ascii="Courier New" w:cs="Courier New" w:eastAsia="Courier New" w:hAnsi="Courier New"/>
          <w:sz w:val="16"/>
          <w:szCs w:val="16"/>
          <w:color w:val="auto"/>
        </w:rPr>
      </w:pPr>
    </w:p>
    <w:p>
      <w:pPr>
        <w:ind w:left="-484" w:right="2659" w:firstLine="871"/>
        <w:spacing w:after="0" w:line="247" w:lineRule="auto"/>
        <w:tabs>
          <w:tab w:leader="none" w:pos="873"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In the event of a Change of Control the unexercised portion of the Option shall become immediately exercisable, to the extent such acceleration does not disqualify the Plan, or cause an Incentive Stock Option to be treated as a Nonstatutory Stock Option without the consent of the Optionee.</w:t>
      </w:r>
    </w:p>
    <w:p>
      <w:pPr>
        <w:spacing w:after="0" w:line="185" w:lineRule="exact"/>
        <w:rPr>
          <w:rFonts w:ascii="Courier New" w:cs="Courier New" w:eastAsia="Courier New" w:hAnsi="Courier New"/>
          <w:sz w:val="16"/>
          <w:szCs w:val="16"/>
          <w:color w:val="auto"/>
        </w:rPr>
      </w:pPr>
    </w:p>
    <w:p>
      <w:pPr>
        <w:ind w:left="-484" w:right="2659" w:firstLine="484"/>
        <w:spacing w:after="0" w:line="247" w:lineRule="auto"/>
        <w:tabs>
          <w:tab w:leader="none" w:pos="48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85" w:lineRule="exact"/>
        <w:rPr>
          <w:rFonts w:ascii="Courier New" w:cs="Courier New" w:eastAsia="Courier New" w:hAnsi="Courier New"/>
          <w:sz w:val="16"/>
          <w:szCs w:val="16"/>
          <w:color w:val="auto"/>
        </w:rPr>
      </w:pPr>
    </w:p>
    <w:p>
      <w:pPr>
        <w:ind w:left="476" w:hanging="476"/>
        <w:spacing w:after="0"/>
        <w:tabs>
          <w:tab w:leader="none" w:pos="476"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Termination of the Plan.</w:t>
      </w:r>
    </w:p>
    <w:p>
      <w:pPr>
        <w:spacing w:after="0" w:line="191" w:lineRule="exact"/>
        <w:rPr>
          <w:rFonts w:ascii="Courier New" w:cs="Courier New" w:eastAsia="Courier New" w:hAnsi="Courier New"/>
          <w:sz w:val="16"/>
          <w:szCs w:val="16"/>
          <w:color w:val="auto"/>
        </w:rPr>
      </w:pPr>
    </w:p>
    <w:p>
      <w:pPr>
        <w:ind w:left="-484" w:right="3039" w:firstLine="871"/>
        <w:spacing w:after="0" w:line="248" w:lineRule="auto"/>
        <w:tabs>
          <w:tab w:leader="none" w:pos="873"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Termination. The Board may at any time amend, alter, suspend, or terminate the Plan.</w:t>
      </w:r>
    </w:p>
    <w:p>
      <w:pPr>
        <w:spacing w:after="0" w:line="184" w:lineRule="exact"/>
        <w:rPr>
          <w:rFonts w:ascii="Courier New" w:cs="Courier New" w:eastAsia="Courier New" w:hAnsi="Courier New"/>
          <w:sz w:val="16"/>
          <w:szCs w:val="16"/>
          <w:color w:val="auto"/>
        </w:rPr>
      </w:pPr>
    </w:p>
    <w:p>
      <w:pPr>
        <w:ind w:left="-484" w:right="2759" w:firstLine="871"/>
        <w:spacing w:after="0" w:line="246" w:lineRule="auto"/>
        <w:tabs>
          <w:tab w:leader="none" w:pos="873"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Approval. The Company shall obtain shareholder approval of any Plan amendment to the extent necessary and desirable to comply with Rule 16b-3 or with Section 422 of the Code (or any successor rule or statute or other applicable law, rule, or regulation, including the requirements of any exchange or quotation system on which the Common Stock is listed or quoted). Such shareholder approval, if required, shall be obtained in such a manner and to such a degree as is required by the applicable law, rule, or regulation.</w:t>
      </w:r>
    </w:p>
    <w:p>
      <w:pPr>
        <w:sectPr>
          <w:pgSz w:w="11900" w:h="16838" w:orient="portrait"/>
          <w:cols w:equalWidth="0" w:num="1">
            <w:col w:w="9735"/>
          </w:cols>
          <w:pgMar w:left="724" w:top="490" w:right="1440" w:bottom="1440" w:gutter="0" w:footer="0" w:header="0"/>
        </w:sectPr>
      </w:pPr>
    </w:p>
    <w:bookmarkStart w:id="35" w:name="page36"/>
    <w:bookmarkEnd w:id="35"/>
    <w:p>
      <w:pPr>
        <w:ind w:left="-484" w:right="2559" w:firstLine="871"/>
        <w:spacing w:after="0" w:line="247" w:lineRule="auto"/>
        <w:tabs>
          <w:tab w:leader="none" w:pos="873"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Amendment or Termination.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85" w:lineRule="exact"/>
        <w:rPr>
          <w:rFonts w:ascii="Courier New" w:cs="Courier New" w:eastAsia="Courier New" w:hAnsi="Courier New"/>
          <w:sz w:val="16"/>
          <w:szCs w:val="16"/>
          <w:color w:val="auto"/>
        </w:rPr>
      </w:pPr>
    </w:p>
    <w:p>
      <w:pPr>
        <w:ind w:left="476" w:hanging="476"/>
        <w:spacing w:after="0"/>
        <w:tabs>
          <w:tab w:leader="none" w:pos="476"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Upon Issuance of Shares.</w:t>
      </w:r>
    </w:p>
    <w:p>
      <w:pPr>
        <w:spacing w:after="0" w:line="191" w:lineRule="exact"/>
        <w:rPr>
          <w:rFonts w:ascii="Courier New" w:cs="Courier New" w:eastAsia="Courier New" w:hAnsi="Courier New"/>
          <w:sz w:val="16"/>
          <w:szCs w:val="16"/>
          <w:color w:val="auto"/>
        </w:rPr>
      </w:pPr>
    </w:p>
    <w:p>
      <w:pPr>
        <w:ind w:left="-484" w:right="2559" w:firstLine="871"/>
        <w:spacing w:after="0" w:line="246" w:lineRule="auto"/>
        <w:tabs>
          <w:tab w:leader="none" w:pos="873"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Compliance. Shares shall not be issued pursuant to the exercise of an Option unless the exercise of such Option and the issuance and delivery of such 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190" w:lineRule="exact"/>
        <w:rPr>
          <w:rFonts w:ascii="Courier New" w:cs="Courier New" w:eastAsia="Courier New" w:hAnsi="Courier New"/>
          <w:sz w:val="16"/>
          <w:szCs w:val="16"/>
          <w:color w:val="auto"/>
        </w:rPr>
      </w:pPr>
    </w:p>
    <w:p>
      <w:pPr>
        <w:ind w:left="-484" w:right="2759" w:firstLine="871"/>
        <w:spacing w:after="0" w:line="247" w:lineRule="auto"/>
        <w:tabs>
          <w:tab w:leader="none" w:pos="873"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Representations.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5" w:lineRule="exact"/>
        <w:rPr>
          <w:rFonts w:ascii="Courier New" w:cs="Courier New" w:eastAsia="Courier New" w:hAnsi="Courier New"/>
          <w:sz w:val="16"/>
          <w:szCs w:val="16"/>
          <w:color w:val="auto"/>
        </w:rPr>
      </w:pPr>
    </w:p>
    <w:p>
      <w:pPr>
        <w:ind w:left="476" w:hanging="476"/>
        <w:spacing w:after="0"/>
        <w:tabs>
          <w:tab w:leader="none" w:pos="476"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Liability of Company.</w:t>
      </w:r>
    </w:p>
    <w:p>
      <w:pPr>
        <w:spacing w:after="0" w:line="191" w:lineRule="exact"/>
        <w:rPr>
          <w:rFonts w:ascii="Courier New" w:cs="Courier New" w:eastAsia="Courier New" w:hAnsi="Courier New"/>
          <w:sz w:val="16"/>
          <w:szCs w:val="16"/>
          <w:color w:val="auto"/>
        </w:rPr>
      </w:pPr>
    </w:p>
    <w:p>
      <w:pPr>
        <w:ind w:left="-484" w:right="2559" w:firstLine="871"/>
        <w:spacing w:after="0" w:line="247" w:lineRule="auto"/>
        <w:tabs>
          <w:tab w:leader="none" w:pos="873"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Inability to Obtain Authority.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5" w:lineRule="exact"/>
        <w:rPr>
          <w:rFonts w:ascii="Courier New" w:cs="Courier New" w:eastAsia="Courier New" w:hAnsi="Courier New"/>
          <w:sz w:val="16"/>
          <w:szCs w:val="16"/>
          <w:color w:val="auto"/>
        </w:rPr>
      </w:pPr>
    </w:p>
    <w:p>
      <w:pPr>
        <w:ind w:left="-484" w:right="2659" w:firstLine="871"/>
        <w:spacing w:after="0" w:line="247" w:lineRule="auto"/>
        <w:tabs>
          <w:tab w:leader="none" w:pos="873"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Grants Exceeding Allotted Shares. If the Optioned Stock covered by an Option exceeds, as of the date of grant, the number of Shares which may be issued 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185" w:lineRule="exact"/>
        <w:rPr>
          <w:rFonts w:ascii="Courier New" w:cs="Courier New" w:eastAsia="Courier New" w:hAnsi="Courier New"/>
          <w:sz w:val="16"/>
          <w:szCs w:val="16"/>
          <w:color w:val="auto"/>
        </w:rPr>
      </w:pPr>
    </w:p>
    <w:p>
      <w:pPr>
        <w:ind w:left="-484" w:right="2659" w:firstLine="484"/>
        <w:spacing w:after="0" w:line="247" w:lineRule="auto"/>
        <w:tabs>
          <w:tab w:leader="none" w:pos="48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Reservation of Shares. The Company, during the term of this Plan, will at all times reserve and keep available such number of Shares as shall be sufficient to satisfy the requirements of the Plan.</w:t>
      </w:r>
    </w:p>
    <w:p>
      <w:pPr>
        <w:spacing w:after="0" w:line="185" w:lineRule="exact"/>
        <w:rPr>
          <w:rFonts w:ascii="Courier New" w:cs="Courier New" w:eastAsia="Courier New" w:hAnsi="Courier New"/>
          <w:sz w:val="16"/>
          <w:szCs w:val="16"/>
          <w:color w:val="auto"/>
        </w:rPr>
      </w:pPr>
    </w:p>
    <w:p>
      <w:pPr>
        <w:jc w:val="both"/>
        <w:ind w:left="-484" w:right="2859" w:firstLine="484"/>
        <w:spacing w:after="0" w:line="247" w:lineRule="auto"/>
        <w:tabs>
          <w:tab w:leader="none" w:pos="48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Approval. Continuance of the Plan shall be subject to approval by the shareholders of the Company within twelve (12) months before or after the date the Plan is adopted. Such shareholder approval shall be obtained in the manner and to the degree required under applicable federal and Delaware law.</w:t>
      </w:r>
    </w:p>
    <w:p>
      <w:pPr>
        <w:sectPr>
          <w:pgSz w:w="11900" w:h="16838" w:orient="portrait"/>
          <w:cols w:equalWidth="0" w:num="1">
            <w:col w:w="9735"/>
          </w:cols>
          <w:pgMar w:left="724" w:top="489" w:right="1440" w:bottom="1440" w:gutter="0" w:footer="0" w:header="0"/>
        </w:sectPr>
      </w:pPr>
    </w:p>
    <w:bookmarkStart w:id="36" w:name="page37"/>
    <w:bookmarkEnd w:id="36"/>
    <w:p>
      <w:pPr>
        <w:ind w:left="3201"/>
        <w:spacing w:after="0"/>
        <w:rPr>
          <w:sz w:val="20"/>
          <w:szCs w:val="20"/>
          <w:color w:val="auto"/>
        </w:rPr>
      </w:pPr>
      <w:r>
        <w:rPr>
          <w:rFonts w:ascii="Courier New" w:cs="Courier New" w:eastAsia="Courier New" w:hAnsi="Courier New"/>
          <w:sz w:val="16"/>
          <w:szCs w:val="16"/>
          <w:color w:val="auto"/>
        </w:rPr>
        <w:t>"APPENDIX B"</w:t>
      </w:r>
    </w:p>
    <w:p>
      <w:pPr>
        <w:spacing w:after="0" w:line="5" w:lineRule="exact"/>
        <w:rPr>
          <w:sz w:val="20"/>
          <w:szCs w:val="20"/>
          <w:color w:val="auto"/>
        </w:rPr>
      </w:pPr>
    </w:p>
    <w:p>
      <w:pPr>
        <w:ind w:left="2901"/>
        <w:spacing w:after="0"/>
        <w:rPr>
          <w:sz w:val="20"/>
          <w:szCs w:val="20"/>
          <w:color w:val="auto"/>
        </w:rPr>
      </w:pPr>
      <w:r>
        <w:rPr>
          <w:rFonts w:ascii="Courier New" w:cs="Courier New" w:eastAsia="Courier New" w:hAnsi="Courier New"/>
          <w:sz w:val="16"/>
          <w:szCs w:val="16"/>
          <w:color w:val="auto"/>
        </w:rPr>
        <w:t>MICRON TECHNOLOGY, INC.</w:t>
      </w:r>
    </w:p>
    <w:p>
      <w:pPr>
        <w:spacing w:after="0" w:line="5" w:lineRule="exact"/>
        <w:rPr>
          <w:sz w:val="20"/>
          <w:szCs w:val="20"/>
          <w:color w:val="auto"/>
        </w:rPr>
      </w:pPr>
    </w:p>
    <w:p>
      <w:pPr>
        <w:ind w:left="3001"/>
        <w:spacing w:after="0"/>
        <w:rPr>
          <w:sz w:val="20"/>
          <w:szCs w:val="20"/>
          <w:color w:val="auto"/>
        </w:rPr>
      </w:pPr>
      <w:r>
        <w:rPr>
          <w:rFonts w:ascii="Courier New" w:cs="Courier New" w:eastAsia="Courier New" w:hAnsi="Courier New"/>
          <w:sz w:val="16"/>
          <w:szCs w:val="16"/>
          <w:color w:val="auto"/>
        </w:rPr>
        <w:t>EXECUTIVE BONUS PLAN</w:t>
      </w:r>
    </w:p>
    <w:p>
      <w:pPr>
        <w:spacing w:after="0" w:line="5" w:lineRule="exact"/>
        <w:rPr>
          <w:sz w:val="20"/>
          <w:szCs w:val="20"/>
          <w:color w:val="auto"/>
        </w:rPr>
      </w:pPr>
    </w:p>
    <w:p>
      <w:pPr>
        <w:ind w:left="2041"/>
        <w:spacing w:after="0"/>
        <w:rPr>
          <w:sz w:val="20"/>
          <w:szCs w:val="20"/>
          <w:color w:val="auto"/>
        </w:rPr>
      </w:pPr>
      <w:r>
        <w:rPr>
          <w:rFonts w:ascii="Courier New" w:cs="Courier New" w:eastAsia="Courier New" w:hAnsi="Courier New"/>
          <w:sz w:val="16"/>
          <w:szCs w:val="16"/>
          <w:color w:val="auto"/>
        </w:rPr>
        <w:t>(As adopted and effective November 28, 1994)</w:t>
      </w:r>
    </w:p>
    <w:p>
      <w:pPr>
        <w:spacing w:after="0" w:line="191" w:lineRule="exact"/>
        <w:rPr>
          <w:sz w:val="20"/>
          <w:szCs w:val="20"/>
          <w:color w:val="auto"/>
        </w:rPr>
      </w:pPr>
    </w:p>
    <w:p>
      <w:pPr>
        <w:ind w:left="381" w:hanging="381"/>
        <w:spacing w:after="0"/>
        <w:tabs>
          <w:tab w:leader="none" w:pos="38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w:t>
      </w:r>
    </w:p>
    <w:p>
      <w:pPr>
        <w:spacing w:after="0" w:line="191"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The Micron Technology, Inc. Executive Bonus Plan (the "Plan") is designed to attract, retain, and reward highly qualified executives who are important to the Company's success and to provide incentives relating directly to the financial performance and long-term growth of the Company.</w:t>
      </w:r>
    </w:p>
    <w:p>
      <w:pPr>
        <w:spacing w:after="0" w:line="186" w:lineRule="exact"/>
        <w:rPr>
          <w:sz w:val="20"/>
          <w:szCs w:val="20"/>
          <w:color w:val="auto"/>
        </w:rPr>
      </w:pPr>
    </w:p>
    <w:p>
      <w:pPr>
        <w:ind w:left="381" w:hanging="381"/>
        <w:spacing w:after="0"/>
        <w:tabs>
          <w:tab w:leader="none" w:pos="3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1" w:lineRule="exact"/>
        <w:rPr>
          <w:rFonts w:ascii="Courier New" w:cs="Courier New" w:eastAsia="Courier New" w:hAnsi="Courier New"/>
          <w:sz w:val="16"/>
          <w:szCs w:val="16"/>
          <w:color w:val="auto"/>
        </w:rPr>
      </w:pPr>
    </w:p>
    <w:p>
      <w:pPr>
        <w:ind w:left="1" w:right="3039" w:firstLine="484"/>
        <w:spacing w:after="0" w:line="248" w:lineRule="auto"/>
        <w:tabs>
          <w:tab w:leader="none" w:pos="873"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Bonus - The cash incentive awarded to an Executive Officer or Key Employee pursuant to terms and conditions of the Plan.</w:t>
      </w:r>
    </w:p>
    <w:p>
      <w:pPr>
        <w:spacing w:after="0" w:line="184"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 The Board of Directors of Micron Technology, Inc.</w:t>
      </w:r>
    </w:p>
    <w:p>
      <w:pPr>
        <w:spacing w:after="0" w:line="191" w:lineRule="exact"/>
        <w:rPr>
          <w:rFonts w:ascii="Courier New" w:cs="Courier New" w:eastAsia="Courier New" w:hAnsi="Courier New"/>
          <w:sz w:val="16"/>
          <w:szCs w:val="16"/>
          <w:color w:val="auto"/>
        </w:rPr>
      </w:pPr>
    </w:p>
    <w:p>
      <w:pPr>
        <w:ind w:left="1" w:right="2559" w:firstLine="484"/>
        <w:spacing w:after="0" w:line="247" w:lineRule="auto"/>
        <w:tabs>
          <w:tab w:leader="none" w:pos="873"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 The acquisition by any person or entity, directly, indirectly, or beneficially, acting alone or in concert, of more than thirty-five percent (35%) of the Common Stock of Micron Technology, Inc., at any time outstanding.</w:t>
      </w:r>
    </w:p>
    <w:p>
      <w:pPr>
        <w:spacing w:after="0" w:line="185"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 The Internal Revenue Code of 1986, as amended.</w:t>
      </w:r>
    </w:p>
    <w:p>
      <w:pPr>
        <w:spacing w:after="0" w:line="191" w:lineRule="exact"/>
        <w:rPr>
          <w:rFonts w:ascii="Courier New" w:cs="Courier New" w:eastAsia="Courier New" w:hAnsi="Courier New"/>
          <w:sz w:val="16"/>
          <w:szCs w:val="16"/>
          <w:color w:val="auto"/>
        </w:rPr>
      </w:pPr>
    </w:p>
    <w:p>
      <w:pPr>
        <w:ind w:left="1" w:right="2659" w:firstLine="484"/>
        <w:spacing w:after="0" w:line="247" w:lineRule="auto"/>
        <w:tabs>
          <w:tab w:leader="none" w:pos="873"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 The Compensation Committee of the Board, or such other committee of the Board that is designated by the Board to administer the Plan, in compliance with requirements of Section 162(m) of the Code.</w:t>
      </w:r>
    </w:p>
    <w:p>
      <w:pPr>
        <w:spacing w:after="0" w:line="185" w:lineRule="exact"/>
        <w:rPr>
          <w:rFonts w:ascii="Courier New" w:cs="Courier New" w:eastAsia="Courier New" w:hAnsi="Courier New"/>
          <w:sz w:val="16"/>
          <w:szCs w:val="16"/>
          <w:color w:val="auto"/>
        </w:rPr>
      </w:pPr>
    </w:p>
    <w:p>
      <w:pPr>
        <w:jc w:val="both"/>
        <w:ind w:left="1" w:right="2659" w:firstLine="484"/>
        <w:spacing w:after="0" w:line="247" w:lineRule="auto"/>
        <w:tabs>
          <w:tab w:leader="none" w:pos="873"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 Micron Technology, Inc., and any other corporation in which Micron Technology, Inc., controls, directly or indirectly, fifty percent (50%) or more of the combined voting power of all classes of voting securities.</w:t>
      </w:r>
    </w:p>
    <w:p>
      <w:pPr>
        <w:spacing w:after="0" w:line="185"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 An Executive Officer or Key Employee of the Company.</w:t>
      </w:r>
    </w:p>
    <w:p>
      <w:pPr>
        <w:spacing w:after="0" w:line="191" w:lineRule="exact"/>
        <w:rPr>
          <w:rFonts w:ascii="Courier New" w:cs="Courier New" w:eastAsia="Courier New" w:hAnsi="Courier New"/>
          <w:sz w:val="16"/>
          <w:szCs w:val="16"/>
          <w:color w:val="auto"/>
        </w:rPr>
      </w:pPr>
    </w:p>
    <w:p>
      <w:pPr>
        <w:ind w:left="1" w:right="3039" w:firstLine="484"/>
        <w:spacing w:after="0" w:line="247" w:lineRule="auto"/>
        <w:tabs>
          <w:tab w:leader="none" w:pos="873"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Officer - Any officer of the Company subject to the reporting requirements of Section 16 of the Securities and Exchange Act of 1934 ("Exchange Act").</w:t>
      </w:r>
    </w:p>
    <w:p>
      <w:pPr>
        <w:spacing w:after="0" w:line="185"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Key Employee - Any employee of the Company as may be designated by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Committee.</w:t>
      </w:r>
    </w:p>
    <w:p>
      <w:pPr>
        <w:spacing w:after="0" w:line="191" w:lineRule="exact"/>
        <w:rPr>
          <w:sz w:val="20"/>
          <w:szCs w:val="20"/>
          <w:color w:val="auto"/>
        </w:rPr>
      </w:pPr>
    </w:p>
    <w:p>
      <w:pPr>
        <w:ind w:left="961" w:hanging="476"/>
        <w:spacing w:after="0"/>
        <w:tabs>
          <w:tab w:leader="none" w:pos="961"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 The Micron Technology, Inc., Executive Bonus Plan.</w:t>
      </w:r>
    </w:p>
    <w:p>
      <w:pPr>
        <w:spacing w:after="0" w:line="191"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9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Only Executives are eligible for participation in the Plan.</w:t>
      </w:r>
    </w:p>
    <w:p>
      <w:pPr>
        <w:spacing w:after="0" w:line="191" w:lineRule="exact"/>
        <w:rPr>
          <w:sz w:val="20"/>
          <w:szCs w:val="20"/>
          <w:color w:val="auto"/>
        </w:rPr>
      </w:pPr>
    </w:p>
    <w:p>
      <w:pPr>
        <w:ind w:left="381" w:hanging="381"/>
        <w:spacing w:after="0"/>
        <w:tabs>
          <w:tab w:leader="none" w:pos="38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w:t>
      </w:r>
    </w:p>
    <w:p>
      <w:pPr>
        <w:spacing w:after="0" w:line="191" w:lineRule="exact"/>
        <w:rPr>
          <w:sz w:val="20"/>
          <w:szCs w:val="20"/>
          <w:color w:val="auto"/>
        </w:rPr>
      </w:pPr>
    </w:p>
    <w:p>
      <w:pPr>
        <w:ind w:left="1" w:right="2659" w:firstLine="484"/>
        <w:spacing w:after="0" w:line="246" w:lineRule="auto"/>
        <w:rPr>
          <w:sz w:val="20"/>
          <w:szCs w:val="20"/>
          <w:color w:val="auto"/>
        </w:rPr>
      </w:pPr>
      <w:r>
        <w:rPr>
          <w:rFonts w:ascii="Courier New" w:cs="Courier New" w:eastAsia="Courier New" w:hAnsi="Courier New"/>
          <w:sz w:val="16"/>
          <w:szCs w:val="16"/>
          <w:color w:val="auto"/>
        </w:rPr>
        <w:t>The Committee shall administer the Plan and shall have full power and authority to construe, interpret, and administer the Plan necessary to comply with the requirements of Section 162(m) of the Code. The Committee's decisions shall be final, conclusive, and binding upon all persons. The Committee shall certify in writing prior to commencement of payment of the bonus that the performance goal or goals under which the bonus is to be paid has or have been achieved. The Committee in its sole discretion has the authority to reduce the amount of a bonus otherwise payable to Executives upon attainment of the performance goal established for a fiscal year. At the beginning of each fiscal year consistent with the requirements of Section 162(m), the Committee shall: (i) establish for the fiscal year a profitability target based on the Company's consolidated after-tax net profits; (ii) determine the Executive Officers and Key Employees eligible to participate in the Plan for the fiscal year; and (iii) designate each</w:t>
      </w:r>
    </w:p>
    <w:p>
      <w:pPr>
        <w:sectPr>
          <w:pgSz w:w="11900" w:h="16838" w:orient="portrait"/>
          <w:cols w:equalWidth="0" w:num="1">
            <w:col w:w="10220"/>
          </w:cols>
          <w:pgMar w:left="239" w:top="489" w:right="1440" w:bottom="1440" w:gutter="0" w:footer="0" w:header="0"/>
        </w:sectPr>
      </w:pPr>
    </w:p>
    <w:bookmarkStart w:id="37" w:name="page38"/>
    <w:bookmarkEnd w:id="37"/>
    <w:p>
      <w:pPr>
        <w:ind w:left="1" w:right="3639"/>
        <w:spacing w:after="0" w:line="248" w:lineRule="auto"/>
        <w:rPr>
          <w:sz w:val="20"/>
          <w:szCs w:val="20"/>
          <w:color w:val="auto"/>
        </w:rPr>
      </w:pPr>
      <w:r>
        <w:rPr>
          <w:rFonts w:ascii="Courier New" w:cs="Courier New" w:eastAsia="Courier New" w:hAnsi="Courier New"/>
          <w:sz w:val="16"/>
          <w:szCs w:val="16"/>
          <w:color w:val="auto"/>
        </w:rPr>
        <w:t>Executive's target bonus for the fiscal year; and (iv) determine the frequency in which each bonus will be paid when attained.</w:t>
      </w:r>
    </w:p>
    <w:p>
      <w:pPr>
        <w:spacing w:after="0" w:line="184" w:lineRule="exact"/>
        <w:rPr>
          <w:sz w:val="20"/>
          <w:szCs w:val="20"/>
          <w:color w:val="auto"/>
        </w:rPr>
      </w:pPr>
    </w:p>
    <w:p>
      <w:pPr>
        <w:ind w:left="1" w:right="2859" w:firstLine="484"/>
        <w:spacing w:after="0" w:line="247" w:lineRule="auto"/>
        <w:rPr>
          <w:sz w:val="20"/>
          <w:szCs w:val="20"/>
          <w:color w:val="auto"/>
        </w:rPr>
      </w:pPr>
      <w:r>
        <w:rPr>
          <w:rFonts w:ascii="Courier New" w:cs="Courier New" w:eastAsia="Courier New" w:hAnsi="Courier New"/>
          <w:sz w:val="16"/>
          <w:szCs w:val="16"/>
          <w:color w:val="auto"/>
        </w:rPr>
        <w:t>The maximum bonus amount that can be paid to any executive with respect to any one fiscal year results cannot exceed the greater of $2,000,000 or two percent (2%) of the Company's consolidated after-tax net profits.</w:t>
      </w:r>
    </w:p>
    <w:p>
      <w:pPr>
        <w:spacing w:after="0" w:line="186"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In the event of a Change of Control, any bonuses earned but not yet paid under the Plan shall be immediately payable. If the Executive ceases to be employed by the Company or by any of its subsidiaries, any unpaid bonuses shall be paid in accordance with the Executive's termination agreement, and as otherwise determined by the Committee. Unpaid bonuses may also be canceled at the discretion of the Committee.</w:t>
      </w:r>
    </w:p>
    <w:p>
      <w:pPr>
        <w:spacing w:after="0" w:line="185"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The Committee may amend, modify, suspend, or terminate the Plan for the purpose of meeting or addressing any changes in legal requirements or for any other purpose permitted by law. The Committee will seek shareholder approval of any amendment determined to require shareholder approval or advisable under the regulations of the Internal Revenue Service or other applicable law or regulation.</w:t>
      </w:r>
    </w:p>
    <w:p>
      <w:pPr>
        <w:spacing w:after="0" w:line="185" w:lineRule="exact"/>
        <w:rPr>
          <w:sz w:val="20"/>
          <w:szCs w:val="20"/>
          <w:color w:val="auto"/>
        </w:rPr>
      </w:pPr>
    </w:p>
    <w:p>
      <w:pPr>
        <w:ind w:left="381" w:hanging="381"/>
        <w:spacing w:after="0"/>
        <w:tabs>
          <w:tab w:leader="none" w:pos="38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NONASSIGNABILITY</w:t>
      </w:r>
    </w:p>
    <w:p>
      <w:pPr>
        <w:spacing w:after="0" w:line="191" w:lineRule="exact"/>
        <w:rPr>
          <w:sz w:val="20"/>
          <w:szCs w:val="20"/>
          <w:color w:val="auto"/>
        </w:rPr>
      </w:pPr>
    </w:p>
    <w:p>
      <w:pPr>
        <w:ind w:left="1" w:right="3239" w:firstLine="484"/>
        <w:spacing w:after="0" w:line="248" w:lineRule="auto"/>
        <w:rPr>
          <w:sz w:val="20"/>
          <w:szCs w:val="20"/>
          <w:color w:val="auto"/>
        </w:rPr>
      </w:pPr>
      <w:r>
        <w:rPr>
          <w:rFonts w:ascii="Courier New" w:cs="Courier New" w:eastAsia="Courier New" w:hAnsi="Courier New"/>
          <w:sz w:val="16"/>
          <w:szCs w:val="16"/>
          <w:color w:val="auto"/>
        </w:rPr>
        <w:t>No Bonus or any other benefit under the Plan shall be assignable or transferable by the participant during the participant's lifetime.</w:t>
      </w:r>
    </w:p>
    <w:p>
      <w:pPr>
        <w:spacing w:after="0" w:line="184" w:lineRule="exact"/>
        <w:rPr>
          <w:sz w:val="20"/>
          <w:szCs w:val="20"/>
          <w:color w:val="auto"/>
        </w:rPr>
      </w:pPr>
    </w:p>
    <w:p>
      <w:pPr>
        <w:ind w:left="381" w:hanging="381"/>
        <w:spacing w:after="0"/>
        <w:tabs>
          <w:tab w:leader="none" w:pos="3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RIGHT TO CONTINUED EMPLOYMENT</w:t>
      </w:r>
    </w:p>
    <w:p>
      <w:pPr>
        <w:spacing w:after="0" w:line="191"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Nothing in the Plan shall confer upon any employee any right to continue in the employ of the Company or shall interfere with or restrict in any way the right of the Company to discharge an employee at any time for any reason whatsoever, with or without good cause.</w:t>
      </w:r>
    </w:p>
    <w:p>
      <w:pPr>
        <w:spacing w:after="0" w:line="186" w:lineRule="exact"/>
        <w:rPr>
          <w:sz w:val="20"/>
          <w:szCs w:val="20"/>
          <w:color w:val="auto"/>
        </w:rPr>
      </w:pPr>
    </w:p>
    <w:p>
      <w:pPr>
        <w:ind w:left="381" w:hanging="381"/>
        <w:spacing w:after="0"/>
        <w:tabs>
          <w:tab w:leader="none" w:pos="3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w:t>
      </w:r>
    </w:p>
    <w:p>
      <w:pPr>
        <w:spacing w:after="0" w:line="191" w:lineRule="exact"/>
        <w:rPr>
          <w:sz w:val="20"/>
          <w:szCs w:val="20"/>
          <w:color w:val="auto"/>
        </w:rPr>
      </w:pPr>
    </w:p>
    <w:p>
      <w:pPr>
        <w:ind w:left="1" w:right="2759" w:firstLine="484"/>
        <w:spacing w:after="0" w:line="248" w:lineRule="auto"/>
        <w:rPr>
          <w:sz w:val="20"/>
          <w:szCs w:val="20"/>
          <w:color w:val="auto"/>
        </w:rPr>
      </w:pPr>
      <w:r>
        <w:rPr>
          <w:rFonts w:ascii="Courier New" w:cs="Courier New" w:eastAsia="Courier New" w:hAnsi="Courier New"/>
          <w:sz w:val="16"/>
          <w:szCs w:val="16"/>
          <w:color w:val="auto"/>
        </w:rPr>
        <w:t>The Plan shall become effective on November 28, 1994. The Committee may terminate or suspend at any time.</w:t>
      </w:r>
    </w:p>
    <w:sectPr>
      <w:pgSz w:w="11900" w:h="16838" w:orient="portrait"/>
      <w:cols w:equalWidth="0" w:num="1">
        <w:col w:w="10220"/>
      </w:cols>
      <w:pgMar w:left="239" w:top="6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lvl w:ilvl="1">
      <w:lvlJc w:val="left"/>
      <w:lvlText w:val="%2)"/>
      <w:numFmt w:val="decimal"/>
      <w:start w:val="1"/>
    </w:lvl>
  </w:abstractNum>
  <w:abstractNum w:abstractNumId="4">
    <w:nsid w:val="8138641"/>
    <w:multiLevelType w:val="hybridMultilevel"/>
    <w:lvl w:ilvl="0">
      <w:lvlJc w:val="left"/>
      <w:lvlText w:val="/"/>
      <w:numFmt w:val="bullet"/>
      <w:start w:val="1"/>
    </w:lvl>
    <w:lvl w:ilvl="1">
      <w:lvlJc w:val="left"/>
      <w:lvlText w:val="%2)"/>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4"/>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1"/>
    </w:lvl>
    <w:lvl w:ilvl="1">
      <w:lvlJc w:val="left"/>
      <w:lvlText w:val="(%2)"/>
      <w:numFmt w:val="decimal"/>
      <w:start w:val="10"/>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lowerRoman"/>
      <w:start w:val="2"/>
    </w:lvl>
  </w:abstractNum>
  <w:abstractNum w:abstractNumId="14">
    <w:nsid w:val="5577F8E1"/>
    <w:multiLevelType w:val="hybridMultilevel"/>
    <w:lvl w:ilvl="0">
      <w:lvlJc w:val="left"/>
      <w:lvlText w:val="(%1)"/>
      <w:numFmt w:val="decimal"/>
      <w:start w:val="5"/>
    </w:lvl>
  </w:abstractNum>
  <w:abstractNum w:abstractNumId="15">
    <w:nsid w:val="440BADFC"/>
    <w:multiLevelType w:val="hybridMultilevel"/>
    <w:lvl w:ilvl="0">
      <w:lvlJc w:val="left"/>
      <w:lvlText w:val="(%1)"/>
      <w:numFmt w:val="lowerRoman"/>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2"/>
    </w:lvl>
  </w:abstractNum>
  <w:abstractNum w:abstractNumId="18">
    <w:nsid w:val="77465F01"/>
    <w:multiLevelType w:val="hybridMultilevel"/>
    <w:lvl w:ilvl="0">
      <w:lvlJc w:val="left"/>
      <w:lvlText w:val="%1."/>
      <w:numFmt w:val="decimal"/>
      <w:start w:val="3"/>
    </w:lvl>
  </w:abstractNum>
  <w:abstractNum w:abstractNumId="19">
    <w:nsid w:val="7724C67E"/>
    <w:multiLevelType w:val="hybridMultilevel"/>
    <w:lvl w:ilvl="0">
      <w:lvlJc w:val="left"/>
      <w:lvlText w:val="%1."/>
      <w:numFmt w:val="decimal"/>
      <w:start w:val="4"/>
    </w:lvl>
  </w:abstractNum>
  <w:abstractNum w:abstractNumId="20">
    <w:nsid w:val="5C482A97"/>
    <w:multiLevelType w:val="hybridMultilevel"/>
    <w:lvl w:ilvl="0">
      <w:lvlJc w:val="left"/>
      <w:lvlText w:val="%1."/>
      <w:numFmt w:val="decimal"/>
      <w:start w:val="5"/>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2"/>
    </w:lvl>
    <w:lvl w:ilvl="1">
      <w:lvlJc w:val="left"/>
      <w:lvlText w:val="(%2)"/>
      <w:numFmt w:val="lowerLetter"/>
      <w:start w:val="1"/>
    </w:lvl>
  </w:abstractNum>
  <w:abstractNum w:abstractNumId="23">
    <w:nsid w:val="51EAD36B"/>
    <w:multiLevelType w:val="hybridMultilevel"/>
    <w:lvl w:ilvl="0">
      <w:lvlJc w:val="left"/>
      <w:lvlText w:val="(%1)"/>
      <w:numFmt w:val="lowerLetter"/>
      <w:start w:val="10"/>
    </w:lvl>
    <w:lvl w:ilvl="1">
      <w:lvlJc w:val="left"/>
      <w:lvlText w:val="(%2)"/>
      <w:numFmt w:val="lowerRoman"/>
      <w:start w:val="1"/>
    </w:lvl>
  </w:abstractNum>
  <w:abstractNum w:abstractNumId="24">
    <w:nsid w:val="2D517796"/>
    <w:multiLevelType w:val="hybridMultilevel"/>
    <w:lvl w:ilvl="0">
      <w:lvlJc w:val="left"/>
      <w:lvlText w:val="(%1)"/>
      <w:numFmt w:val="lowerLetter"/>
      <w:start w:val="16"/>
    </w:lvl>
  </w:abstractNum>
  <w:abstractNum w:abstractNumId="25">
    <w:nsid w:val="580BD78F"/>
    <w:multiLevelType w:val="hybridMultilevel"/>
    <w:lvl w:ilvl="0">
      <w:lvlJc w:val="left"/>
      <w:lvlText w:val="(%1)"/>
      <w:numFmt w:val="lowerLetter"/>
      <w:start w:val="27"/>
    </w:lvl>
  </w:abstractNum>
  <w:abstractNum w:abstractNumId="26">
    <w:nsid w:val="153EA438"/>
    <w:multiLevelType w:val="hybridMultilevel"/>
    <w:lvl w:ilvl="0">
      <w:lvlJc w:val="left"/>
      <w:lvlText w:val="%1."/>
      <w:numFmt w:val="decimal"/>
      <w:start w:val="3"/>
    </w:lvl>
  </w:abstractNum>
  <w:abstractNum w:abstractNumId="27">
    <w:nsid w:val="3855585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28">
    <w:nsid w:val="70A64E2A"/>
    <w:multiLevelType w:val="hybridMultilevel"/>
    <w:lvl w:ilvl="0">
      <w:lvlJc w:val="left"/>
      <w:lvlText w:val="(%1)"/>
      <w:numFmt w:val="lowerLetter"/>
      <w:start w:val="2"/>
    </w:lvl>
    <w:lvl w:ilvl="1">
      <w:lvlJc w:val="left"/>
      <w:lvlText w:val="(%2)"/>
      <w:numFmt w:val="lowerRoman"/>
      <w:start w:val="2"/>
    </w:lvl>
    <w:lvl w:ilvl="2">
      <w:lvlJc w:val="left"/>
      <w:lvlText w:val="(%3)"/>
      <w:numFmt w:val="lowerRoman"/>
      <w:start w:val="1"/>
    </w:lvl>
  </w:abstractNum>
  <w:abstractNum w:abstractNumId="29">
    <w:nsid w:val="6A2342E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30">
    <w:nsid w:val="2A487CB0"/>
    <w:multiLevelType w:val="hybridMultilevel"/>
    <w:lvl w:ilvl="0">
      <w:lvlJc w:val="left"/>
      <w:lvlText w:val="%1"/>
      <w:numFmt w:val="lowerRoman"/>
      <w:start w:val="1"/>
    </w:lvl>
    <w:lvl w:ilvl="1">
      <w:lvlJc w:val="left"/>
      <w:lvlText w:val="(%2)"/>
      <w:numFmt w:val="lowerRoman"/>
      <w:start w:val="7"/>
    </w:lvl>
  </w:abstractNum>
  <w:abstractNum w:abstractNumId="31">
    <w:nsid w:val="1D4ED43B"/>
    <w:multiLevelType w:val="hybridMultilevel"/>
    <w:lvl w:ilvl="0">
      <w:lvlJc w:val="left"/>
      <w:lvlText w:val="(%1)"/>
      <w:numFmt w:val="lowerRoman"/>
      <w:start w:val="10"/>
    </w:lvl>
    <w:lvl w:ilvl="1">
      <w:lvlJc w:val="left"/>
      <w:lvlText w:val="%2"/>
      <w:numFmt w:val="lowerRoman"/>
      <w:start w:val="1"/>
    </w:lvl>
  </w:abstractNum>
  <w:abstractNum w:abstractNumId="32">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2"/>
    </w:lvl>
  </w:abstractNum>
  <w:abstractNum w:abstractNumId="33">
    <w:nsid w:val="2CD89A3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abstractNum>
  <w:abstractNum w:abstractNumId="34">
    <w:nsid w:val="57E4CCA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5">
    <w:nsid w:val="7A6D8D3C"/>
    <w:multiLevelType w:val="hybridMultilevel"/>
    <w:lvl w:ilvl="0">
      <w:lvlJc w:val="left"/>
      <w:lvlText w:val="(%1)"/>
      <w:numFmt w:val="lowerLetter"/>
      <w:start w:val="2"/>
    </w:lvl>
    <w:lvl w:ilvl="1">
      <w:lvlJc w:val="left"/>
      <w:lvlText w:val="(%2)"/>
      <w:numFmt w:val="lowerRoman"/>
      <w:start w:val="1"/>
    </w:lvl>
  </w:abstractNum>
  <w:abstractNum w:abstractNumId="36">
    <w:nsid w:val="4B588F5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7">
    <w:nsid w:val="542289E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8">
    <w:nsid w:val="6DE91B1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9">
    <w:nsid w:val="38437FDB"/>
    <w:multiLevelType w:val="hybridMultilevel"/>
    <w:lvl w:ilvl="0">
      <w:lvlJc w:val="left"/>
      <w:lvlText w:val="(%1)"/>
      <w:numFmt w:val="lowerRoman"/>
      <w:start w:val="1"/>
    </w:lvl>
  </w:abstractNum>
  <w:abstractNum w:abstractNumId="40">
    <w:nsid w:val="7644A45C"/>
    <w:multiLevelType w:val="hybridMultilevel"/>
    <w:lvl w:ilvl="0">
      <w:lvlJc w:val="left"/>
      <w:lvlText w:val="(%1)"/>
      <w:numFmt w:val="lowerLetter"/>
      <w:start w:val="2"/>
    </w:lvl>
  </w:abstractNum>
  <w:abstractNum w:abstractNumId="41">
    <w:nsid w:val="32FFF902"/>
    <w:multiLevelType w:val="hybridMultilevel"/>
    <w:lvl w:ilvl="0">
      <w:lvlJc w:val="left"/>
      <w:lvlText w:val="%1"/>
      <w:numFmt w:val="decimal"/>
      <w:start w:val="1"/>
    </w:lvl>
    <w:lvl w:ilvl="1">
      <w:lvlJc w:val="left"/>
      <w:lvlText w:val="(%2)"/>
      <w:numFmt w:val="lowerLetter"/>
      <w:start w:val="5"/>
    </w:lvl>
  </w:abstractNum>
  <w:abstractNum w:abstractNumId="42">
    <w:nsid w:val="684A481A"/>
    <w:multiLevelType w:val="hybridMultilevel"/>
    <w:lvl w:ilvl="0">
      <w:lvlJc w:val="left"/>
      <w:lvlText w:val="%1."/>
      <w:numFmt w:val="decimal"/>
      <w:start w:val="11"/>
    </w:lvl>
    <w:lvl w:ilvl="1">
      <w:lvlJc w:val="left"/>
      <w:lvlText w:val="(%2)"/>
      <w:numFmt w:val="lowerLetter"/>
      <w:start w:val="1"/>
    </w:lvl>
  </w:abstractNum>
  <w:abstractNum w:abstractNumId="43">
    <w:nsid w:val="579478FE"/>
    <w:multiLevelType w:val="hybridMultilevel"/>
    <w:lvl w:ilvl="0">
      <w:lvlJc w:val="left"/>
      <w:lvlText w:val="%1"/>
      <w:numFmt w:val="decimal"/>
      <w:start w:val="1"/>
    </w:lvl>
    <w:lvl w:ilvl="1">
      <w:lvlJc w:val="left"/>
      <w:lvlText w:val="(%2)"/>
      <w:numFmt w:val="lowerLetter"/>
      <w:start w:val="3"/>
    </w:lvl>
  </w:abstractNum>
  <w:abstractNum w:abstractNumId="44">
    <w:nsid w:val="749ABB43"/>
    <w:multiLevelType w:val="hybridMultilevel"/>
    <w:lvl w:ilvl="0">
      <w:lvlJc w:val="left"/>
      <w:lvlText w:val="%1."/>
      <w:numFmt w:val="decimal"/>
      <w:start w:val="13"/>
    </w:lvl>
    <w:lvl w:ilvl="1">
      <w:lvlJc w:val="left"/>
      <w:lvlText w:val="(%2)"/>
      <w:numFmt w:val="lowerLetter"/>
      <w:start w:val="1"/>
    </w:lvl>
  </w:abstractNum>
  <w:abstractNum w:abstractNumId="45">
    <w:nsid w:val="3DC240FB"/>
    <w:multiLevelType w:val="hybridMultilevel"/>
    <w:lvl w:ilvl="0">
      <w:lvlJc w:val="left"/>
      <w:lvlText w:val="%1"/>
      <w:numFmt w:val="decimal"/>
      <w:start w:val="1"/>
    </w:lvl>
    <w:lvl w:ilvl="1">
      <w:lvlJc w:val="left"/>
      <w:lvlText w:val="(%2)"/>
      <w:numFmt w:val="lowerLetter"/>
      <w:start w:val="3"/>
    </w:lvl>
  </w:abstractNum>
  <w:abstractNum w:abstractNumId="46">
    <w:nsid w:val="1BA026FA"/>
    <w:multiLevelType w:val="hybridMultilevel"/>
    <w:lvl w:ilvl="0">
      <w:lvlJc w:val="left"/>
      <w:lvlText w:val="%1."/>
      <w:numFmt w:val="decimal"/>
      <w:start w:val="15"/>
    </w:lvl>
    <w:lvl w:ilvl="1">
      <w:lvlJc w:val="left"/>
      <w:lvlText w:val="(%2)"/>
      <w:numFmt w:val="lowerLetter"/>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decimal"/>
      <w:start w:val="2"/>
    </w:lvl>
    <w:lvl w:ilvl="1">
      <w:lvlJc w:val="left"/>
      <w:lvlText w:val="(%2)"/>
      <w:numFmt w:val="lowerLetter"/>
      <w:start w:val="1"/>
    </w:lvl>
  </w:abstractNum>
  <w:abstractNum w:abstractNumId="49">
    <w:nsid w:val="12E685FB"/>
    <w:multiLevelType w:val="hybridMultilevel"/>
    <w:lvl w:ilvl="0">
      <w:lvlJc w:val="left"/>
      <w:lvlText w:val="%1"/>
      <w:numFmt w:val="decimal"/>
      <w:start w:val="1"/>
    </w:lvl>
    <w:lvl w:ilvl="1">
      <w:lvlJc w:val="left"/>
      <w:lvlText w:val="(%2)"/>
      <w:numFmt w:val="lowerLetter"/>
      <w:start w:val="10"/>
    </w:lvl>
  </w:abstractNum>
  <w:abstractNum w:abstractNumId="50">
    <w:nsid w:val="70C6A529"/>
    <w:multiLevelType w:val="hybridMultilevel"/>
    <w:lvl w:ilvl="0">
      <w:lvlJc w:val="left"/>
      <w:lvlText w:val="%1."/>
      <w:numFmt w:val="decimal"/>
      <w:start w:val="3"/>
    </w:lvl>
    <w:lvl w:ilvl="1">
      <w:lvlJc w:val="left"/>
      <w:lvlText w:val="%2"/>
      <w:numFmt w:val="lowerLetter"/>
      <w:start w:val="1"/>
    </w:lvl>
  </w:abstractNum>
  <w:abstractNum w:abstractNumId="51">
    <w:nsid w:val="520EEDD1"/>
    <w:multiLevelType w:val="hybridMultilevel"/>
    <w:lvl w:ilvl="0">
      <w:lvlJc w:val="left"/>
      <w:lvlText w:val="%1."/>
      <w:numFmt w:val="decimal"/>
      <w:start w:val="4"/>
    </w:lvl>
  </w:abstractNum>
  <w:abstractNum w:abstractNumId="52">
    <w:nsid w:val="374A3FE6"/>
    <w:multiLevelType w:val="hybridMultilevel"/>
    <w:lvl w:ilvl="0">
      <w:lvlJc w:val="left"/>
      <w:lvlText w:val="%1."/>
      <w:numFmt w:val="decimal"/>
      <w:start w:val="5"/>
    </w:lvl>
  </w:abstractNum>
  <w:abstractNum w:abstractNumId="53">
    <w:nsid w:val="4F4EF005"/>
    <w:multiLevelType w:val="hybridMultilevel"/>
    <w:lvl w:ilvl="0">
      <w:lvlJc w:val="left"/>
      <w:lvlText w:val="%1."/>
      <w:numFmt w:val="decimal"/>
      <w:start w:val="6"/>
    </w:lvl>
  </w:abstractNum>
  <w:abstractNum w:abstractNumId="54">
    <w:nsid w:val="23F9C13C"/>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2019-12-13T13:21:00Z</dcterms:created>
  <dcterms:modified xsi:type="dcterms:W3CDTF">2019-12-13T13:21:00Z</dcterms:modified>
</cp:coreProperties>
</file>