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500" w:right="200" w:hanging="1492"/>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August 28, 2003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o</w:t>
            </w:r>
          </w:p>
        </w:tc>
        <w:tc>
          <w:tcPr>
            <w:tcW w:w="10660" w:type="dxa"/>
            <w:vAlign w:val="bottom"/>
            <w:gridSpan w:val="6"/>
          </w:tcPr>
          <w:p>
            <w:pPr>
              <w:ind w:left="1020"/>
              <w:spacing w:after="0"/>
              <w:rPr>
                <w:sz w:val="20"/>
                <w:szCs w:val="20"/>
                <w:color w:val="auto"/>
              </w:rPr>
            </w:pPr>
            <w:r>
              <w:rPr>
                <w:rFonts w:ascii="Arial" w:cs="Arial" w:eastAsia="Arial" w:hAnsi="Arial"/>
                <w:sz w:val="22"/>
                <w:szCs w:val="22"/>
                <w:b w:val="1"/>
                <w:bCs w:val="1"/>
                <w:color w:val="auto"/>
                <w:w w:val="97"/>
              </w:rPr>
              <w:t>TRANSITION REPORT PURSUANT TO SECTION 13 OR 15(d) OF THE SECURITIES EXCHANGE</w:t>
            </w:r>
          </w:p>
        </w:tc>
      </w:tr>
      <w:tr>
        <w:trPr>
          <w:trHeight w:val="281"/>
        </w:trPr>
        <w:tc>
          <w:tcPr>
            <w:tcW w:w="480" w:type="dxa"/>
            <w:vAlign w:val="bottom"/>
          </w:tcPr>
          <w:p>
            <w:pPr>
              <w:spacing w:after="0"/>
              <w:rPr>
                <w:sz w:val="24"/>
                <w:szCs w:val="24"/>
                <w:color w:val="auto"/>
              </w:rPr>
            </w:pPr>
          </w:p>
        </w:tc>
        <w:tc>
          <w:tcPr>
            <w:tcW w:w="5860" w:type="dxa"/>
            <w:vAlign w:val="bottom"/>
            <w:gridSpan w:val="2"/>
          </w:tcPr>
          <w:p>
            <w:pPr>
              <w:ind w:left="1020"/>
              <w:spacing w:after="0"/>
              <w:rPr>
                <w:sz w:val="20"/>
                <w:szCs w:val="20"/>
                <w:color w:val="auto"/>
              </w:rPr>
            </w:pPr>
            <w:r>
              <w:rPr>
                <w:rFonts w:ascii="Arial" w:cs="Arial" w:eastAsia="Arial" w:hAnsi="Arial"/>
                <w:sz w:val="22"/>
                <w:szCs w:val="22"/>
                <w:b w:val="1"/>
                <w:bCs w:val="1"/>
                <w:color w:val="auto"/>
              </w:rPr>
              <w:t>ACT OF 1934</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09"/>
        </w:trPr>
        <w:tc>
          <w:tcPr>
            <w:tcW w:w="480" w:type="dxa"/>
            <w:vAlign w:val="bottom"/>
          </w:tcPr>
          <w:p>
            <w:pPr>
              <w:spacing w:after="0"/>
              <w:rPr>
                <w:sz w:val="24"/>
                <w:szCs w:val="24"/>
                <w:color w:val="auto"/>
              </w:rPr>
            </w:pPr>
          </w:p>
        </w:tc>
        <w:tc>
          <w:tcPr>
            <w:tcW w:w="4980" w:type="dxa"/>
            <w:vAlign w:val="bottom"/>
          </w:tcPr>
          <w:p>
            <w:pPr>
              <w:ind w:left="2700"/>
              <w:spacing w:after="0"/>
              <w:rPr>
                <w:sz w:val="20"/>
                <w:szCs w:val="20"/>
                <w:color w:val="auto"/>
              </w:rPr>
            </w:pPr>
            <w:r>
              <w:rPr>
                <w:rFonts w:ascii="Arial" w:cs="Arial" w:eastAsia="Arial" w:hAnsi="Arial"/>
                <w:sz w:val="18"/>
                <w:szCs w:val="18"/>
                <w:b w:val="1"/>
                <w:bCs w:val="1"/>
                <w:color w:val="auto"/>
                <w:w w:val="89"/>
              </w:rPr>
              <w:t>For the transition period from</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1280" w:type="dxa"/>
            <w:vAlign w:val="bottom"/>
            <w:tcBorders>
              <w:bottom w:val="single" w:sz="8" w:color="auto"/>
            </w:tcBorders>
          </w:tcPr>
          <w:p>
            <w:pPr>
              <w:spacing w:after="0"/>
              <w:rPr>
                <w:sz w:val="24"/>
                <w:szCs w:val="24"/>
                <w:color w:val="auto"/>
              </w:rPr>
            </w:pPr>
          </w:p>
        </w:tc>
        <w:tc>
          <w:tcPr>
            <w:tcW w:w="2900" w:type="dxa"/>
            <w:vAlign w:val="bottom"/>
          </w:tcPr>
          <w:p>
            <w:pPr>
              <w:spacing w:after="0"/>
              <w:rPr>
                <w:sz w:val="24"/>
                <w:szCs w:val="24"/>
                <w:color w:val="auto"/>
              </w:rPr>
            </w:pPr>
          </w:p>
        </w:tc>
      </w:tr>
      <w:tr>
        <w:trPr>
          <w:trHeight w:val="451"/>
        </w:trPr>
        <w:tc>
          <w:tcPr>
            <w:tcW w:w="480" w:type="dxa"/>
            <w:vAlign w:val="bottom"/>
          </w:tcPr>
          <w:p>
            <w:pPr>
              <w:spacing w:after="0"/>
              <w:rPr>
                <w:sz w:val="24"/>
                <w:szCs w:val="24"/>
                <w:color w:val="auto"/>
              </w:rPr>
            </w:pPr>
          </w:p>
        </w:tc>
        <w:tc>
          <w:tcPr>
            <w:tcW w:w="5860" w:type="dxa"/>
            <w:vAlign w:val="bottom"/>
            <w:gridSpan w:val="2"/>
          </w:tcPr>
          <w:p>
            <w:pPr>
              <w:ind w:left="3920"/>
              <w:spacing w:after="0"/>
              <w:rPr>
                <w:sz w:val="20"/>
                <w:szCs w:val="20"/>
                <w:color w:val="auto"/>
              </w:rPr>
            </w:pPr>
            <w:r>
              <w:rPr>
                <w:rFonts w:ascii="Arial" w:cs="Arial" w:eastAsia="Arial" w:hAnsi="Arial"/>
                <w:sz w:val="18"/>
                <w:szCs w:val="18"/>
                <w:b w:val="1"/>
                <w:bCs w:val="1"/>
                <w:color w:val="auto"/>
                <w:w w:val="91"/>
              </w:rPr>
              <w:t>Commission file number</w:t>
            </w:r>
          </w:p>
        </w:tc>
        <w:tc>
          <w:tcPr>
            <w:tcW w:w="1900" w:type="dxa"/>
            <w:vAlign w:val="bottom"/>
            <w:gridSpan w:val="3"/>
          </w:tcPr>
          <w:p>
            <w:pPr>
              <w:jc w:val="right"/>
              <w:ind w:right="1112"/>
              <w:spacing w:after="0"/>
              <w:rPr>
                <w:sz w:val="20"/>
                <w:szCs w:val="20"/>
                <w:color w:val="auto"/>
              </w:rPr>
            </w:pPr>
            <w:r>
              <w:rPr>
                <w:rFonts w:ascii="Arial" w:cs="Arial" w:eastAsia="Arial" w:hAnsi="Arial"/>
                <w:sz w:val="18"/>
                <w:szCs w:val="18"/>
                <w:b w:val="1"/>
                <w:bCs w:val="1"/>
                <w:color w:val="auto"/>
              </w:rPr>
              <w:t>1-10658</w:t>
            </w:r>
          </w:p>
        </w:tc>
        <w:tc>
          <w:tcPr>
            <w:tcW w:w="2900" w:type="dxa"/>
            <w:vAlign w:val="bottom"/>
          </w:tcPr>
          <w:p>
            <w:pPr>
              <w:spacing w:after="0"/>
              <w:rPr>
                <w:sz w:val="24"/>
                <w:szCs w:val="24"/>
                <w:color w:val="auto"/>
              </w:rPr>
            </w:pPr>
          </w:p>
        </w:tc>
      </w:tr>
      <w:tr>
        <w:trPr>
          <w:trHeight w:val="574"/>
        </w:trPr>
        <w:tc>
          <w:tcPr>
            <w:tcW w:w="480" w:type="dxa"/>
            <w:vAlign w:val="bottom"/>
          </w:tcPr>
          <w:p>
            <w:pPr>
              <w:spacing w:after="0"/>
              <w:rPr>
                <w:sz w:val="24"/>
                <w:szCs w:val="24"/>
                <w:color w:val="auto"/>
              </w:rPr>
            </w:pPr>
          </w:p>
        </w:tc>
        <w:tc>
          <w:tcPr>
            <w:tcW w:w="10660" w:type="dxa"/>
            <w:vAlign w:val="bottom"/>
            <w:gridSpan w:val="6"/>
          </w:tcPr>
          <w:p>
            <w:pPr>
              <w:jc w:val="center"/>
              <w:ind w:right="112"/>
              <w:spacing w:after="0"/>
              <w:rPr>
                <w:sz w:val="20"/>
                <w:szCs w:val="20"/>
                <w:color w:val="auto"/>
              </w:rPr>
            </w:pPr>
            <w:r>
              <w:rPr>
                <w:rFonts w:ascii="Arial" w:cs="Arial" w:eastAsia="Arial" w:hAnsi="Arial"/>
                <w:sz w:val="32"/>
                <w:szCs w:val="32"/>
                <w:b w:val="1"/>
                <w:bCs w:val="1"/>
                <w:color w:val="auto"/>
                <w:w w:val="91"/>
              </w:rPr>
              <w:t>Micron Technology, Inc.</w:t>
            </w:r>
          </w:p>
        </w:tc>
      </w:tr>
      <w:tr>
        <w:trPr>
          <w:trHeight w:val="222"/>
        </w:trPr>
        <w:tc>
          <w:tcPr>
            <w:tcW w:w="480" w:type="dxa"/>
            <w:vAlign w:val="bottom"/>
          </w:tcPr>
          <w:p>
            <w:pPr>
              <w:spacing w:after="0"/>
              <w:rPr>
                <w:sz w:val="19"/>
                <w:szCs w:val="19"/>
                <w:color w:val="auto"/>
              </w:rPr>
            </w:pPr>
          </w:p>
        </w:tc>
        <w:tc>
          <w:tcPr>
            <w:tcW w:w="10660" w:type="dxa"/>
            <w:vAlign w:val="bottom"/>
            <w:gridSpan w:val="6"/>
          </w:tcPr>
          <w:p>
            <w:pPr>
              <w:jc w:val="center"/>
              <w:ind w:right="11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6"/>
        </w:trPr>
        <w:tc>
          <w:tcPr>
            <w:tcW w:w="480" w:type="dxa"/>
            <w:vAlign w:val="bottom"/>
          </w:tcPr>
          <w:p>
            <w:pPr>
              <w:spacing w:after="0"/>
              <w:rPr>
                <w:sz w:val="24"/>
                <w:szCs w:val="24"/>
                <w:color w:val="auto"/>
              </w:rPr>
            </w:pPr>
          </w:p>
        </w:tc>
        <w:tc>
          <w:tcPr>
            <w:tcW w:w="58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8"/>
              </w:rPr>
              <w:t>Delaware</w:t>
            </w:r>
          </w:p>
        </w:tc>
        <w:tc>
          <w:tcPr>
            <w:tcW w:w="480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87"/>
              </w:rPr>
              <w:t>75-1618004</w:t>
            </w:r>
          </w:p>
        </w:tc>
      </w:tr>
      <w:tr>
        <w:trPr>
          <w:trHeight w:val="216"/>
        </w:trPr>
        <w:tc>
          <w:tcPr>
            <w:tcW w:w="480" w:type="dxa"/>
            <w:vAlign w:val="bottom"/>
          </w:tcPr>
          <w:p>
            <w:pPr>
              <w:spacing w:after="0"/>
              <w:rPr>
                <w:sz w:val="18"/>
                <w:szCs w:val="18"/>
                <w:color w:val="auto"/>
              </w:rPr>
            </w:pPr>
          </w:p>
        </w:tc>
        <w:tc>
          <w:tcPr>
            <w:tcW w:w="586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(State or other jurisdiction of</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900" w:type="dxa"/>
            <w:vAlign w:val="bottom"/>
          </w:tcPr>
          <w:p>
            <w:pPr>
              <w:jc w:val="center"/>
              <w:ind w:right="1652"/>
              <w:spacing w:after="0"/>
              <w:rPr>
                <w:sz w:val="20"/>
                <w:szCs w:val="20"/>
                <w:color w:val="auto"/>
              </w:rPr>
            </w:pPr>
            <w:r>
              <w:rPr>
                <w:rFonts w:ascii="Arial" w:cs="Arial" w:eastAsia="Arial" w:hAnsi="Arial"/>
                <w:sz w:val="18"/>
                <w:szCs w:val="18"/>
                <w:color w:val="auto"/>
                <w:w w:val="92"/>
              </w:rPr>
              <w:t>(IRS Employer</w:t>
            </w:r>
          </w:p>
        </w:tc>
      </w:tr>
      <w:tr>
        <w:trPr>
          <w:trHeight w:val="222"/>
        </w:trPr>
        <w:tc>
          <w:tcPr>
            <w:tcW w:w="480" w:type="dxa"/>
            <w:vAlign w:val="bottom"/>
          </w:tcPr>
          <w:p>
            <w:pPr>
              <w:spacing w:after="0"/>
              <w:rPr>
                <w:sz w:val="19"/>
                <w:szCs w:val="19"/>
                <w:color w:val="auto"/>
              </w:rPr>
            </w:pPr>
          </w:p>
        </w:tc>
        <w:tc>
          <w:tcPr>
            <w:tcW w:w="586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incorporation or organization)</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80" w:type="dxa"/>
            <w:vAlign w:val="bottom"/>
            <w:gridSpan w:val="2"/>
          </w:tcPr>
          <w:p>
            <w:pPr>
              <w:jc w:val="center"/>
              <w:ind w:right="372"/>
              <w:spacing w:after="0"/>
              <w:rPr>
                <w:sz w:val="20"/>
                <w:szCs w:val="20"/>
                <w:color w:val="auto"/>
              </w:rPr>
            </w:pPr>
            <w:r>
              <w:rPr>
                <w:rFonts w:ascii="Arial" w:cs="Arial" w:eastAsia="Arial" w:hAnsi="Arial"/>
                <w:sz w:val="18"/>
                <w:szCs w:val="18"/>
                <w:color w:val="auto"/>
                <w:w w:val="94"/>
              </w:rPr>
              <w:t>Identification No.)</w:t>
            </w:r>
          </w:p>
        </w:tc>
      </w:tr>
      <w:tr>
        <w:trPr>
          <w:trHeight w:val="453"/>
        </w:trPr>
        <w:tc>
          <w:tcPr>
            <w:tcW w:w="480" w:type="dxa"/>
            <w:vAlign w:val="bottom"/>
          </w:tcPr>
          <w:p>
            <w:pPr>
              <w:spacing w:after="0"/>
              <w:rPr>
                <w:sz w:val="24"/>
                <w:szCs w:val="24"/>
                <w:color w:val="auto"/>
              </w:rPr>
            </w:pPr>
          </w:p>
        </w:tc>
        <w:tc>
          <w:tcPr>
            <w:tcW w:w="58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7"/>
              </w:rPr>
              <w:t>8000 S. Federal Way, P.O. Box 6, Boise, Idaho</w:t>
            </w:r>
          </w:p>
        </w:tc>
        <w:tc>
          <w:tcPr>
            <w:tcW w:w="480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87"/>
              </w:rPr>
              <w:t>83707-0006</w:t>
            </w:r>
          </w:p>
        </w:tc>
      </w:tr>
      <w:tr>
        <w:trPr>
          <w:trHeight w:val="222"/>
        </w:trPr>
        <w:tc>
          <w:tcPr>
            <w:tcW w:w="480" w:type="dxa"/>
            <w:vAlign w:val="bottom"/>
          </w:tcPr>
          <w:p>
            <w:pPr>
              <w:spacing w:after="0"/>
              <w:rPr>
                <w:sz w:val="19"/>
                <w:szCs w:val="19"/>
                <w:color w:val="auto"/>
              </w:rPr>
            </w:pPr>
          </w:p>
        </w:tc>
        <w:tc>
          <w:tcPr>
            <w:tcW w:w="5860" w:type="dxa"/>
            <w:vAlign w:val="bottom"/>
            <w:gridSpan w:val="2"/>
          </w:tcPr>
          <w:p>
            <w:pPr>
              <w:jc w:val="center"/>
              <w:ind w:right="800"/>
              <w:spacing w:after="0"/>
              <w:rPr>
                <w:sz w:val="20"/>
                <w:szCs w:val="20"/>
                <w:color w:val="auto"/>
              </w:rPr>
            </w:pPr>
            <w:r>
              <w:rPr>
                <w:rFonts w:ascii="Arial" w:cs="Arial" w:eastAsia="Arial" w:hAnsi="Arial"/>
                <w:sz w:val="18"/>
                <w:szCs w:val="18"/>
                <w:color w:val="auto"/>
                <w:w w:val="90"/>
              </w:rPr>
              <w:t>(Address of principal executive offices)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900" w:type="dxa"/>
            <w:vAlign w:val="bottom"/>
          </w:tcPr>
          <w:p>
            <w:pPr>
              <w:jc w:val="center"/>
              <w:ind w:right="1652"/>
              <w:spacing w:after="0"/>
              <w:rPr>
                <w:sz w:val="20"/>
                <w:szCs w:val="20"/>
                <w:color w:val="auto"/>
              </w:rPr>
            </w:pPr>
            <w:r>
              <w:rPr>
                <w:rFonts w:ascii="Arial" w:cs="Arial" w:eastAsia="Arial" w:hAnsi="Arial"/>
                <w:sz w:val="18"/>
                <w:szCs w:val="18"/>
                <w:color w:val="auto"/>
                <w:w w:val="89"/>
              </w:rPr>
              <w:t>(Zip Code)</w:t>
            </w:r>
          </w:p>
        </w:tc>
      </w:tr>
      <w:tr>
        <w:trPr>
          <w:trHeight w:val="459"/>
        </w:trPr>
        <w:tc>
          <w:tcPr>
            <w:tcW w:w="480" w:type="dxa"/>
            <w:vAlign w:val="bottom"/>
          </w:tcPr>
          <w:p>
            <w:pPr>
              <w:spacing w:after="0"/>
              <w:rPr>
                <w:sz w:val="24"/>
                <w:szCs w:val="24"/>
                <w:color w:val="auto"/>
              </w:rPr>
            </w:pPr>
          </w:p>
        </w:tc>
        <w:tc>
          <w:tcPr>
            <w:tcW w:w="58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480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87"/>
              </w:rPr>
              <w:t>(208) 368-4000</w:t>
            </w:r>
          </w:p>
        </w:tc>
      </w:tr>
      <w:tr>
        <w:trPr>
          <w:trHeight w:val="420"/>
        </w:trPr>
        <w:tc>
          <w:tcPr>
            <w:tcW w:w="480" w:type="dxa"/>
            <w:vAlign w:val="bottom"/>
          </w:tcPr>
          <w:p>
            <w:pPr>
              <w:spacing w:after="0"/>
              <w:rPr>
                <w:sz w:val="24"/>
                <w:szCs w:val="24"/>
                <w:color w:val="auto"/>
              </w:rPr>
            </w:pPr>
          </w:p>
        </w:tc>
        <w:tc>
          <w:tcPr>
            <w:tcW w:w="58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58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5"/>
              </w:rPr>
              <w:t>Title of each class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jc w:val="center"/>
              <w:ind w:right="372"/>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28"/>
        </w:trPr>
        <w:tc>
          <w:tcPr>
            <w:tcW w:w="480" w:type="dxa"/>
            <w:vAlign w:val="bottom"/>
          </w:tcPr>
          <w:p>
            <w:pPr>
              <w:spacing w:after="0"/>
              <w:rPr>
                <w:sz w:val="19"/>
                <w:szCs w:val="19"/>
                <w:color w:val="auto"/>
              </w:rPr>
            </w:pPr>
          </w:p>
        </w:tc>
        <w:tc>
          <w:tcPr>
            <w:tcW w:w="58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8"/>
              </w:rPr>
              <w:t>Common Stock, par value $.10 per share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80" w:type="dxa"/>
            <w:vAlign w:val="bottom"/>
            <w:gridSpan w:val="2"/>
          </w:tcPr>
          <w:p>
            <w:pPr>
              <w:jc w:val="center"/>
              <w:ind w:right="372"/>
              <w:spacing w:after="0"/>
              <w:rPr>
                <w:sz w:val="20"/>
                <w:szCs w:val="20"/>
                <w:color w:val="auto"/>
              </w:rPr>
            </w:pPr>
            <w:r>
              <w:rPr>
                <w:rFonts w:ascii="Arial" w:cs="Arial" w:eastAsia="Arial" w:hAnsi="Arial"/>
                <w:sz w:val="18"/>
                <w:szCs w:val="18"/>
                <w:b w:val="1"/>
                <w:bCs w:val="1"/>
                <w:color w:val="auto"/>
                <w:w w:val="88"/>
              </w:rPr>
              <w:t>New York Stock Exchange</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19" w:lineRule="exact"/>
        <w:rPr>
          <w:sz w:val="24"/>
          <w:szCs w:val="24"/>
          <w:color w:val="auto"/>
        </w:rPr>
      </w:pPr>
    </w:p>
    <w:p>
      <w:pPr>
        <w:ind w:right="36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207" w:lineRule="exact"/>
        <w:tabs>
          <w:tab w:leader="none" w:pos="2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86" w:lineRule="exact"/>
        <w:rPr>
          <w:sz w:val="24"/>
          <w:szCs w:val="24"/>
          <w:color w:val="auto"/>
        </w:rPr>
      </w:pPr>
    </w:p>
    <w:p>
      <w:pPr>
        <w:ind w:left="360"/>
        <w:spacing w:after="0" w:line="184" w:lineRule="exact"/>
        <w:tabs>
          <w:tab w:leader="none" w:pos="844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No o</w:t>
      </w:r>
    </w:p>
    <w:p>
      <w:pPr>
        <w:spacing w:after="0" w:line="281" w:lineRule="exact"/>
        <w:rPr>
          <w:sz w:val="24"/>
          <w:szCs w:val="24"/>
          <w:color w:val="auto"/>
        </w:rPr>
      </w:pPr>
    </w:p>
    <w:p>
      <w:pPr>
        <w:ind w:right="80" w:firstLine="348"/>
        <w:spacing w:after="0" w:line="256" w:lineRule="auto"/>
        <w:rPr>
          <w:sz w:val="20"/>
          <w:szCs w:val="20"/>
          <w:color w:val="auto"/>
        </w:rPr>
      </w:pPr>
      <w:r>
        <w:rPr>
          <w:rFonts w:ascii="Arial" w:cs="Arial" w:eastAsia="Arial" w:hAnsi="Arial"/>
          <w:sz w:val="18"/>
          <w:szCs w:val="18"/>
          <w:color w:val="auto"/>
        </w:rPr>
        <w:t>The aggregate market value of the voting stock held by non-affiliates of the registrant, based upon the closing price of such stock on September 22, 2003, as reported by the New York Stock Exchange, was approximately $7.1 billion. 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9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number of outstanding shares of the registrant's common stock as of October 3, 2003, was 610,606,712.</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right="140" w:firstLine="351"/>
        <w:spacing w:after="0" w:line="268" w:lineRule="auto"/>
        <w:rPr>
          <w:sz w:val="20"/>
          <w:szCs w:val="20"/>
          <w:color w:val="auto"/>
        </w:rPr>
      </w:pPr>
      <w:r>
        <w:rPr>
          <w:rFonts w:ascii="Arial" w:cs="Arial" w:eastAsia="Arial" w:hAnsi="Arial"/>
          <w:sz w:val="18"/>
          <w:szCs w:val="18"/>
          <w:color w:val="auto"/>
        </w:rPr>
        <w:t>Portions of the Proxy Statement for registrant's 2003 Annual Meeting of Shareholders to be held on November 21, 2003,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292735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9" w:right="259" w:bottom="311"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"Products" regarding the Company's expectation that the CMOS imaging market is expected to grow significantly, and in "Manufacturing" regarding the Company's expectation to transition to 110 nm line-width process technology in 2004 and future product qualification and production volumes for the Company's 300 mm production line. The Company's actual results could differ materially from the Company's historical results and those discussed in the forward-looking statements. Factors that could cause actual results to differ materially include, but are not limited to, those identified in "Item 7. Management's Discussion and Analysis of Financial Condition and Results of Operations—Certain Factors." All period references are to the Company's fiscal periods unless otherwise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 xml:space="preserve">Micron Technology, Inc., and its subsidiaries (hereinafter referred to collectively as the "Company") manufacture and market DRAMs, Flash memory, CMOS image sensors and other semiconductor components. Micron Technology, Inc., a Delaware corporation, was incorporated in 1978. The Company's executive offices are located at 8000 South Federal Way, Boise, Idaho 83716-9632 and its telephone number is (208) 368-4000. Information about the Company is available on the internet at </w:t>
      </w:r>
      <w:r>
        <w:rPr>
          <w:rFonts w:ascii="Arial" w:cs="Arial" w:eastAsia="Arial" w:hAnsi="Arial"/>
          <w:sz w:val="16"/>
          <w:szCs w:val="16"/>
          <w:i w:val="1"/>
          <w:iCs w:val="1"/>
          <w:color w:val="auto"/>
        </w:rPr>
        <w:t>www.micron.com</w:t>
      </w:r>
      <w:r>
        <w:rPr>
          <w:rFonts w:ascii="Arial" w:cs="Arial" w:eastAsia="Arial" w:hAnsi="Arial"/>
          <w:sz w:val="16"/>
          <w:szCs w:val="16"/>
          <w:color w:val="auto"/>
        </w:rPr>
        <w:t>. Copies of our Annual Report on Form 10-K, Quarterly Reports on Form 10-Q and Current Reports on Form 8-K, as well as any amendments to these reports, are available free of charge through our website as soon as reasonably practicable after they are electronically filed with or forwarded to the Securities and Exchange Commission. Information contained or referenced on our website is not incorporated by reference and does not form a part of this Annual Report on Form 10-K.</w:t>
      </w:r>
    </w:p>
    <w:p>
      <w:pPr>
        <w:spacing w:after="0" w:line="172"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Participation in, and ultimately success in, the semiconductor memory industry is dependent upon a number of factors, including: ownership or access to design and process technology, cost effective silicon processing capability, employment and retention of key personnel, and sufficient access to capital. The Company is one of the most cost-efficient memory suppliers in the industry.</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Weak market conditions led to the Company's decision in 2003 to restructure its operations. On February 18, 2003, the Company announced a series of cost-reduction initiatives, including the shutdown of its 200 mm wafer fabrication line in Virginia, the discontinuance of certain product lines, including SRAM and TCAM products, and an approximate 10% reduction in its worldwide workforce. (See "Item 8. Financial Statements and Supplementary Data—Notes to Consolidated Financial Statements—Restructure and Other Charges.")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offers semiconductor products with a wide variety of packaging and configuration options, architectures and performance characteristics to meet customer needs.</w:t>
      </w:r>
    </w:p>
    <w:p>
      <w:pPr>
        <w:spacing w:after="0" w:line="186"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Dynamic Random Access Memory </w:t>
      </w:r>
      <w:r>
        <w:rPr>
          <w:rFonts w:ascii="Arial" w:cs="Arial" w:eastAsia="Arial" w:hAnsi="Arial"/>
          <w:sz w:val="16"/>
          <w:szCs w:val="16"/>
          <w:color w:val="auto"/>
        </w:rPr>
        <w:t>DRAM products are high density, low-cost-per-bit, random access memory devices that provide high-speed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storage and retrieval. DRAM is the Company's primary product and is the most widely used semiconductor memory component in computer systems. DRAM sales represented approximately 96%, 95% and 87% of the Company's net sales in 2003, 2002 and 2001, respectively.</w:t>
      </w:r>
    </w:p>
    <w:p>
      <w:pPr>
        <w:spacing w:after="0" w:line="16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In recent years, the Company has broadened its DRAM product line as the market has become more diverse. The Company offers 128 Meg, 256 Meg and 512 Meg Double Data Rate Synchronous DRAM ("DDR") and SDRAM in multiple configurations, speeds and package types. In 2003, DDR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replaced SDRAM as the Company's highest volume type of semiconductor memory products sold. DDR accounted for 66%, 21% and 1% of the Company's DRAM sales in 2003, 2002 and 2001, respectively. DDR is used in computing and networking applications and in a variety of other consumer electronics. The 256 Meg DDR was the Company's primary product in 2003, accounting for 60% of net sales. The Company began shipping commercial volumes of 512 Meg and 1 Gig DDR in 2003.</w:t>
      </w:r>
    </w:p>
    <w:p>
      <w:pPr>
        <w:spacing w:after="0" w:line="197" w:lineRule="exact"/>
        <w:rPr>
          <w:sz w:val="20"/>
          <w:szCs w:val="20"/>
          <w:color w:val="auto"/>
        </w:rPr>
      </w:pPr>
    </w:p>
    <w:p>
      <w:pPr>
        <w:ind w:right="380" w:firstLine="341"/>
        <w:spacing w:after="0" w:line="255" w:lineRule="auto"/>
        <w:rPr>
          <w:sz w:val="20"/>
          <w:szCs w:val="20"/>
          <w:color w:val="auto"/>
        </w:rPr>
      </w:pPr>
      <w:r>
        <w:rPr>
          <w:rFonts w:ascii="Arial" w:cs="Arial" w:eastAsia="Arial" w:hAnsi="Arial"/>
          <w:sz w:val="18"/>
          <w:szCs w:val="18"/>
          <w:color w:val="auto"/>
        </w:rPr>
        <w:t>Although market demand has shifted from SDRAM to DDR devices for computing and other applications, demand for SDRAM continues for many consumer applications, such as cell phones, hand held devices and other communications equipment. The Company also provides key customers with legacy DRAM products such as extended data out ("EDO") and fast page mode ("FPM") and lower density products such as the 16 Meg and 64 Meg DRAM. The Company continues to design and develop next generation products, including DDR2, GDDR3 and certain other products, including reduced latency DRAM ("RLDRAM") and Cellular RAM.</w:t>
      </w:r>
    </w:p>
    <w:p>
      <w:pPr>
        <w:spacing w:after="0" w:line="19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Flash Memory </w:t>
      </w:r>
      <w:r>
        <w:rPr>
          <w:rFonts w:ascii="Arial" w:cs="Arial" w:eastAsia="Arial" w:hAnsi="Arial"/>
          <w:sz w:val="18"/>
          <w:szCs w:val="18"/>
          <w:color w:val="auto"/>
        </w:rPr>
        <w:t>Flash products are non-volatile semiconductor devices that retain memory content when the power is turned off, and are electrically re-writeable. Flash is used in networking applications, workstations, servers, PCs, and handheld electronic devices such as digital cellular phones, digital cameras, and digital music players. Sales of Flash devices represented approximately 1%, 2% and 3% of the Company's net sales in 2003, 2002 and 2001, respectively. Currently, the Company's Flash offerings are comprised of NOR-based products.</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b w:val="1"/>
          <w:bCs w:val="1"/>
          <w:i w:val="1"/>
          <w:iCs w:val="1"/>
          <w:color w:val="auto"/>
        </w:rPr>
        <w:t xml:space="preserve">Complementary Metal-Oxide Semiconductor ("CMOS") Image Sensors </w:t>
      </w:r>
      <w:r>
        <w:rPr>
          <w:rFonts w:ascii="Arial" w:cs="Arial" w:eastAsia="Arial" w:hAnsi="Arial"/>
          <w:sz w:val="18"/>
          <w:szCs w:val="18"/>
          <w:color w:val="auto"/>
        </w:rPr>
        <w:t>Image sensors are semiconductor devices that capture images and process them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pictures or video for a variety of consumer and industrial applications. The Company's CMOS image sensors are used in products such as cellular phone cameras, digital cameras, consumable pill cameras for medical use, automotive headlight dimming and motion tracking systems. CMOS imaging is a new market for the Company. The CMOS imaging market is expected to grow significantly over the next several years. Sales for CMOS image sensors accounted for less than 1% of the Company's net sales in 2003.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is a leading global provider of semiconductor products with manufacturing facilities located in the United States, Italy, Japan, Puerto Rico, Singapore and Scotland. The Company's manufacturing facilities operate 24 hours per day, 7 days per week.</w:t>
      </w:r>
    </w:p>
    <w:p>
      <w:pPr>
        <w:sectPr>
          <w:pgSz w:w="11900" w:h="16838" w:orient="portrait"/>
          <w:cols w:equalWidth="0" w:num="1">
            <w:col w:w="11420"/>
          </w:cols>
          <w:pgMar w:left="240" w:top="341" w:right="239" w:bottom="0" w:gutter="0" w:footer="0" w:header="0"/>
        </w:sectPr>
      </w:pPr>
    </w:p>
    <w:bookmarkStart w:id="2" w:name="page3"/>
    <w:bookmarkEnd w:id="2"/>
    <w:p>
      <w:pPr>
        <w:ind w:right="60" w:firstLine="348"/>
        <w:spacing w:after="0" w:line="288" w:lineRule="auto"/>
        <w:rPr>
          <w:sz w:val="20"/>
          <w:szCs w:val="20"/>
          <w:color w:val="auto"/>
        </w:rPr>
      </w:pPr>
      <w:r>
        <w:rPr>
          <w:rFonts w:ascii="Arial" w:cs="Arial" w:eastAsia="Arial" w:hAnsi="Arial"/>
          <w:sz w:val="16"/>
          <w:szCs w:val="16"/>
          <w:color w:val="auto"/>
        </w:rPr>
        <w:t>The Company's process for manufacturing semiconductor products is complex, involving a number of precise steps, including wafer fabrication, assembly, burn-in and final test. Efficient production of semiconductor products requires utilization of advanced semiconductor manufacturing techniques and effective deployment of these techniques across multiple facilities. The primary determinants of manufacturing cost are die size, number of mask layers and yield of acceptable die produced on each wafer. Other factors that contribute to manufacturing costs are wafer size, number of fabrication steps, cost and sophistication of manufacturing equipment, equipment utilization, process complexity, cost of raw materials, labor productivity, package type and cleanliness of the manufacturing environment. The Company is continuously enhancing production processes, reducing the die size of existing products and transitioning to higher density products. In 2003, the Company completed the migration of its manufacturing operations to its 130 nanometer ("nm") line-width process technology and transitioned a portion of its manufacturing operations to its 110 nm line-width process technology. The Company expects to transition a majority of its manufacturing operations to 110 nm line-width process technology in 2004.</w:t>
      </w:r>
    </w:p>
    <w:p>
      <w:pPr>
        <w:spacing w:after="0" w:line="17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Wafer fabrication occurs in a highly controlled, clean environment to minimize dust and other yield-and quality-limiting contaminants. Despite stringent manufacturing controls, dust particles, equipment errors, minute impurities in materials, defects in photomasks and circuit design marginalities or other problems cause wafers to be scrapped or individual circuits to be nonfunctional. Success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Company's manufacturing operations depends largely on minimizing defects and thereby maximizing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94"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After fabrication, silicon wafers are separated into individual die. Functional die are sorted, connected to external leads and encapsulated in plastic packages. The Company assembles products in a variety of packages, including TSOP (thin small outline package), TQFP (thin quad flat package) and FBGA (fine pitch ball grid array). Each completed package is then inspected and tested. The Company also sells semiconductor products in unpackaged die form. 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DRAM die during the burn-in process, capturing quality and reliability data and reducing testing time and cost.</w:t>
      </w:r>
    </w:p>
    <w:p>
      <w:pPr>
        <w:spacing w:after="0" w:line="174"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significant portion of the Company's memory products are assembled into memory modules for sale to customers. Memory modules consist of an array of memory components attached to printed circuit boards ("PCBs") that connect to computer systems or other electronic devices. Memory components are attached to PCBs in a soldering process performed by screen printing machines and high speed automated pick and place machines. Completed modules are tested by custom equipment and visually inspected.</w:t>
      </w:r>
    </w:p>
    <w:p>
      <w:pPr>
        <w:spacing w:after="0" w:line="197"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 has established a 300 mm production line at its Virginia facility and expects to qualify its 512 Meg DDR product from that facility for production by the end of calendar 2003. The Company expects to ramp this wafer fabrication facility towards a capacity of 10,000 wafer outs per week over the next two years.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TECH is a memory manufacturing joint venture in Singapore among Micron Technology, Inc.,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TECH supplied approximately 30%, 20% and 25% of the total megabits of memory produced by the Company in 2003, 2002 and 2001, respectively.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requires raw materials that meet exacting standards, including several custom materials. The Company generally has multiple sources of supply; however, only a limited number of suppliers are capable of delivering certain raw materials that meet the Company's standards. Various factors could reduce the availability of raw materials such as silicon wafers, photomasks, chemicals, gases, lead frames and molding compound. In addition, any transportation problems could delay the Company's receipt of raw 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Markets for the Company's products are categorized into computing and consumer, networking and telecommunications, and imaging. Approximately 82% of the Company's net sales for 2003 were to the computing market. Sales to both Dell Computer Corporation and Hewlett-Packard Company (including sales to Compaq Computer Corporation before the merger with Hewlett-Packard Company) exceeded 10% of the Company's net sales in 2003, 2002 and 2001, and aggregated 28%, 28% and 24% of the Company's net sales in 2003, 2002 and 2001, respectively.</w:t>
      </w:r>
    </w:p>
    <w:p>
      <w:pPr>
        <w:spacing w:after="0" w:line="167"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Company markets its semiconductor products primarily through its own direct sales force. The Company maintains inventory at locations in close proximity to certain key customers to facilitate rapid delivery of product shipments. The Company's products are also offered through independent sales representatives, distributors and Crucial Technology, the Company's web-based customer direct sales division. The Company's products are offered under the Micron, SpecTek and Crucial brand names, and under other private labels. The Company maintains sales offices in North America, Europe, Asia and Japan.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w:t>
      </w:r>
    </w:p>
    <w:p>
      <w:pPr>
        <w:sectPr>
          <w:pgSz w:w="11900" w:h="16838" w:orient="portrait"/>
          <w:cols w:equalWidth="0" w:num="1">
            <w:col w:w="11420"/>
          </w:cols>
          <w:pgMar w:left="240" w:top="131" w:right="239" w:bottom="0" w:gutter="0" w:footer="0" w:header="0"/>
        </w:sectPr>
      </w:pPr>
    </w:p>
    <w:bookmarkStart w:id="3" w:name="page4"/>
    <w:bookmarkEnd w:id="3"/>
    <w:p>
      <w:pPr>
        <w:ind w:right="20" w:firstLine="348"/>
        <w:spacing w:after="0" w:line="290" w:lineRule="auto"/>
        <w:rPr>
          <w:sz w:val="20"/>
          <w:szCs w:val="20"/>
          <w:color w:val="auto"/>
        </w:rPr>
      </w:pPr>
      <w:r>
        <w:rPr>
          <w:rFonts w:ascii="Arial" w:cs="Arial" w:eastAsia="Arial" w:hAnsi="Arial"/>
          <w:sz w:val="16"/>
          <w:szCs w:val="16"/>
          <w:color w:val="auto"/>
        </w:rPr>
        <w:t>The semiconductor memory industry is characterized by volatile market conditions, declining average selling prices, rapid technological change, frequent product introductions and enhancements, difficult product transitions and relatively short product life cycles. Technology transitions, resulting from changing market demand, can make it very difficult to optimize product mix. In addition, diversification of the DRAM market continues, with diverse memory needs being driven by the different requirements of desktop and notebook PCs, servers, workstations, handheld devices, and communications, industrial and other applications that demand specific memory solutions. Many of the Company's customers require a thorough review or qualification of semiconductor products, which may take several months. As the Company further diversifies its product lines and reduces the die sizes of existing memory products, more products become subject to qualification. There can be no assurance that new products will be qualified for purchase by existing or potential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Volatile industry conditions make customers reluctant to enter into long-term, fixed-price contracts. Accordingly, new order volumes for the Company's semiconductor products fluctuate significantly. Orders are typically accepted with acknowledgment that the terms may be adjusted to reflect market conditions at the date of shipment. Customers can change delivery schedules or cancel orders without significant penalty. For these reasons, the Company does not believe that its order backlog as of any particular date is a reliable indicator of actual sales for any succeeding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Because the design and production process for semiconductor products is highly complex, it is possible that the Company may produce products that do not comply with customer specifications, contain defects or are otherwise incompatible with end uses. In accordance with industry practice, the Company generally provides a limited warranty that its products are in compliance with Company specifications existing at 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more extensive liability than that provided under the Company's general terms and conditions.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Company faces intense competition from a number of companies, including Elpida Memory, Inc., Hynix Semiconductor, Inc., Infineon Technologies AG and Samsung Electronics, Inc. Some of these competitors are large corporations or conglomerates that may have greater resources to withstand downturns in the semiconductor markets in which the Company competes, invest in technology and capitalize on growth opportunities. These competitors seek to increase silicon capacity, improve yields, reduce die size and minimize mask levels in their product designs. These factors have significantly increased worldwide supply and put downward pressure on prices.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Historically, various governments have provided economic assistance to international competitors, which has enabled, or artificially supported, competitors' production of semiconductor memory, particularly DRAM. This factor is expected to lead to a continued increase in the supply of DRAM and other semiconductor products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To compete in the semiconductor memory industry, the Company must continue to develop technologically advanced products and processes. The Company believes that expansion of its semiconductor product offerings is necessary to meet expected market demand for specific memory solutions.</w:t>
      </w:r>
    </w:p>
    <w:p>
      <w:pPr>
        <w:spacing w:after="0" w:line="139"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Research and development ("R&amp;D") expenses vary primarily with the number of development wafers processed, the cost of advanced equipment dedicated to new product and process development, and personnel costs. The Company deems development of a product complete once the product has been thoroughly reviewed and tested for performance and reliability and is internally qualified for sale to customers. Because of the lead times necessary to manufacture the Company's products, the Company typically begins to process a significant volume of product before it is internally qualified. As a result, R&amp;D expenses can vary significantly depending on the timing of product qualification. Product development costs are recorded as R&amp;D expense. The Company's R&amp;D expenses were $656.4 million, $561.3 million and $489.5 million in 2003, 2002 and 2001, respectively.</w:t>
      </w:r>
    </w:p>
    <w:p>
      <w:pPr>
        <w:spacing w:after="0" w:line="17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process technology R&amp;D efforts are focused on its 110 nm, 95 nm and 80 nm line-width process technologies, which are designed to facilitate the Company's transition to next generation products. Additional R&amp;D efforts include processes to support 300 mm wafer manufacturing, Flash, CMOS imagers, and new memory manufacturing materials. In addition to its process technology efforts, the Company continues to emphasize product designs that utilize advanced process technology. The Company has several product design centers around the world, the largest located at its headquarters in Boise, Idaho. Efforts toward the design and development of new products are concentrated on the Company's 512 Meg and 1 Gig DDR, DDR2, GDDR3, Flash memory products, CMOS imagers and other DRAM products, including reduced latency DRAM ("RLDRAM") and Cellular RAM. In addition, the Company has a facility at its Boise, Idaho site to develop leading edge photolithography mask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Sales to customers outside the United States totaled $1.7 billion for 2003 and included $736.9 million in sales to the Asia Pacific region, $612.4 million in sales to Europe and $260.1 million in sales to Japan. International sales totaled $1.4 billion for 2002 and $1.8 billion for 2001. (See "Item 8. Financial Statements and Supplementary Data—Notes to Consolidated Financial Statements—Geographic Information.")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owns approximately 9,600 United States patents and 700 foreign patents. In addition, the Company has numerous United States and foreign patent applications pending. The Company's patents have terms expiring from 2003 through 2022.</w:t>
      </w:r>
    </w:p>
    <w:p>
      <w:pPr>
        <w:sectPr>
          <w:pgSz w:w="11900" w:h="16838" w:orient="portrait"/>
          <w:cols w:equalWidth="0" w:num="1">
            <w:col w:w="11420"/>
          </w:cols>
          <w:pgMar w:left="240" w:top="131" w:right="239" w:bottom="0" w:gutter="0" w:footer="0" w:header="0"/>
        </w:sectPr>
      </w:pPr>
    </w:p>
    <w:bookmarkStart w:id="4" w:name="page5"/>
    <w:bookmarkEnd w:id="4"/>
    <w:p>
      <w:pPr>
        <w:spacing w:after="0" w:line="11"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processes infringe their product or process technology rights. The Company is currently engaged in litigation with Rambus, Inc. ("Rambus") relating to certain of Rambus' patents and certain of the Company's claims and defenses. Lawsuits between Rambus and the Company are pending in the United States, Germany, France, the United Kingdom and Italy. The Company is unable to predict the outcome of the Rambus suits or of other assertions of infringements made against the Company.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72"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As of August 28, 2003, the Company had approximately 16,600 employees, including approximately 10,900 in the United States, 2,700 in the Asia Pacific region, 1,900 in Europe and 1,100 in Japan. The Company's employees in Italy are represented by labor organizations that have entered into national and local labor contracts with the Company. The Company's employment levels can vary depending on market conditions and the level of the Company's production, research and product and process development. Many of the Company's employees are highly skilled, and the Company's continued success depends in part upon its ability to attract and retain such employees. The loss of key Company personnel could have a material adverse effect on the Company's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Government regulations impose various environmental controls on discharges, emissions and solid wastes from the Company's manufacturing processes. In 2003, the Company's wafer fabrication facilities continued to conform to the requirements of ISO 14001 certification. To continue certification, the Company met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or other government regulations, changes in the regulations could necessitate additional capital expenditures, modification of operations or other compliance actions.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Registrant</w:t>
      </w:r>
    </w:p>
    <w:p>
      <w:pPr>
        <w:spacing w:after="0" w:line="231"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officers and directors serve until their successors are duly chosen or elected and qualified, except in the case of earlier death, resignation or removal.</w:t>
      </w:r>
    </w:p>
    <w:p>
      <w:pPr>
        <w:spacing w:after="0" w:line="248"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of August 28, 2003, the following executive officers and directors of the Company were subject to the reporting requirements of Section 16(a) of the Securities Exchange Act of 1934, as amended.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5"/>
                <w:szCs w:val="15"/>
                <w:color w:val="auto"/>
              </w:rPr>
            </w:pPr>
          </w:p>
        </w:tc>
        <w:tc>
          <w:tcPr>
            <w:tcW w:w="5020" w:type="dxa"/>
            <w:vAlign w:val="bottom"/>
          </w:tcPr>
          <w:p>
            <w:pPr>
              <w:ind w:left="22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Kipp A. Bedard</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44</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Vice President of Corporate Affairs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Robert M. Donnelly</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of Computing and Consumer 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Jan du Preez</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46</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Vice President of Networking and Communications Group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 Mark Durcan</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Technical Officer and Vice President of Research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Robert J. Gove</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49</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Vice President of Imaging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Jay L. Hawkins</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of Operations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Roderic W. Lewis</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w w:val="98"/>
              </w:rPr>
              <w:t>Vice President of Legal Affairs, General Counsel and Corporate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Michael W. Sadler</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of Worldwide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Wilbur G. Stover, Jr.</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50</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Vice President of Finance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Robert A. Lothrop</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77</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Thomas T. Nicholson</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Gordon C. Smith</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74</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William P. Weber</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-2413635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-2413635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-2413635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-2413635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-2413635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-2413635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Steven R. Appleton </w:t>
      </w:r>
      <w:r>
        <w:rPr>
          <w:rFonts w:ascii="Arial" w:cs="Arial" w:eastAsia="Arial" w:hAnsi="Arial"/>
          <w:sz w:val="16"/>
          <w:szCs w:val="16"/>
          <w:color w:val="auto"/>
        </w:rPr>
        <w:t>joined the Company in February 1983 and has served in various capacities with the Company and its subsidiaries. Mr. Appleton first</w:t>
      </w:r>
      <w:r>
        <w:rPr>
          <w:rFonts w:ascii="Arial" w:cs="Arial" w:eastAsia="Arial" w:hAnsi="Arial"/>
          <w:sz w:val="16"/>
          <w:szCs w:val="16"/>
          <w:i w:val="1"/>
          <w:iCs w:val="1"/>
          <w:color w:val="auto"/>
        </w:rPr>
        <w:t xml:space="preserve"> </w:t>
      </w:r>
      <w:r>
        <w:rPr>
          <w:rFonts w:ascii="Arial" w:cs="Arial" w:eastAsia="Arial" w:hAnsi="Arial"/>
          <w:sz w:val="16"/>
          <w:szCs w:val="16"/>
          <w:color w:val="auto"/>
        </w:rPr>
        <w:t>became an officer of the Company in August 1989 and has served in various officer positions with the Company since that time. From April 1991 until July 1992 and since May 1994, Mr. Appleton has served on the Company's Board of Directors. Since September 1994, Mr. Appleton has served as the Chief Executive Officer, President and Chairman of the Board of Directors of the Company. Mr. Appleton is a member of the Board of Directors of National Semiconductor Corporation. Mr. Appleton holds a BA in Business Management from Boise State University.</w:t>
      </w:r>
    </w:p>
    <w:p>
      <w:pPr>
        <w:spacing w:after="0" w:line="170"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i w:val="1"/>
          <w:iCs w:val="1"/>
          <w:color w:val="auto"/>
        </w:rPr>
        <w:t xml:space="preserve">Kipp A. Bedard </w:t>
      </w:r>
      <w:r>
        <w:rPr>
          <w:rFonts w:ascii="Arial" w:cs="Arial" w:eastAsia="Arial" w:hAnsi="Arial"/>
          <w:sz w:val="16"/>
          <w:szCs w:val="16"/>
          <w:color w:val="auto"/>
        </w:rPr>
        <w:t>joined the Company in November 1983 and has served in various capacities with the Company and its subsidiaries. Mr. Bedard first became</w:t>
      </w:r>
      <w:r>
        <w:rPr>
          <w:rFonts w:ascii="Arial" w:cs="Arial" w:eastAsia="Arial" w:hAnsi="Arial"/>
          <w:sz w:val="16"/>
          <w:szCs w:val="16"/>
          <w:i w:val="1"/>
          <w:iCs w:val="1"/>
          <w:color w:val="auto"/>
        </w:rPr>
        <w:t xml:space="preserve"> </w:t>
      </w:r>
      <w:r>
        <w:rPr>
          <w:rFonts w:ascii="Arial" w:cs="Arial" w:eastAsia="Arial" w:hAnsi="Arial"/>
          <w:sz w:val="16"/>
          <w:szCs w:val="16"/>
          <w:color w:val="auto"/>
        </w:rPr>
        <w:t>an officer of the Company in April 1990 and has served in various officer positions since that time. Since January 1994, Mr. Bedard has served as Vice President of Corporate Affairs for the Company. Mr. Bedard holds a BBA in Accounting from Boise State University.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Robert M. Donnelly </w:t>
      </w:r>
      <w:r>
        <w:rPr>
          <w:rFonts w:ascii="Arial" w:cs="Arial" w:eastAsia="Arial" w:hAnsi="Arial"/>
          <w:sz w:val="16"/>
          <w:szCs w:val="16"/>
          <w:color w:val="auto"/>
        </w:rPr>
        <w:t>joined the Company in September 1988 and has served in various technical positions with the Company and its subsidiaries.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Donnelly first became an officer of the Company in August 1989 and has served in various officer positions since that time. Mr. Donnelly holds a BS in</w:t>
      </w:r>
    </w:p>
    <w:p>
      <w:pPr>
        <w:sectPr>
          <w:pgSz w:w="11900" w:h="16850" w:orient="portrait"/>
          <w:cols w:equalWidth="0" w:num="1">
            <w:col w:w="11420"/>
          </w:cols>
          <w:pgMar w:left="240" w:top="131" w:right="239" w:bottom="0" w:gutter="0" w:footer="0" w:header="0"/>
        </w:sectPr>
      </w:pPr>
    </w:p>
    <w:bookmarkStart w:id="5" w:name="page6"/>
    <w:bookmarkEnd w:id="5"/>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Electrical Engineering from the University of Louisville.</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 xml:space="preserve">Jan du Preez </w:t>
      </w:r>
      <w:r>
        <w:rPr>
          <w:rFonts w:ascii="Arial" w:cs="Arial" w:eastAsia="Arial" w:hAnsi="Arial"/>
          <w:sz w:val="18"/>
          <w:szCs w:val="18"/>
          <w:color w:val="auto"/>
        </w:rPr>
        <w:t>joined the Company in June 2002 as Vice President of Networking and Communications Group. Mr. du Preez served as the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Infineon Technologies North America Corporation from August 2000 until he joined the Company in June 2002. From October 1996 through July 2000, Mr. du Preez served as the Vice President of Memory Products Group for Infineon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Technologies North America Corporation (formerly Siemens Semiconductors). Mr. du Preez holds Bachelors Degrees in Public Administration and Business Economics from the University of Pretoria and a Masters Degree in Commerce from Rand University.</w:t>
      </w:r>
    </w:p>
    <w:p>
      <w:pPr>
        <w:spacing w:after="0" w:line="186"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the Company in June 1984 and has served in various technical positions with the Company and its subsidiaries since that time.</w:t>
      </w:r>
      <w:r>
        <w:rPr>
          <w:rFonts w:ascii="Arial" w:cs="Arial" w:eastAsia="Arial" w:hAnsi="Arial"/>
          <w:sz w:val="16"/>
          <w:szCs w:val="16"/>
          <w:i w:val="1"/>
          <w:iCs w:val="1"/>
          <w:color w:val="auto"/>
        </w:rPr>
        <w:t xml:space="preserve"> </w:t>
      </w:r>
      <w:r>
        <w:rPr>
          <w:rFonts w:ascii="Arial" w:cs="Arial" w:eastAsia="Arial" w:hAnsi="Arial"/>
          <w:sz w:val="16"/>
          <w:szCs w:val="16"/>
          <w:color w:val="auto"/>
        </w:rPr>
        <w:t>Mr. Durcan served as Vice President, Process Research and Development from June 1996 through June 1997, at which time he became Chief Technical Officer and Vice President of Research and Development. Mr. Durcan holds a BS and MChE in Chemical Engineering from Rice University.</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 xml:space="preserve">Robert J. Gove </w:t>
      </w:r>
      <w:r>
        <w:rPr>
          <w:rFonts w:ascii="Arial" w:cs="Arial" w:eastAsia="Arial" w:hAnsi="Arial"/>
          <w:sz w:val="16"/>
          <w:szCs w:val="16"/>
          <w:color w:val="auto"/>
        </w:rPr>
        <w:t>joined the Company in March 1999 as Senior Director of Engineering and has served in various positions with the Company. In March 2002,</w:t>
      </w:r>
      <w:r>
        <w:rPr>
          <w:rFonts w:ascii="Arial" w:cs="Arial" w:eastAsia="Arial" w:hAnsi="Arial"/>
          <w:sz w:val="16"/>
          <w:szCs w:val="16"/>
          <w:i w:val="1"/>
          <w:iCs w:val="1"/>
          <w:color w:val="auto"/>
        </w:rPr>
        <w:t xml:space="preserve"> </w:t>
      </w:r>
      <w:r>
        <w:rPr>
          <w:rFonts w:ascii="Arial" w:cs="Arial" w:eastAsia="Arial" w:hAnsi="Arial"/>
          <w:sz w:val="16"/>
          <w:szCs w:val="16"/>
          <w:color w:val="auto"/>
        </w:rPr>
        <w:t>he was appointed Vice President of Imaging. Prior to joining the Company, Mr. Gove served as Vice President, Engineering, of Equator Technologies, Inc.</w:t>
      </w:r>
    </w:p>
    <w:p>
      <w:pPr>
        <w:ind w:right="100"/>
        <w:spacing w:after="0" w:line="261" w:lineRule="auto"/>
        <w:rPr>
          <w:sz w:val="20"/>
          <w:szCs w:val="20"/>
          <w:color w:val="auto"/>
        </w:rPr>
      </w:pPr>
      <w:r>
        <w:rPr>
          <w:rFonts w:ascii="Arial" w:cs="Arial" w:eastAsia="Arial" w:hAnsi="Arial"/>
          <w:sz w:val="18"/>
          <w:szCs w:val="18"/>
          <w:color w:val="auto"/>
        </w:rPr>
        <w:t>Mr. Gove holds a BS in Electrical Engineering from the University of Washington and an MS in Electrical Engineering and Ph.D. in Electrical Engineering from Southern Methodist University.</w:t>
      </w:r>
    </w:p>
    <w:p>
      <w:pPr>
        <w:spacing w:after="0" w:line="19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Jay L. Hawkins </w:t>
      </w:r>
      <w:r>
        <w:rPr>
          <w:rFonts w:ascii="Arial" w:cs="Arial" w:eastAsia="Arial" w:hAnsi="Arial"/>
          <w:sz w:val="18"/>
          <w:szCs w:val="18"/>
          <w:color w:val="auto"/>
        </w:rPr>
        <w:t>joined the Company in March 1984 and has served in various manufacturing positions for the Company and its subsidiaries. Mr. Hawkins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Manufacturing Administration from February 1996 through June 1997, at which time he became Vice President of Operations. Mr. Hawkins holds a BBA in Marketing from Boise State University.</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Roderic W. Lewis </w:t>
      </w:r>
      <w:r>
        <w:rPr>
          <w:rFonts w:ascii="Arial" w:cs="Arial" w:eastAsia="Arial" w:hAnsi="Arial"/>
          <w:sz w:val="18"/>
          <w:szCs w:val="18"/>
          <w:color w:val="auto"/>
        </w:rPr>
        <w:t>joined the Company in August 1991 and has served in various capacities with the Company and its subsidiaries. Mr. Lewis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Legal Affairs, General Counsel and Corporate Secretary since July 1996. Mr. Lewis holds a BA in Economics and Asian Studies from Brigham Young University and a JD from Columbia University School of Law.</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Michael W. Sadler </w:t>
      </w:r>
      <w:r>
        <w:rPr>
          <w:rFonts w:ascii="Arial" w:cs="Arial" w:eastAsia="Arial" w:hAnsi="Arial"/>
          <w:sz w:val="18"/>
          <w:szCs w:val="18"/>
          <w:color w:val="auto"/>
        </w:rPr>
        <w:t>joined the Company in September 1992 as a Regional Sales Manager and has held various sales and marketing positions since that time.</w:t>
      </w:r>
      <w:r>
        <w:rPr>
          <w:rFonts w:ascii="Arial" w:cs="Arial" w:eastAsia="Arial" w:hAnsi="Arial"/>
          <w:sz w:val="18"/>
          <w:szCs w:val="18"/>
          <w:i w:val="1"/>
          <w:iCs w:val="1"/>
          <w:color w:val="auto"/>
        </w:rPr>
        <w:t xml:space="preserve"> </w:t>
      </w:r>
      <w:r>
        <w:rPr>
          <w:rFonts w:ascii="Arial" w:cs="Arial" w:eastAsia="Arial" w:hAnsi="Arial"/>
          <w:sz w:val="18"/>
          <w:szCs w:val="18"/>
          <w:color w:val="auto"/>
        </w:rPr>
        <w:t>Mr. Sadler first became an officer of the Company in July 1997 and has served as Vice President of Worldwide Sales since November 2001. Mr. Sadler holds a BS in Information Systems and an MBA from the University of Santa Clara.</w:t>
      </w:r>
    </w:p>
    <w:p>
      <w:pPr>
        <w:spacing w:after="0" w:line="194" w:lineRule="exact"/>
        <w:rPr>
          <w:sz w:val="20"/>
          <w:szCs w:val="20"/>
          <w:color w:val="auto"/>
        </w:rPr>
      </w:pPr>
    </w:p>
    <w:p>
      <w:pPr>
        <w:ind w:right="740" w:firstLine="351"/>
        <w:spacing w:after="0" w:line="259" w:lineRule="auto"/>
        <w:rPr>
          <w:sz w:val="20"/>
          <w:szCs w:val="20"/>
          <w:color w:val="auto"/>
        </w:rPr>
      </w:pPr>
      <w:r>
        <w:rPr>
          <w:rFonts w:ascii="Arial" w:cs="Arial" w:eastAsia="Arial" w:hAnsi="Arial"/>
          <w:sz w:val="18"/>
          <w:szCs w:val="18"/>
          <w:i w:val="1"/>
          <w:iCs w:val="1"/>
          <w:color w:val="auto"/>
        </w:rPr>
        <w:t xml:space="preserve">Wilbur G. Stover, Jr. </w:t>
      </w:r>
      <w:r>
        <w:rPr>
          <w:rFonts w:ascii="Arial" w:cs="Arial" w:eastAsia="Arial" w:hAnsi="Arial"/>
          <w:sz w:val="18"/>
          <w:szCs w:val="18"/>
          <w:color w:val="auto"/>
        </w:rPr>
        <w:t>joined the Company in June 1989 and has served in various financial positions with the Company and its subsidiaries.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1994, Mr. Stover has served as the Company's Vice President of Finance and Chief Financial Officer. Mr. Stover holds a BA in Business Administration from Washington State University.</w:t>
      </w:r>
    </w:p>
    <w:p>
      <w:pPr>
        <w:spacing w:after="0" w:line="194"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James W. Bagley </w:t>
      </w:r>
      <w:r>
        <w:rPr>
          <w:rFonts w:ascii="Arial" w:cs="Arial" w:eastAsia="Arial" w:hAnsi="Arial"/>
          <w:sz w:val="18"/>
          <w:szCs w:val="18"/>
          <w:color w:val="auto"/>
        </w:rPr>
        <w:t>became the Chairman and Chief Executive Officer of Lam Research Corporation ("Lam"), a supplier of semiconductor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in August 1997, upon consummation of a merger of OnTrak Systems, Inc. into Lam. Mr. Bagley is a member of the Board of Directors of Teradyne, Inc. He has served on the Company's Board of Directors since June 1997. Mr. Bagley holds a BS and MS in Electrical Engineering from Mississippi State University.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Robert A. Lothrop </w:t>
      </w:r>
      <w:r>
        <w:rPr>
          <w:rFonts w:ascii="Arial" w:cs="Arial" w:eastAsia="Arial" w:hAnsi="Arial"/>
          <w:sz w:val="16"/>
          <w:szCs w:val="16"/>
          <w:color w:val="auto"/>
        </w:rPr>
        <w:t>served as Senior Vice President of J.R. Simplot Company, an agribusiness company, from January 1986 until his retirement in</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January 1991. From August 1986 until July 1992 and since May 1994, Mr. Lothrop has served on the Board of Directors of the Company. Mr. Lothrop holds a BS in Engineering from the University of Idaho.</w:t>
      </w:r>
    </w:p>
    <w:p>
      <w:pPr>
        <w:spacing w:after="0" w:line="1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Thomas T. Nicholson </w:t>
      </w:r>
      <w:r>
        <w:rPr>
          <w:rFonts w:ascii="Arial" w:cs="Arial" w:eastAsia="Arial" w:hAnsi="Arial"/>
          <w:sz w:val="18"/>
          <w:szCs w:val="18"/>
          <w:color w:val="auto"/>
        </w:rPr>
        <w:t>has served as Vice President and a Director of Honda of Seattle and Toyota of Seattle since 1988. Mr. Nicholson served from 1982 to</w:t>
      </w:r>
      <w:r>
        <w:rPr>
          <w:rFonts w:ascii="Arial" w:cs="Arial" w:eastAsia="Arial" w:hAnsi="Arial"/>
          <w:sz w:val="18"/>
          <w:szCs w:val="18"/>
          <w:i w:val="1"/>
          <w:iCs w:val="1"/>
          <w:color w:val="auto"/>
        </w:rPr>
        <w:t xml:space="preserve"> </w:t>
      </w:r>
      <w:r>
        <w:rPr>
          <w:rFonts w:ascii="Arial" w:cs="Arial" w:eastAsia="Arial" w:hAnsi="Arial"/>
          <w:sz w:val="18"/>
          <w:szCs w:val="18"/>
          <w:color w:val="auto"/>
        </w:rPr>
        <w:t>May 2000 as President, and since May 2000 as Vice President, of Mountain View Equipment Company. He has served on the Company's Board of Directors since May 1980. Mr. Nicholson holds a BS in Agriculture from the University of Idaho.</w:t>
      </w:r>
    </w:p>
    <w:p>
      <w:pPr>
        <w:spacing w:after="0" w:line="19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Gordon C. Smith </w:t>
      </w:r>
      <w:r>
        <w:rPr>
          <w:rFonts w:ascii="Arial" w:cs="Arial" w:eastAsia="Arial" w:hAnsi="Arial"/>
          <w:sz w:val="16"/>
          <w:szCs w:val="16"/>
          <w:color w:val="auto"/>
        </w:rPr>
        <w:t>has served as Chairman and Chief Executive Officer of G.C. Smith L.L.C., a holding company for ranch operations and other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May 2000. Mr. Smith served in various management positions from July 1980 until May 1988 for the J.R. Simplot Company. From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May 1988 until his retirement in March 1994, Mr. Smith served as the President and Chief Executive Officer of J.R. Simplot Company. Prior to becoming Chief Executive Officer of J.R. Simplot Company, Mr. Smith served as its Chief Financial Officer for seven years. From September 1996 until September 1999, he served as President of Wesmar, Inc., a food service company. From February 1982 until February 1984 and since September 1990, he has served on the Company's Board of Directors. Mr. Smith holds a BS in Accounting from Idaho State University.</w:t>
      </w:r>
    </w:p>
    <w:p>
      <w:pPr>
        <w:spacing w:after="0" w:line="16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William P. Weber </w:t>
      </w:r>
      <w:r>
        <w:rPr>
          <w:rFonts w:ascii="Arial" w:cs="Arial" w:eastAsia="Arial" w:hAnsi="Arial"/>
          <w:sz w:val="16"/>
          <w:szCs w:val="16"/>
          <w:color w:val="auto"/>
        </w:rPr>
        <w:t>served in various capacities with Texas Instruments Incorporated, a semiconductor manufacturing company, and its subsidiaries from 1962</w:t>
      </w:r>
      <w:r>
        <w:rPr>
          <w:rFonts w:ascii="Arial" w:cs="Arial" w:eastAsia="Arial" w:hAnsi="Arial"/>
          <w:sz w:val="16"/>
          <w:szCs w:val="16"/>
          <w:i w:val="1"/>
          <w:iCs w:val="1"/>
          <w:color w:val="auto"/>
        </w:rPr>
        <w:t xml:space="preserve"> </w:t>
      </w:r>
      <w:r>
        <w:rPr>
          <w:rFonts w:ascii="Arial" w:cs="Arial" w:eastAsia="Arial" w:hAnsi="Arial"/>
          <w:sz w:val="16"/>
          <w:szCs w:val="16"/>
          <w:color w:val="auto"/>
        </w:rPr>
        <w:t>until April 1998. From December 1986 until December 1993 he served as the President of Texas Instruments' worldwide semiconductor operations and from December 1993 until his retirement in April 1998, he served as Vice Chairman of Texas Instruments Incorporated. He has served on the Company's Board of Directors since July 1998. Mr. Weber holds a BS in Engineering from Lamar University and a MS in Engineering from Southern Methodist University.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Company's corporate headquarters and principal semiconductor manufacturing, engineering, research and development, administrative and support facilities are located in Boise, Idaho.</w:t>
      </w:r>
    </w:p>
    <w:p>
      <w:pPr>
        <w:sectPr>
          <w:pgSz w:w="11900" w:h="16892" w:orient="portrait"/>
          <w:cols w:equalWidth="0" w:num="1">
            <w:col w:w="11420"/>
          </w:cols>
          <w:pgMar w:left="240" w:top="131" w:right="239" w:bottom="0" w:gutter="0" w:footer="0" w:header="0"/>
        </w:sectPr>
      </w:pPr>
    </w:p>
    <w:bookmarkStart w:id="6" w:name="page7"/>
    <w:bookmarkEnd w:id="6"/>
    <w:p>
      <w:pPr>
        <w:ind w:right="260" w:firstLine="348"/>
        <w:spacing w:after="0" w:line="256" w:lineRule="auto"/>
        <w:rPr>
          <w:sz w:val="20"/>
          <w:szCs w:val="20"/>
          <w:color w:val="auto"/>
        </w:rPr>
      </w:pPr>
      <w:r>
        <w:rPr>
          <w:rFonts w:ascii="Arial" w:cs="Arial" w:eastAsia="Arial" w:hAnsi="Arial"/>
          <w:sz w:val="18"/>
          <w:szCs w:val="18"/>
          <w:color w:val="auto"/>
        </w:rPr>
        <w:t>The Company has a number of other properties including wafer fabrication facilities located in Avezzano, Italy, Nishiwaki-City, Japan, and Manassas, Virginia; an assembly and test facility located on leased property in Singapore; a test facility located in Nampa, Idaho; and module assembly and test facilities located in East Kilbride, Scotland and leased in Aguadilla, Puerto Rico. The Company has a semiconductor manufacturing facility located in Lehi, Utah, being used to perform test operations.</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also owns and leases a number of smaller facilities in locations throughout the world that are used for design, research and development, and sales and marketing activities.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31"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On August 28, 2000, the Company filed a declaratory judgment action against Rambus, Inc. ("Rambus") in U.S. District Court for the District of Delaware. On February 1, 2001, the Company amended its complaint. Pursuant to its amended complaint, the Company is seeking: (1) relief under the federal antitrust laws for violations by Rambus of Section 2 of the Sherman Act; (2) a declaratory judgment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because of its conduct in the Joint Electron Device Engineering Council, a standard-setting organization; and (3) damages and declaratory relief for Rambus' breach of contract, fraud, deceptive trade practices, negligent misrepresentation, and conduct requiring the application of equitable estoppel. On February 15, 2001, Rambus filed an answer and counterclaim against the Company in Delaware denying the Company is entitled to relief, alleging infringement of the eight Rambus patents named in the Company's declaratory judgment claim, and seeking monetary damages and injunctive relief. A number of other suits between Rambus and the Company have been filed in Europe. On September 1, 2000, Rambus filed suit against Micron Semiconductor (Deutschland)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products) in Court of First Instance of Paris, France, alleging that certain SDRAM and DDR SDRAM products infringe the French counterpart to European patent 525 068.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products infringe the Italian counterpart to European patent 525 068, and seeking the seizure of certain materials and the entry of a preliminary injunction as to products manufactured at the Company's Avezzano, Italy, site. On December 21, 2000, an appeals panel of the Court of Monza held that the Monza trial court had no jurisdiction to adjudicate the seizure matter. The Monza trial court order that technical review proceedings continue with respect to the issue of preliminary injunction. On May 24, 2001, the trial court rejected Rambus' assertions of infringement and denied its request for a preliminary injunction. Rambus' appeal from the trial judge's ruling was rejected by the Monza appeals panel on July 18, 2001.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In its various European suits against the Company, Rambus is seeking monetary damages and injunctive relief. The Company is unable to predict the outcome of these suits.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0"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monetary damages, costs, attorneys' fees, and an injunction against the allegedly unlawful conduct. The foregoing federal district court cases have been transferred to the U.S. District Court for the Northern District of California (San Francisco) for coordinated or consolidated pretrial proceedings. Eight additional cases were filed between August 2, 2002, and March 11, 2003, in the following California state superior courts: five in San Francisco County, one in Santa Clara County, one in Los Angeles County and one in Humbolt County. Each of the California 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have been transferred to San Francisco County Superior Court for coordinated or consolidated pretrial proceedings.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Company can give no assurance that the final resolution will not result in significant liability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and will not have a material adverse effect on the Company's business, results of operations or financial condition.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7. Management's Discussion and Analysis of Financial Condition and Results of Operations—Certain Factors.")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i w:val="1"/>
          <w:iCs w:val="1"/>
          <w:color w:val="auto"/>
        </w:rPr>
        <w:t>Submission of Matters to a Vote of Security Holders</w:t>
      </w:r>
    </w:p>
    <w:p>
      <w:pPr>
        <w:sectPr>
          <w:pgSz w:w="11900" w:h="16838" w:orient="portrait"/>
          <w:cols w:equalWidth="0" w:num="1">
            <w:col w:w="11420"/>
          </w:cols>
          <w:pgMar w:left="240" w:top="131" w:right="239" w:bottom="0" w:gutter="0" w:footer="0" w:header="0"/>
          <w:type w:val="continuous"/>
        </w:sectPr>
      </w:pPr>
    </w:p>
    <w:bookmarkStart w:id="7" w:name="page8"/>
    <w:bookmarkEnd w:id="7"/>
    <w:p>
      <w:pPr>
        <w:ind w:left="360"/>
        <w:spacing w:after="0"/>
        <w:rPr>
          <w:sz w:val="20"/>
          <w:szCs w:val="20"/>
          <w:color w:val="auto"/>
        </w:rPr>
      </w:pPr>
      <w:r>
        <w:rPr>
          <w:rFonts w:ascii="Arial" w:cs="Arial" w:eastAsia="Arial" w:hAnsi="Arial"/>
          <w:sz w:val="18"/>
          <w:szCs w:val="18"/>
          <w:color w:val="auto"/>
        </w:rPr>
        <w:t>There were no matters submitted to a vote of security holders during the fourth quarter of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and Related Stockholder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Common Stock</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Company's common stock is listed on the New York Stock Exchange and is traded under the symbol "MU." The following table represents the high and low closing sales prices for the Company's common stock for each quarter of the Company's fiscal years 2003 and 2002, as reported by Bloomberg L.P.</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4th quarter</w:t>
            </w:r>
          </w:p>
        </w:tc>
        <w:tc>
          <w:tcPr>
            <w:tcW w:w="3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3rd quarter</w:t>
            </w:r>
          </w:p>
        </w:tc>
        <w:tc>
          <w:tcPr>
            <w:tcW w:w="2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2nd quarter</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1st quarter</w:t>
            </w:r>
          </w:p>
        </w:tc>
        <w:tc>
          <w:tcPr>
            <w:tcW w:w="2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2002:</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4th quarter</w:t>
            </w:r>
          </w:p>
        </w:tc>
        <w:tc>
          <w:tcPr>
            <w:tcW w:w="3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3rd quarter</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2nd quarter</w:t>
            </w:r>
          </w:p>
        </w:tc>
        <w:tc>
          <w:tcPr>
            <w:tcW w:w="2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1st quarter</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-1577340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-1577340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-1577340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-1577340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3, 2003, there were 3,978 shareholders of record of the Company's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has not declared or paid cash dividends since 1996 and does not intend to pay cash dividends on its common stock for the foreseeable future.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required by this item is incorporated by reference to the information set forth in Item 12 of this Annual Report on Form 10-K.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8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2"/>
              </w:rPr>
              <w:t>(amounts in millions except per share amounts)</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6,362.4</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(110.6)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(1,273.2)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(907.0)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(521.2)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from discontinued PC Operations, net of taxes and minority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(1,273.2)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(907.0)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(625.0)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(0.88)</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1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w:t>
            </w: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w:t>
            </w: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7,555.4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9,391.9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-3125470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-3125470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-3125470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-3125470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-3125470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-3125470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-3125470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-3125470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-3125470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-3125470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On August 6, 2001, Micron Electronics, Inc. ("MEI") completed its merger with Interland, Inc., in a stock-for-stock acquisition (the "Interland Merger"). Upon completion of the Interland Merger, MEI changed its name to Interland, Inc. ("Interland") and the Company's ownership interest was reduced from 61% to</w:t>
      </w:r>
    </w:p>
    <w:p>
      <w:pPr>
        <w:sectPr>
          <w:pgSz w:w="11900" w:h="16838" w:orient="portrait"/>
          <w:cols w:equalWidth="0" w:num="1">
            <w:col w:w="11420"/>
          </w:cols>
          <w:pgMar w:left="240" w:top="131" w:right="239" w:bottom="0" w:gutter="0" w:footer="0" w:header="0"/>
        </w:sectPr>
      </w:pPr>
    </w:p>
    <w:bookmarkStart w:id="8" w:name="page9"/>
    <w:bookmarkEnd w:id="8"/>
    <w:p>
      <w:pPr>
        <w:ind w:right="760"/>
        <w:spacing w:after="0" w:line="268" w:lineRule="auto"/>
        <w:rPr>
          <w:sz w:val="20"/>
          <w:szCs w:val="20"/>
          <w:color w:val="auto"/>
        </w:rPr>
      </w:pPr>
      <w:r>
        <w:rPr>
          <w:rFonts w:ascii="Arial" w:cs="Arial" w:eastAsia="Arial" w:hAnsi="Arial"/>
          <w:sz w:val="18"/>
          <w:szCs w:val="18"/>
          <w:color w:val="auto"/>
        </w:rPr>
        <w:t>43% of Interland's outstanding common stock. On August 30, 2001, the Company contributed all of its shares of Interland common stock to the Micron Technology Foundation.</w:t>
      </w:r>
    </w:p>
    <w:p>
      <w:pPr>
        <w:spacing w:after="0" w:line="186"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On May 31, 2001, MEI, then a 61% owned subsidiary of the Company, completed the disposition of its PC business. The selected financial data above presents the net effect of discontinued PC Operations separate from the results of the Company's continuing operations.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 share amounts reflect a two-for-one stock dividend on May 1, 2000.</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See "Item 7. Management's Discussion and Analysis of Financial Condition and Results of Operations—Certain Factors" and "Item 8. Financial Statements and Supplementary Data—Notes to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"Gross Margin" regarding manufacturing cost reductions in future periods, the estimated amount of write-down remaining in inventory at the end of the first quarter of 2004 and relative gross margins on TECH products in the first quarter of 2004; in "Research and Development" regarding expenses related to, and initial product qualifications of, the Company's 300 mm production line; in "Restructure and Other Charges" regarding the effect of the restructure and the estimated cost savings in future periods; "Income Taxes" regarding taxes from the Company foreign operations and in "Liquidity and Capital Resources" regarding achievement of certain milestones associated with the Intel investment and regarding capital spending in 2004.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All per share amounts are presented on a diluted basis. All tabular dollar amounts are in millions.</w:t>
      </w:r>
    </w:p>
    <w:p>
      <w:pPr>
        <w:spacing w:after="0" w:line="17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The Company's fiscal year is the 52 or 53-week period ending on the Thursday closest to August 31. Fiscal years 2003, 2002 and 2001 each contained 52 weeks and ended on August 28, 2003, August 29, 2002, and August 30, 2001, respectively. The Company's fiscal 2004, which ends on September 2, 2004, contains 53 weeks and the first quarter of fiscal 2004, which ends on December 4, 2003, contains 14 weeks. All period references are to the Company's fiscal periods unless otherwise indicated.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preparation of financial statements and related disclosures in conformity with U.S. generally accepted accounting principles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68" w:lineRule="exact"/>
        <w:rPr>
          <w:sz w:val="20"/>
          <w:szCs w:val="20"/>
          <w:color w:val="auto"/>
        </w:rPr>
      </w:pPr>
    </w:p>
    <w:p>
      <w:pPr>
        <w:ind w:right="240" w:firstLine="351"/>
        <w:spacing w:after="0" w:line="258"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various loss contingencies. Considerable judgment is necessary to estimate the probability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9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Realizability of deferred tax assets is dependent on the Company's ability to generate future taxable income.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 For example, a 5% variance in the estimated selling prices would have changed the estimated fair value of the Company's inventory by approximately $35 million at the end of the fourth quarter of 2003.</w:t>
      </w:r>
    </w:p>
    <w:p>
      <w:pPr>
        <w:spacing w:after="0" w:line="175"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A majority of the Company's inventory has been categorized as volatile (primarily DRAM) or non-volatile (Flash). The major characteristics the Company considers in determining inventory categories are product type and markets.</w:t>
      </w:r>
    </w:p>
    <w:p>
      <w:pPr>
        <w:spacing w:after="0" w:line="155" w:lineRule="exact"/>
        <w:rPr>
          <w:sz w:val="20"/>
          <w:szCs w:val="20"/>
          <w:color w:val="auto"/>
        </w:rPr>
      </w:pPr>
    </w:p>
    <w:p>
      <w:pPr>
        <w:jc w:val="center"/>
        <w:ind w:right="140"/>
        <w:spacing w:after="0" w:line="378" w:lineRule="auto"/>
        <w:rPr>
          <w:sz w:val="20"/>
          <w:szCs w:val="20"/>
          <w:color w:val="auto"/>
        </w:rPr>
      </w:pPr>
      <w:r>
        <w:rPr>
          <w:rFonts w:ascii="Arial" w:cs="Arial" w:eastAsia="Arial" w:hAnsi="Arial"/>
          <w:sz w:val="15"/>
          <w:szCs w:val="15"/>
          <w:b w:val="1"/>
          <w:bCs w:val="1"/>
          <w:color w:val="auto"/>
        </w:rPr>
        <w:t xml:space="preserve">Product and process technology:  </w:t>
      </w:r>
      <w:r>
        <w:rPr>
          <w:rFonts w:ascii="Arial" w:cs="Arial" w:eastAsia="Arial" w:hAnsi="Arial"/>
          <w:sz w:val="15"/>
          <w:szCs w:val="15"/>
          <w:color w:val="auto"/>
        </w:rPr>
        <w:t>Costs incurred to acquire product and process technology or to patent technology developed by the Company are</w:t>
      </w:r>
      <w:r>
        <w:rPr>
          <w:rFonts w:ascii="Arial" w:cs="Arial" w:eastAsia="Arial" w:hAnsi="Arial"/>
          <w:sz w:val="15"/>
          <w:szCs w:val="15"/>
          <w:b w:val="1"/>
          <w:bCs w:val="1"/>
          <w:color w:val="auto"/>
        </w:rPr>
        <w:t xml:space="preserve"> </w:t>
      </w:r>
      <w:r>
        <w:rPr>
          <w:rFonts w:ascii="Arial" w:cs="Arial" w:eastAsia="Arial" w:hAnsi="Arial"/>
          <w:sz w:val="15"/>
          <w:szCs w:val="15"/>
          <w:color w:val="auto"/>
        </w:rPr>
        <w:t>capitalized and amortized on a straight-line basis over periods currently ranging up to 10 years. The Company capitalizes a portion of costs incurred based on its</w:t>
      </w:r>
    </w:p>
    <w:p>
      <w:pPr>
        <w:sectPr>
          <w:pgSz w:w="11900" w:h="16838" w:orient="portrait"/>
          <w:cols w:equalWidth="0" w:num="1">
            <w:col w:w="11420"/>
          </w:cols>
          <w:pgMar w:left="240" w:top="131" w:right="239" w:bottom="0" w:gutter="0" w:footer="0" w:header="0"/>
        </w:sectPr>
      </w:pPr>
    </w:p>
    <w:bookmarkStart w:id="9" w:name="page10"/>
    <w:bookmarkEnd w:id="9"/>
    <w:p>
      <w:pPr>
        <w:spacing w:after="0" w:line="5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8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The Company reviews for impairment the carrying value of property, plant and equipment when events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67"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when incurred. Determining when product development is complete requires judgment by the Company. The Company deems development of a product complete once the product has been thoroughly reviewed and tested for performance and reliability and is internally qualified for sale to customers. Subsequent to product qualification, product costs are valued in inventory.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left="5760"/>
        <w:spacing w:after="0"/>
        <w:tabs>
          <w:tab w:leader="none" w:pos="7940" w:val="left"/>
          <w:tab w:leader="none" w:pos="1010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1"/>
          <w:szCs w:val="11"/>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66675</wp:posOffset>
            </wp:positionV>
            <wp:extent cx="399161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91610" cy="21590"/>
                    </a:xfrm>
                    <a:prstGeom prst="rect">
                      <a:avLst/>
                    </a:prstGeom>
                    <a:noFill/>
                  </pic:spPr>
                </pic:pic>
              </a:graphicData>
            </a:graphic>
          </wp:anchor>
        </w:drawing>
      </w:r>
    </w:p>
    <w:p>
      <w:pPr>
        <w:spacing w:after="0" w:line="211"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(amounts in millions and as a percent of net 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3,091.3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2,589.0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3,935.9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Gross margin</w:t>
            </w:r>
          </w:p>
        </w:tc>
        <w:tc>
          <w:tcPr>
            <w:tcW w:w="154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(110.6)</w:t>
            </w: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110.7</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524.1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656.4</w:t>
            </w: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561.3</w:t>
            </w: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36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489.5</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Restructure and other charges</w:t>
            </w:r>
          </w:p>
        </w:tc>
        <w:tc>
          <w:tcPr>
            <w:tcW w:w="1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116.3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Operating loss</w:t>
            </w:r>
          </w:p>
        </w:tc>
        <w:tc>
          <w:tcPr>
            <w:tcW w:w="154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(1,186.5)</w:t>
            </w:r>
          </w:p>
        </w:tc>
        <w:tc>
          <w:tcPr>
            <w:tcW w:w="800" w:type="dxa"/>
            <w:vAlign w:val="bottom"/>
          </w:tcPr>
          <w:p>
            <w:pPr>
              <w:jc w:val="right"/>
              <w:spacing w:after="0"/>
              <w:rPr>
                <w:sz w:val="20"/>
                <w:szCs w:val="20"/>
                <w:color w:val="auto"/>
              </w:rPr>
            </w:pPr>
            <w:r>
              <w:rPr>
                <w:rFonts w:ascii="Arial" w:cs="Arial" w:eastAsia="Arial" w:hAnsi="Arial"/>
                <w:sz w:val="18"/>
                <w:szCs w:val="18"/>
                <w:color w:val="auto"/>
              </w:rPr>
              <w:t>(38.4)%</w:t>
            </w:r>
          </w:p>
        </w:tc>
        <w:tc>
          <w:tcPr>
            <w:tcW w:w="34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(1,025.3)</w:t>
            </w:r>
          </w:p>
        </w:tc>
        <w:tc>
          <w:tcPr>
            <w:tcW w:w="780" w:type="dxa"/>
            <w:vAlign w:val="bottom"/>
          </w:tcPr>
          <w:p>
            <w:pPr>
              <w:jc w:val="right"/>
              <w:spacing w:after="0"/>
              <w:rPr>
                <w:sz w:val="20"/>
                <w:szCs w:val="20"/>
                <w:color w:val="auto"/>
              </w:rPr>
            </w:pPr>
            <w:r>
              <w:rPr>
                <w:rFonts w:ascii="Arial" w:cs="Arial" w:eastAsia="Arial" w:hAnsi="Arial"/>
                <w:sz w:val="18"/>
                <w:szCs w:val="18"/>
                <w:color w:val="auto"/>
              </w:rPr>
              <w:t>(39.6)%</w:t>
            </w:r>
          </w:p>
        </w:tc>
        <w:tc>
          <w:tcPr>
            <w:tcW w:w="36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(976.5)</w:t>
            </w: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r>
    </w:tbl>
    <w:p>
      <w:pPr>
        <w:spacing w:after="0" w:line="20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operating results in recent periods have been significantly affected by the timing of inventory write-downs and restructure charges. In the second quarter of 2003, the Company announced a series of cost-reduction initiatives including the shutdown of its 200 mm wafer fabrication line in Virginia, the discontinuance of certain product lines, including SRAM and TCAM products, and an approximate 10% reduction in its worldwide workforce. In connection with its restructure plan, the Company's results of operations for 2003 include restructure and related charges of $116.3 million. (See "Restructure and Other Charges" and "Item 8. Financial Statements and Supplementary Data—Notes to Consolidated Financial Statements—Restructure and Other Charges.")</w:t>
      </w:r>
    </w:p>
    <w:p>
      <w:pPr>
        <w:spacing w:after="0" w:line="170"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The following table summarizes the Company's operating losses absent the inventory write-downs and the estimated aggregate effects of previous write-downs and restructure charges. These adjusted amounts have not been prepared in accordance with generally accepted accounting principles, however the Company believes this information may be useful in assessing the effects of inventory write-downs and the restructure and related charges on the Company's operating loss and analyzing the Company's operating loss trends.</w:t>
      </w:r>
    </w:p>
    <w:p>
      <w:pPr>
        <w:spacing w:after="0" w:line="193" w:lineRule="exact"/>
        <w:rPr>
          <w:sz w:val="20"/>
          <w:szCs w:val="20"/>
          <w:color w:val="auto"/>
        </w:rPr>
      </w:pPr>
    </w:p>
    <w:tbl>
      <w:tblPr>
        <w:tblLayout w:type="fixed"/>
        <w:tblInd w:w="11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(1,186.5)</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(1,025.3)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Period-end inventory write-down</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Estimated net effect of previous write-downs</w:t>
            </w: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(179.1)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Restructure and related charges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As adjusted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(1,245.1)</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(1,349.5)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-1249045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-1249045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-1249045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-1249045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-1249045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-1249045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-340360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-340360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-340360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-340360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-340360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-340360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The Company acquired substantially all of the assets of Toshiba Corporation's ("Toshiba") DRAM business as conducted by Dominion Semiconductor L.L.C. in Virginia on April 22, 2002. The Company's results of operations include results from these acquired operations after the acquisition date. The total purchase price of $327.9 million included cash and 1.5 million shares of the Company's common stock. The Company granted Toshiba an option to require the Company to repurchase on October 21, 2003, all of these shares for $67.5 million cash. Toshiba has exercised the option and the Company will redeem these shares in the first quarter of 2004. (See "Item 8. Financial Statements—Notes to Consolidated Financial Statements—Redeemable Common Stock, and Acquisition of Toshiba Corporation DRAM Assets.")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Net sales for 2003 increased by 19% as compared to 2002, primarily due to a 44% increase in megabits of memory sold. This increase was partially offset by a 17% decrease in average selling prices in 2003 as compared to 2002 for the Company's semiconductor memory products following a 53% decrease in average selling prices in 2002 as compared to 2001. The average selling price for the Company's primary product, the 256 Meg DDR, decreased approximately 30% comparing the fourth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quarter of 2003 to the fourth quarter of 2002. DDR products constituted 61% of the Company's megabits sold in 2003. Megabits produced increased 43% in 2003 compared to 2002 principally due to completion of the Company's process technology migration to 130 nanometer ("nm") and continuing transition to 110 nm geometries and improved manufacturing yields. Megabits sold in 2003 slightly outpaced production resulting in lower levels of finished goods inventories at the</w:t>
      </w:r>
    </w:p>
    <w:p>
      <w:pPr>
        <w:sectPr>
          <w:pgSz w:w="11900" w:h="16896" w:orient="portrait"/>
          <w:cols w:equalWidth="0" w:num="1">
            <w:col w:w="11420"/>
          </w:cols>
          <w:pgMar w:left="240" w:top="131" w:right="239" w:bottom="0" w:gutter="0" w:footer="0" w:header="0"/>
        </w:sectPr>
      </w:pPr>
    </w:p>
    <w:bookmarkStart w:id="10" w:name="page11"/>
    <w:bookmarkEnd w:id="10"/>
    <w:p>
      <w:pPr>
        <w:ind w:right="480"/>
        <w:spacing w:after="0" w:line="268" w:lineRule="auto"/>
        <w:rPr>
          <w:sz w:val="20"/>
          <w:szCs w:val="20"/>
          <w:color w:val="auto"/>
        </w:rPr>
      </w:pPr>
      <w:r>
        <w:rPr>
          <w:rFonts w:ascii="Arial" w:cs="Arial" w:eastAsia="Arial" w:hAnsi="Arial"/>
          <w:sz w:val="18"/>
          <w:szCs w:val="18"/>
          <w:color w:val="auto"/>
        </w:rPr>
        <w:t>end of 2003 as compared to the end of 2002. Average selling prices for the fourth quarter of 2003 increased by approximately 15% as compared to the third quarter of 2003.</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Net sales for 2002 decreased by 34% as compared to 2001, primarily due to the 53% decline in average selling prices for the Company's semiconductor products. Megabits sold increased by approximately 45% in 2002 as compared to 2001.</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Company's gross margin has been significantly affected by the timing of inventory write-downs. In recent periods, average selling prices for the Company's semiconductor products have been below costs, and accordingly, the Company's results of operations, cash flows and financial condition have been adversely affected. If the estimated market values of products held in finished goods and work in process inventories at a quarter end date are below the Company's manufacturing cost of these products, the Company recognizes a charge to cost of goods sold to write down the carrying value of inventories to their estimated market values. In recent years, the Company recorded charges to cost of goods sold to write down the carrying value of its inventories to their estimated market values. As these charges are recorded in advance of when inventory subject to the write-down is sold, gross margins in the period of sale are higher than they would be absent the effect of the previous write-downs.</w:t>
      </w:r>
    </w:p>
    <w:p>
      <w:pPr>
        <w:spacing w:after="0" w:line="172"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table sets forth adjusted gross margins absent the inventory write-downs and the estimated net effect of previous write-downs. These adjusted amounts have not been prepared in accordance with generally accepted accounting principles, however the Company believes this information may be useful in assessing the effects of inventory write-downs on the Company's gross margin and analyzing the Company's gross margin trends.</w:t>
      </w:r>
    </w:p>
    <w:p>
      <w:pPr>
        <w:spacing w:after="0" w:line="156" w:lineRule="exact"/>
        <w:rPr>
          <w:sz w:val="20"/>
          <w:szCs w:val="20"/>
          <w:color w:val="auto"/>
        </w:rPr>
      </w:pPr>
    </w:p>
    <w:p>
      <w:pPr>
        <w:ind w:left="6180"/>
        <w:spacing w:after="0"/>
        <w:tabs>
          <w:tab w:leader="none" w:pos="8240" w:val="left"/>
          <w:tab w:leader="none" w:pos="1026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2"/>
          <w:szCs w:val="12"/>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66675</wp:posOffset>
            </wp:positionV>
            <wp:extent cx="362331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11"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(amounts in millions and as a percent of net 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As reported</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(110.6)</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110.7</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Period-end inventory write down</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Estimated net effect of previous write-downs</w:t>
            </w:r>
          </w:p>
        </w:tc>
        <w:tc>
          <w:tcPr>
            <w:tcW w:w="3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(179.1)</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(497.8)</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98.8</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As adjusted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(195.6)</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(434.8)</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-323215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-323215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-323215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Company's reported gross margin for 2003 improved as compared to 2002, primarily due to a decrease in per megabit manufacturing costs, partially offset by the 17% decrease in average selling prices for the Company's semiconductor products and the net effects of current and previous period inventory write-downs. The Company was able to significantly reduce per megabit manufacturing costs in 2003 through improvements in manufacturing efficiencies. During 2003, the Company completed its migration to 130 nm process technology and continued to transition to 110 nm technology. The Company expects to achieve further manufacturing cost reductions over the next several quarters in connection with the continued transition to 110 nm devices. The Company's gross margin for the fourth quarter of 2003 of $169.5 million benefited from the approximate 15% increase in average selling prices as compared to the third quarter of 2003. In the fourth quarter of 2003, the Company recognized a write-down of $4.2 million to record work in process and finished goods inventories, consisting primarily of Flash products, at their estimated market values.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0" w:firstLine="348"/>
        <w:spacing w:after="0" w:line="370" w:lineRule="auto"/>
        <w:rPr>
          <w:sz w:val="20"/>
          <w:szCs w:val="20"/>
          <w:color w:val="auto"/>
        </w:rPr>
      </w:pPr>
      <w:r>
        <w:rPr>
          <w:rFonts w:ascii="Arial" w:cs="Arial" w:eastAsia="Arial" w:hAnsi="Arial"/>
          <w:sz w:val="15"/>
          <w:szCs w:val="15"/>
          <w:color w:val="auto"/>
        </w:rPr>
        <w:t>The Company's reported gross margin for 2002 decreased as compared to 2001, primarily due to the 53% decrease in average selling prices per megabit of memory, partially offset by the effects of inventory write-downs and reductions in per megabit manufacturing costs for the Company's semiconductor products.</w:t>
      </w:r>
    </w:p>
    <w:p>
      <w:pPr>
        <w:spacing w:after="0" w:line="116" w:lineRule="exact"/>
        <w:rPr>
          <w:sz w:val="20"/>
          <w:szCs w:val="20"/>
          <w:color w:val="auto"/>
        </w:rPr>
      </w:pPr>
    </w:p>
    <w:p>
      <w:pPr>
        <w:jc w:val="center"/>
        <w:ind w:right="200"/>
        <w:spacing w:after="0" w:line="332" w:lineRule="auto"/>
        <w:rPr>
          <w:sz w:val="20"/>
          <w:szCs w:val="20"/>
          <w:color w:val="auto"/>
        </w:rPr>
      </w:pPr>
      <w:r>
        <w:rPr>
          <w:rFonts w:ascii="Arial" w:cs="Arial" w:eastAsia="Arial" w:hAnsi="Arial"/>
          <w:sz w:val="16"/>
          <w:szCs w:val="16"/>
          <w:color w:val="auto"/>
        </w:rPr>
        <w:t>Of the cumulative inventory write-downs recognized, the Company estimates that approximately $65 million is associated with product remaining in inventory as of August 28, 2003. The Company estimates that approximately half of this amount will remain in inventory at the end of the first quarter of 2004.</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Subject to specific terms and conditions, the Company has agreed to purchase all of the products manufactured by its joint venture memory manufacturing operation, TECH Semiconductor Singapore Pte. Ltd. ("TECH"). TECH supplied approximately 30%, 20% and 25% of the total megabits of memory produced by the Company in 2003, 2002 and 2001, respectively. The Company generally purchases semiconductor memory products from TECH at prices determined quarterly, based on a discount from average selling price realized by the Company for the immediately preceding quarter. The Company performs assembly and test services on product manufactured by TECH. The Company also provides certain technology, engineering and training support to TECH. All of these transactions with TECH are recognized as part of the net cost of products purchased from TECH.</w:t>
      </w:r>
    </w:p>
    <w:p>
      <w:pPr>
        <w:spacing w:after="0" w:line="17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Depending on market conditions, the gross margin from the sale of TECH products may be higher or lower than the gross margin from the sale of products manufactured by the Company's wholly-owned facilities. The Company realized significantly higher gross margin percentages on sales of TECH products than for products manufactured by its wholly-owned facilities in 2003 and 2002 and lower gross margins on sales of TECH products for 2001. The Company expects gross margins on sales of TECH products in the first quarter of 2004 to be higher than gross margins realized on products manufactured by the Company's wholly-owned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Selling, general and administrative ("SG&amp;A") expenses increased in 2003 as compared to 2002, primarily due to costs associated with outstanding legal matters. SG&amp;A decreased in 2002 as compared to 2001. SG&amp;A for 2001 included a contribution charge of $94.1 million for the market value of the Company's equity interest in Interland, which was contributed to the Micron Technology Foundation, and $62.6 million from the Company's Web-hosting Operations, which were disposed of in August 2001. In addition, technical and professional fees associated with the implementation of the Company's business software and legal costs were lower in 2002 as compared to 2001. (See "Item 8. Financial Statements and Supplementary Data—Notes to Consolidated Financial Statements— Contingencies.")</w:t>
      </w:r>
    </w:p>
    <w:p>
      <w:pPr>
        <w:sectPr>
          <w:pgSz w:w="11900" w:h="16838" w:orient="portrait"/>
          <w:cols w:equalWidth="0" w:num="1">
            <w:col w:w="11420"/>
          </w:cols>
          <w:pgMar w:left="240" w:top="131" w:right="239" w:bottom="34" w:gutter="0" w:footer="0" w:header="0"/>
        </w:sectPr>
      </w:pP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Research and Development</w:t>
      </w:r>
    </w:p>
    <w:p>
      <w:pPr>
        <w:sectPr>
          <w:pgSz w:w="11900" w:h="16838" w:orient="portrait"/>
          <w:cols w:equalWidth="0" w:num="1">
            <w:col w:w="11420"/>
          </w:cols>
          <w:pgMar w:left="240" w:top="131" w:right="239" w:bottom="34" w:gutter="0" w:footer="0" w:header="0"/>
          <w:type w:val="continuous"/>
        </w:sectPr>
      </w:pPr>
    </w:p>
    <w:bookmarkStart w:id="11" w:name="page12"/>
    <w:bookmarkEnd w:id="11"/>
    <w:p>
      <w:pPr>
        <w:spacing w:after="0" w:line="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Research and development ("R&amp;D") expenses vary primarily with the number of development wafers processed, the cost of advanced equipment dedicated to new product and process development, and personnel costs. The Company deems development of a product complete once the product has been thoroughly reviewed and tested for performance and reliability and is internally qualified for sale to customers. Because of the lead times necessary to manufacture the Company's products, the Company typically begins to process a significant volume of product before it is internally qualified. As a result, R&amp;D expenses can vary significantly depending on the timing of product qualification. Product development costs are recorded as R&amp;D expense. The Company's R&amp;D expenses were $656.4 million, $561.3 million and $489.5 million in 2003, 2002 and 2001, respectively. R&amp;D expenses related to the Company's 300 mm production line are expected to increase in the first quarter of 2004 as additional development wafers are processed. R&amp;D expenses related to the Company's 300 mm production line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are expected to decrease after initial product qualification, which is expected to occur by the end of calendar 2003.</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process technology R&amp;D efforts are focused on its 110 nm, 95 nm and 80 nm line-width process technologies, which are designed to facilitate the Company's transition to next generation products. Additional R&amp;D efforts include processes to support 300 mm wafer manufacturing, Flash, CMOS imagers, and new memory manufacturing materials. In addition to its process technology efforts, the Company continues to emphasize product designs that utilize advanced process technology. Efforts toward the design and development of new products are concentrated on the Company's 512 Meg and 1 Gig DDR, DDR2, GDDR3, Flash memory products, CMOS imagers and other DRAM products, including reduced latency DRAM ("RLDRAM") and Cellular RAM.</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Restructure and Other Charges</w:t>
      </w:r>
    </w:p>
    <w:p>
      <w:pPr>
        <w:spacing w:after="0" w:line="225" w:lineRule="exact"/>
        <w:rPr>
          <w:sz w:val="20"/>
          <w:szCs w:val="20"/>
          <w:color w:val="auto"/>
        </w:rPr>
      </w:pPr>
    </w:p>
    <w:p>
      <w:pPr>
        <w:ind w:right="160" w:firstLine="341"/>
        <w:spacing w:after="0" w:line="290" w:lineRule="auto"/>
        <w:rPr>
          <w:sz w:val="20"/>
          <w:szCs w:val="20"/>
          <w:color w:val="auto"/>
        </w:rPr>
      </w:pPr>
      <w:r>
        <w:rPr>
          <w:rFonts w:ascii="Arial" w:cs="Arial" w:eastAsia="Arial" w:hAnsi="Arial"/>
          <w:sz w:val="16"/>
          <w:szCs w:val="16"/>
          <w:color w:val="auto"/>
        </w:rPr>
        <w:t>As a result of the prolonged downturn in the semiconductor memory industry and the Company's recent operating losses, in the second quarter of 2003 the Company announced a plan to restructure its operations. The restructure plan included the shutdown of the Company's 200 mm production line in Virginia, the discontinuance of certain memory products, including SRAM and TCAM products, and an approximate 10% reduction of the Company's worldwide workforce. In connection with the plan, the Company recorded a restructure charge of $109.2 million in 2003. In addition, the Company recorded other restructure-related charges of $7.1 million to write down the carrying value of raw materials and work in process inventories associated with discontinued products. These other charges are included in cost of goods sold in the accompanying consolidated summary of operations. The Company has substantially completed the restructure plan. The components of the restructure and other charges were as follows:</w:t>
      </w:r>
    </w:p>
    <w:p>
      <w:pPr>
        <w:spacing w:after="0" w:line="181"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Restructure charge:</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42"/>
        </w:trPr>
        <w:tc>
          <w:tcPr>
            <w:tcW w:w="7500" w:type="dxa"/>
            <w:vAlign w:val="bottom"/>
          </w:tcPr>
          <w:p>
            <w:pPr>
              <w:ind w:left="260"/>
              <w:spacing w:after="0"/>
              <w:rPr>
                <w:sz w:val="20"/>
                <w:szCs w:val="20"/>
                <w:color w:val="auto"/>
              </w:rPr>
            </w:pPr>
            <w:r>
              <w:rPr>
                <w:rFonts w:ascii="Arial" w:cs="Arial" w:eastAsia="Arial" w:hAnsi="Arial"/>
                <w:sz w:val="18"/>
                <w:szCs w:val="18"/>
                <w:color w:val="auto"/>
              </w:rPr>
              <w:t>Write-down of equipment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44"/>
        </w:trPr>
        <w:tc>
          <w:tcPr>
            <w:tcW w:w="75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Severance and other termination benefits</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2"/>
        </w:trPr>
        <w:tc>
          <w:tcPr>
            <w:tcW w:w="7500" w:type="dxa"/>
            <w:vAlign w:val="bottom"/>
          </w:tcPr>
          <w:p>
            <w:pPr>
              <w:ind w:left="260"/>
              <w:spacing w:after="0"/>
              <w:rPr>
                <w:sz w:val="20"/>
                <w:szCs w:val="20"/>
                <w:color w:val="auto"/>
              </w:rPr>
            </w:pPr>
            <w:r>
              <w:rPr>
                <w:rFonts w:ascii="Arial" w:cs="Arial" w:eastAsia="Arial" w:hAnsi="Arial"/>
                <w:sz w:val="18"/>
                <w:szCs w:val="18"/>
                <w:color w:val="auto"/>
              </w:rPr>
              <w:t>Write-down of intangible assets</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44"/>
        </w:trPr>
        <w:tc>
          <w:tcPr>
            <w:tcW w:w="75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118"/>
        </w:trPr>
        <w:tc>
          <w:tcPr>
            <w:tcW w:w="75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r>
      <w:tr>
        <w:trPr>
          <w:trHeight w:val="347"/>
        </w:trPr>
        <w:tc>
          <w:tcPr>
            <w:tcW w:w="7500" w:type="dxa"/>
            <w:vAlign w:val="bottom"/>
          </w:tcPr>
          <w:p>
            <w:pPr>
              <w:ind w:left="260"/>
              <w:spacing w:after="0"/>
              <w:rPr>
                <w:sz w:val="20"/>
                <w:szCs w:val="20"/>
                <w:color w:val="auto"/>
              </w:rPr>
            </w:pPr>
            <w:r>
              <w:rPr>
                <w:rFonts w:ascii="Arial" w:cs="Arial" w:eastAsia="Arial" w:hAnsi="Arial"/>
                <w:sz w:val="18"/>
                <w:szCs w:val="18"/>
                <w:color w:val="auto"/>
              </w:rPr>
              <w:t>Total restructure charge</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433"/>
        </w:trPr>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charges to write down raw materials and work in process inventories</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118"/>
        </w:trPr>
        <w:tc>
          <w:tcPr>
            <w:tcW w:w="75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r>
      <w:tr>
        <w:trPr>
          <w:trHeight w:val="319"/>
        </w:trPr>
        <w:tc>
          <w:tcPr>
            <w:tcW w:w="7500" w:type="dxa"/>
            <w:vAlign w:val="bottom"/>
          </w:tcPr>
          <w:p>
            <w:pPr>
              <w:spacing w:after="0"/>
              <w:rPr>
                <w:sz w:val="20"/>
                <w:szCs w:val="20"/>
                <w:color w:val="auto"/>
              </w:rPr>
            </w:pPr>
            <w:r>
              <w:rPr>
                <w:rFonts w:ascii="Arial" w:cs="Arial" w:eastAsia="Arial" w:hAnsi="Arial"/>
                <w:sz w:val="18"/>
                <w:szCs w:val="18"/>
                <w:color w:val="auto"/>
              </w:rPr>
              <w:t>Total restructure and other charges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107"/>
        </w:trPr>
        <w:tc>
          <w:tcPr>
            <w:tcW w:w="7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61"/>
        </w:trPr>
        <w:tc>
          <w:tcPr>
            <w:tcW w:w="75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-906145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-906145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Through August 28, 2003, the Company had paid essentially all of the severance and other termination benefits and $1.0 million of other costs incurred in connection with the restructure plan. As of August 28, 2003, the Company's accounts payable and accrued expenses included $3.1 million for remaining costs accrued in connection with the restructure plan.</w:t>
      </w:r>
    </w:p>
    <w:p>
      <w:pPr>
        <w:spacing w:after="0" w:line="19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Company expects its restructure efforts to result in a lower overall cost structure, to provide better focus on products with greater potential for growth and profitability and to allow continuing investment in new technology. The Company expects to realize annualized cost savings in excess of $250 million as a result of this restructure plan.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Other operating expense for 2003 includes losses net of gains on write-downs and disposals of semiconductor equipment of $41.5 million and losses from changes in currency exchange rates of $10.7 million. Other operating expense for 2003 is net of $14.4 million in receipts from the U.S. government in connection with anti-dumping tariffs. Other operating expense for 2002 includes losses net of gains on write-downs and disposals of semiconductor equipment of $27.3 million.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operating expense for 2001 includes losses of $44.2 million from the write-off of certain costs related to the Company's Lehi facility and losses net of gains on write-downs and disposals of semiconductor equipment of $19.6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400" w:firstLine="348"/>
        <w:spacing w:after="0" w:line="306" w:lineRule="auto"/>
        <w:rPr>
          <w:sz w:val="20"/>
          <w:szCs w:val="20"/>
          <w:color w:val="auto"/>
        </w:rPr>
      </w:pPr>
      <w:r>
        <w:rPr>
          <w:rFonts w:ascii="Arial" w:cs="Arial" w:eastAsia="Arial" w:hAnsi="Arial"/>
          <w:sz w:val="16"/>
          <w:szCs w:val="16"/>
          <w:color w:val="auto"/>
        </w:rPr>
        <w:t>The income tax provision for 2003 was $73.0 million, which primarily reflects taxes on non-U.S. operations. Income tax benefit for 2002 and 2001 was $91.5 million and $446.0 million, respectively. The Company recognized no tax benefit on its domestic net operating losses in 2003. In 2002, the Company recorded a $347.8 million charge to the provision for income taxes to establish a valuation allowance against its U.S. deferred tax assets.</w:t>
      </w:r>
    </w:p>
    <w:p>
      <w:pPr>
        <w:spacing w:after="0" w:line="16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of August 28, 2003, the Company had aggregate U.S. tax net operating loss carryforwards of $2.8 billion and unused U.S. tax credits of $95.0 million, which expire in various years through 2023. The Company also has unused state tax net operating loss carryforwards of $1.9 billion for tax purposes which expire in various years through 2023 and unused state tax credits of $132.0 million for tax and financial reporting purposes which expire in various years through 2017. Until the Company utilizes these net operating loss carryforwards and unused tax credits, the Company expects its income tax provision will primarily reflect taxes from the Company's non-U.S. operations.</w:t>
      </w:r>
    </w:p>
    <w:p>
      <w:pPr>
        <w:sectPr>
          <w:pgSz w:w="11900" w:h="16854" w:orient="portrait"/>
          <w:cols w:equalWidth="0" w:num="1">
            <w:col w:w="11420"/>
          </w:cols>
          <w:pgMar w:left="240" w:top="131" w:right="239" w:bottom="0" w:gutter="0" w:footer="0" w:header="0"/>
        </w:sectPr>
      </w:pPr>
    </w:p>
    <w:bookmarkStart w:id="12" w:name="page13"/>
    <w:bookmarkEnd w:id="12"/>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May 2003, the Financial Accounting Standards Board ("FASB") issued Statement of Financial Accounting Standards ("SFAS") No. 150, "Accounting for Certain Financial Instruments with Characteristics of both Liabilities and Equity." SFAS No. 150 requires that certain financial instruments, which under previous guidance could be accounted for as equity, be classified as liabilities in statements of financial position. SFAS No. 150 is effective for financial instruments entered into or modified after May 31, 2003, and is otherwise effective for the Company in the first quarter of 2004. The Company does not expect the adoption of SFAS No. 150 to have a significant impact on the Company's future results of operations or financial condition.</w:t>
      </w:r>
    </w:p>
    <w:p>
      <w:pPr>
        <w:spacing w:after="0" w:line="170"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January 2003, the FASB issued Interpretation No. 46, "Consolidation of Variable Interest Entities—an interpretation of ARB No. 51," which provides guidance on the identification of and reporting for variable interest entities. Interpretation No. 46 expands the criteria for consideration in determining whether a variable interest entity should be consolidated. Interpretation No. 46 is effective immediately for variable interest entities created after January 31, 2003, and to variable interest entities in which an enterprise obtains an interest after that date. Interpretation No. 46 is effective for the Company in the second quarter of 2004 for variable interest entities acquired before February 1, 2003. The Company is currently assessing the impact of Interpretation No. 46 on its future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20" w:firstLine="341"/>
        <w:spacing w:after="0" w:line="291" w:lineRule="auto"/>
        <w:rPr>
          <w:sz w:val="20"/>
          <w:szCs w:val="20"/>
          <w:color w:val="auto"/>
        </w:rPr>
      </w:pPr>
      <w:r>
        <w:rPr>
          <w:rFonts w:ascii="Arial" w:cs="Arial" w:eastAsia="Arial" w:hAnsi="Arial"/>
          <w:sz w:val="16"/>
          <w:szCs w:val="16"/>
          <w:color w:val="auto"/>
        </w:rPr>
        <w:t>As of August 28, 2003, the Company had cash and marketable investments totaling $921.8 million, compared to $1,145.4 million as of August 29, 2002, which included $159.7 million of marketable investments with maturities of more than one year. During 2003, the Company received net financing proceeds of $615.9 million from the issuance of 2.5% seven-year convertible subordinated notes (the "Notes") and net proceeds of $94.9 million from the issuance of other debt. In conjunction with the issuance of the Notes, the Company spent $109.1 million to purchase call spread options. During 2003, expenditures for property, plant and equipment were $821.5 million and payments on equipment purchase contracts and debt were $249.2 million. The Company received income tax refunds of $108.9 million in the first quarter of 2003.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On September 24, 2003, the Company received $450.0 million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purchase price of $13.29, the Company could be obligated to pay Intel amounts not to exceed $135 million, a substantial portion of which is payable, at the Company's election, in the Company's common stock. The operational objectives are in line with the Company's business plans and currently the Company is confident that each associated milestone will be met.</w:t>
      </w:r>
    </w:p>
    <w:p>
      <w:pPr>
        <w:spacing w:after="0" w:line="17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expects capital spending to approximate $1.3 billion in 2004. Capital spending estimates include expenditures for ongoing equipment upgrades and expenditures for the Company's 300 mm production line. As of August 28, 2003, the Company had commitments extending into 2004 of approximately $335 million for the acquisition of property, plant and equipment.</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 has historically utilized external sources of financing to fund a portion of operations and since April 2000 has had a shelf registration statement in place pursuant to which the Company may from time to time issue debt or equity securities of up to $1 billion. The Company may also seek to raise funds through issuing securities not covered by the existing shelf registration statement, by increasing the size of the existing shelf registration statement or pursuing other external sources of financing.</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pledged $100 million as cash collateral for TECH's credit facility.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connection with the acquisition of the Virginia facility from Toshiba, the Company issued 1.5 million shares of common stock. The Company granted Toshiba an option to require the Company to repurchase on October 21, 2003, all of these shares for $67.5 million cash. Toshiba has exercised the option and the Company will redeem these shares in the first quarter of fiscal 2004.</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February 2003, the Company issued $632.5 million of Notes. The issuance costs associated with the Notes totaled $16.6 million and the net proceeds to the Company from the offering of the Notes were $615.9 million. Holders of the Notes may convert all or some of their Notes at any time prior to maturity, unless previously redeemed or repurchased, into the Company's common stock at a conversion rate of 84.8320 shares for each $1,000 principal amount of Notes. This conversion rate is equivalent to a conversion price of approximately $11.79 per share. The Company may redeem the notes at any time after February 6, 2006, at declining premiums to par.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Concurrent with the issuance of the Notes, the Company purchased call spread options (the "Call Spread Options") covering 53.7 million shares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which is the number of shares issuable upon conversion of the Notes in full. The Call Spread Options have a lower strike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$11.79, a higher strike price of $18.19, may be settled at the Company's option either in cash or net shares and expire on January 29, 2008. Settlement of the Call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Spread Options in cash on January 29, 2008, the expiration date, would result in the Company receiving an amount ranging from zero if the market price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of the Company's common stock is at or below $11.79 to a maximum of $343.4 million if the market price per share of the Company's common stock is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above $18.19. Settlement of the Call Spread Options in net shares on the expiration date would result in the Company receiving a number of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not to exceed 18.9 million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shares, with a value equal to the amount otherwise receivable on cash settlement. Should there be an early unwind of the Call Spread Options, the amount of cash or net shares potentially received by the Company will be dependent upon then existing overall market conditions, and on the Company's stock price, the</w:t>
      </w:r>
    </w:p>
    <w:p>
      <w:pPr>
        <w:sectPr>
          <w:pgSz w:w="11900" w:h="16939" w:orient="portrait"/>
          <w:cols w:equalWidth="0" w:num="1">
            <w:col w:w="11420"/>
          </w:cols>
          <w:pgMar w:left="240" w:top="125" w:right="239" w:bottom="0" w:gutter="0" w:footer="0" w:header="0"/>
        </w:sectPr>
      </w:pPr>
    </w:p>
    <w:bookmarkStart w:id="13" w:name="page14"/>
    <w:bookmarkEnd w:id="13"/>
    <w:p>
      <w:pPr>
        <w:jc w:val="both"/>
        <w:ind w:right="80"/>
        <w:spacing w:after="0" w:line="259" w:lineRule="auto"/>
        <w:rPr>
          <w:sz w:val="20"/>
          <w:szCs w:val="20"/>
          <w:color w:val="auto"/>
        </w:rPr>
      </w:pPr>
      <w:r>
        <w:rPr>
          <w:rFonts w:ascii="Arial" w:cs="Arial" w:eastAsia="Arial" w:hAnsi="Arial"/>
          <w:sz w:val="18"/>
          <w:szCs w:val="18"/>
          <w:color w:val="auto"/>
        </w:rPr>
        <w:t>volatility of the Company's stock and the amount of time remaining on the Call Spread Options. The Call Spread Options therefore have the potential of limiting the dilution associated with the conversion of the Notes from 53.7 million shares to as few as 34.8 million shares. The Call Spread Option transactions, including fees and costs of $109.1 million, are accounted for as capital transactions.</w:t>
      </w:r>
    </w:p>
    <w:p>
      <w:pPr>
        <w:spacing w:after="0" w:line="194" w:lineRule="exact"/>
        <w:rPr>
          <w:sz w:val="20"/>
          <w:szCs w:val="20"/>
          <w:color w:val="auto"/>
        </w:rPr>
      </w:pPr>
    </w:p>
    <w:p>
      <w:pPr>
        <w:jc w:val="both"/>
        <w:ind w:right="60" w:firstLine="341"/>
        <w:spacing w:after="0" w:line="268" w:lineRule="auto"/>
        <w:rPr>
          <w:sz w:val="20"/>
          <w:szCs w:val="20"/>
          <w:color w:val="auto"/>
        </w:rPr>
      </w:pPr>
      <w:r>
        <w:rPr>
          <w:rFonts w:ascii="Arial" w:cs="Arial" w:eastAsia="Arial" w:hAnsi="Arial"/>
          <w:sz w:val="18"/>
          <w:szCs w:val="18"/>
          <w:color w:val="auto"/>
        </w:rPr>
        <w:t>As of August 28, 2003, maturities of notes payable, future minimum lease payments under capital leases and minimum commitments under operating leases were as follows:</w:t>
      </w:r>
    </w:p>
    <w:p>
      <w:pPr>
        <w:spacing w:after="0" w:line="182"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Notes</w:t>
            </w:r>
          </w:p>
        </w:tc>
        <w:tc>
          <w:tcPr>
            <w:tcW w:w="2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Capital leases</w:t>
            </w:r>
          </w:p>
        </w:tc>
        <w:tc>
          <w:tcPr>
            <w:tcW w:w="200" w:type="dxa"/>
            <w:vAlign w:val="bottom"/>
          </w:tcPr>
          <w:p>
            <w:pPr>
              <w:spacing w:after="0"/>
              <w:rPr>
                <w:sz w:val="15"/>
                <w:szCs w:val="15"/>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0"/>
              </w:rPr>
              <w:t>Operating leases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5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2009 and thereafter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647.5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95"/>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-1177290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-1177290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-1177290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-1177290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-1177290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-1177290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-1177290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-1177290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In addition to the factors discussed elsewhere in this Form 10-K, the following are important factors which could cause actual results or events to differ materially from those contained in any forward-looking statements made by or on behalf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experienced dramatic declines in average selling prices for our memory products which have adversely affected our business.</w:t>
      </w:r>
    </w:p>
    <w:p>
      <w:pPr>
        <w:spacing w:after="0" w:line="25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six of the last seven fiscal years, we experienced decreases in average selling prices for our semiconductor memory products as follows: 17% in 2003, 53% in 2002, 60% in 2001, 37% in 1999, 60% in 1998 and 75% in 1997. In recent periods, average selling prices for our semiconductor products have been below our costs. If average selling prices for our memory products decrease faster than we can decrease per megabit costs, our business, results of operations or financial condition could be materially adversely affected.</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average selling prices of semiconductor products do not improve relative to our costs, we may not be able to generate sufficient cash flows to fund our operations and make adequate capital investments.</w:t>
      </w:r>
    </w:p>
    <w:p>
      <w:pPr>
        <w:spacing w:after="0" w:line="180"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cash flows from operations depend primarily on the volume of semiconductor memory sold, average selling prices and per megabit manufacturing costs. In recent periods, average selling prices have been below our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If average selling prices do not improve relative to our costs, we may not be able to generate sufficient cash flows to fund our operations or make adequate capital investments. In addition to cash provided by operations, we have historically utilized external sources of financing. However, depending on general market and economic conditions or other factors, we may not be able to access capital markets for funds on acceptable terms.</w:t>
      </w:r>
    </w:p>
    <w:p>
      <w:pPr>
        <w:spacing w:after="0" w:line="19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Increased worldwide DRAM production or lack of demand for semiconductor products could lead to further declines in average selling prices for DRAM.</w:t>
      </w:r>
    </w:p>
    <w:p>
      <w:pPr>
        <w:spacing w:after="0" w:line="18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transition to smaller geometries and 300 mm wafers in the industry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Some of our competitors may receive government support to withstand downturns in the semiconductor memory market and to invest in technology resulting in higher levels of worldwide supply than would otherwise exist. Increases in worldwide supply of DRAM, if not offset by increases in demand, could lead to further declines in average selling prices for our products and could materially adversely affect our business, results of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Depressed pricing for semiconductor memory products may lead to future losses and inventory write-downs.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recorded inventory write-downs aggregating $307.0 million in 2003, $376.1 million in 2002 and $726.9 million in 2001 as a result of the significant decreases in average selling prices for our semiconductor memory products. If average selling prices are below our costs in future periods, we expect to continue to incur losses on product sales and our business, results of operations or financial condition could be materially adversely affected. If the estimated market values of products held in finished goods and work in process inventories at a quarter end date are below the manufacturing cost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of these products, we recognize charges to cost of goods sold to write down the carrying value of our inventories to market value.</w:t>
      </w:r>
    </w:p>
    <w:p>
      <w:pPr>
        <w:spacing w:after="0" w:line="219"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the growth rate of either computers sold or the amount of semiconductor memory included in each computer decreases, sales of our semiconductor products could decrease.</w:t>
      </w:r>
    </w:p>
    <w:p>
      <w:pPr>
        <w:spacing w:after="0" w:line="18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dependent on the computing market as most of the semiconductor products we sell are used in computers, servers or peripheral products. Approximately 82% of our sales of semiconductor products for 2003 was to the computing market. DRAMs are the most widely used semiconductor components in computers. In recent years, the growth rate of computers sold has slowed or declined. If we experience a sustained reduction in the growth rate of either computers sold or the average amount of semiconductor memory included in each computer, sales of our semiconductor products could decrease, and our business, results of operations or financial condition could be materially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ectPr>
          <w:pgSz w:w="11900" w:h="16838" w:orient="portrait"/>
          <w:cols w:equalWidth="0" w:num="1">
            <w:col w:w="11400"/>
          </w:cols>
          <w:pgMar w:left="240" w:top="131" w:right="259" w:bottom="0" w:gutter="0" w:footer="0" w:header="0"/>
        </w:sectPr>
      </w:pPr>
    </w:p>
    <w:bookmarkStart w:id="14" w:name="page15"/>
    <w:bookmarkEnd w:id="14"/>
    <w:p>
      <w:pPr>
        <w:ind w:right="260" w:firstLine="348"/>
        <w:spacing w:after="0" w:line="255" w:lineRule="auto"/>
        <w:rPr>
          <w:sz w:val="20"/>
          <w:szCs w:val="20"/>
          <w:color w:val="auto"/>
        </w:rPr>
      </w:pPr>
      <w:r>
        <w:rPr>
          <w:rFonts w:ascii="Arial" w:cs="Arial" w:eastAsia="Arial" w:hAnsi="Arial"/>
          <w:sz w:val="18"/>
          <w:szCs w:val="18"/>
          <w:color w:val="auto"/>
        </w:rPr>
        <w:t>We face intense competition from a number of companies, including Elpida Memory, Inc., Hynix Semiconductor, Inc., Infineon Technologies AG and Samsung Electronics, Inc. Some of these competitors are large corporations or conglomerates that may have greater resources to withstand downturns in the semiconductor markets in which we compete, invest in technology and capitalize on growth opportunities. These competitors seek to increase silicon capacity, improve yields, reduce die size and minimize mask levels in their product designs. These factors have significantly increased worldwide supply and put downward pressure on prices.</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Historically, various governments have provided economic assistance to international competitors, which has enabled, or artificially supported, competitors' production of semiconductor memory, particularly DRAM. This factor is expected to lead to a continued increase in the supply of DRAM and other semiconductor products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right="300" w:firstLine="351"/>
        <w:spacing w:after="0" w:line="318" w:lineRule="auto"/>
        <w:rPr>
          <w:sz w:val="20"/>
          <w:szCs w:val="20"/>
          <w:color w:val="auto"/>
        </w:rPr>
      </w:pPr>
      <w:r>
        <w:rPr>
          <w:rFonts w:ascii="Arial" w:cs="Arial" w:eastAsia="Arial" w:hAnsi="Arial"/>
          <w:sz w:val="15"/>
          <w:szCs w:val="15"/>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business, results of operations or financial condition could be materially adversely affected. If, for any reason, we are unable to access the capital markets over an extended period of time, we may be unable to make property, plant and equipment expenditures, implement our research and development efforts or fund our operations, which could materially adversely affect our business, results of operations or financial condition.</w:t>
      </w:r>
    </w:p>
    <w:p>
      <w:pPr>
        <w:spacing w:after="0" w:line="14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If any one of our major computing customers significantly reduces its purchases of DRAM from us, our business, results of operations or financial condition could be materially adversely affected.</w:t>
      </w:r>
    </w:p>
    <w:p>
      <w:pPr>
        <w:spacing w:after="0" w:line="180"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Aggregate sales to two of our computing customers approximated 28% of our net sales in 2003. If any one of our major computing customers significantly reduces its purchases of DRAM from us, our business, results of operations or financial condition could be materially adversely affected.</w:t>
      </w:r>
    </w:p>
    <w:p>
      <w:pPr>
        <w:spacing w:after="0" w:line="13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business, results of operations or financial condition could be materially adversely affected.</w:t>
      </w:r>
    </w:p>
    <w:p>
      <w:pPr>
        <w:spacing w:after="0" w:line="18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TECH supplied approximately 30%, 20% and 25% of our total megabits of memory produced in 2003, 2002 and 2001, respectively. We have agreements to purchase all of the products manufactured by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TECH subject to specific terms and conditions. Any reduction in supply could materially adversely affect our business, results of operations or financial condition. We have pledged $100 million as cash collateral for TECH's credit facility. In the event the cash collateral is used to discharge obligations of TECH that are unpaid and due under the TECH credit facility, certain shareholders of TECH have agreed to indemnify us for approximately one-half of the amount of the cash collateral used to satisfy such obligations. As of August 28, 2003, we had remaining unamortized costs of $73.8 million in intangible assets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reduce per megabit manufacturing costs at the same rate as we have in the past.</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Our ability to maintain or reduce per megabit manufacturing costs in future periods may be affected by:</w:t>
      </w:r>
    </w:p>
    <w:p>
      <w:pPr>
        <w:spacing w:after="0" w:line="208" w:lineRule="exact"/>
        <w:rPr>
          <w:sz w:val="20"/>
          <w:szCs w:val="20"/>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product and process technology upgrades, specifically our ongoing transition to 110 nm process technologies and future transitions to 95 nm and 80 nm process technologies,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wafer output or yields, which may decrease as we implement more complex technologies, including our transition to 300 mm wafer processing,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ramp the latest reduced die size versions of existing devices or new generation devices.</w:t>
      </w:r>
    </w:p>
    <w:p>
      <w:pPr>
        <w:spacing w:after="0" w:line="219"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If we are unable to respond to customer demand for diversified semiconductor memory products or are unable to do so in a cost-effective manner, we may lose market share and our business, results of operations or financial condition could be materially adversely affected.</w:t>
      </w:r>
    </w:p>
    <w:p>
      <w:pPr>
        <w:spacing w:after="0" w:line="13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recent periods, the semiconductor memory market has become relatively segmented, with diverse memory needs being driven by the different requirements of desktop and notebook computers, servers, workstations, handheld devices, and communications, industrial and other applications that demand specific memory solutions. We currently offer customers a variety of products, including DDR, SDRAM, Flash and CMOS image sensors. In addition, we are designing and developing other semiconductor products, including DDR2, GDDR3, reduced latency DRAM, CellularRAM and CMOS image sensors.</w:t>
      </w:r>
    </w:p>
    <w:p>
      <w:pPr>
        <w:spacing w:after="0" w:line="16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business, results of operations or financial condition could be materially adversely affected.</w:t>
      </w:r>
    </w:p>
    <w:p>
      <w:pPr>
        <w:spacing w:after="0" w:line="19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materially adversely affect our business, results of operations or financial condition.</w:t>
      </w:r>
    </w:p>
    <w:p>
      <w:pPr>
        <w:spacing w:after="0" w:line="180"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processes infringe their product or</w:t>
      </w:r>
    </w:p>
    <w:p>
      <w:pPr>
        <w:sectPr>
          <w:pgSz w:w="11900" w:h="16838" w:orient="portrait"/>
          <w:cols w:equalWidth="0" w:num="1">
            <w:col w:w="11400"/>
          </w:cols>
          <w:pgMar w:left="240" w:top="131" w:right="259" w:bottom="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process technology rights. We are currently engaged in litigation with Rambus, Inc. ("Rambus") relating to certain of Rambus' patents and certain of our claims and defenses. On August 28, 2000, we filed a declaratory judgment action against Rambus, Inc. ("Rambus") in U.S. District Court for the District of Delaware. On February 1, 2001, we amended our complaint. Pursuant to our amended complaint, we are seeking: (1) relief under the federal antitrust laws for violations by Rambus of Section 2 of the Sherman Act; (2) a declaratory judgment (a) that certain Rambus patents are not infringed by us, are invalid, and/or are unenforceable due to, among other reasons, Rambus' fraudulent conduct in misusing and enforcing those patents, (b) that we have an implied license to those patents and (c) that Rambus is estopped from enforcing those patents against us because of its conduct in the Joint Electron Device Engineering Council, a standard-setting organization; and (3) damages and declaratory relief for Rambus' breach of contract, fraud, deceptive trade practices, negligent misrepresentation, and conduct requiring the application of equitable estoppel. On February 15, 2001, Rambus filed an answer and counterclaim against us in Delaware denying we are entitled to relief, alleging infringement of the eight Rambus patents named in our declaratory judgment claim, and seeking monetary damages and injunctive relief. A number of other suits between Rambus and us have been filed in Europe. On September 1, 2000, Rambus filed suit against Micron Semiconductor (Deutschland)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us and Reptronic (a distributor of our products) in Court of First Instance of Paris, France, alleging that certain SDRAM and DDR SDRAM products infringe the French counterpart to European patent 525 068. On September 29, 2000, we filed suit against Rambus in the Civil Court of Milan, Italy, alleging invalidity and non-infringement of the Italian counterpart to European patent 525 068. On September 29, 2000, Rambus filed a preliminary proceeding against us and EBV (a distributor of our products) in the Civil Court of Monza, Italy, alleging that certain SDRAM products infringe the Italian counterpart to European patent 525 068, and seeking the seizure of certain materials and the entry of a preliminary injunction as to products manufactured at our Avezzano, Italy, site. On December 21, 2000, an appeals panel of the Court of Monza held that the Monza trial court had no jurisdiction to adjudicate the seizure matter. The Monza trial court order that technical review proceedings continue with respect to the issue of preliminary injunction. On May 24, 2001, the trial court rejected Rambus' assertions of infringement and denied its request for a preliminary injunction. Rambus' appeal from the trial judge's ruling was rejected by the Monza appeals panel on July 18, 2001. On December 29, 2000, we filed suit against Rambus in the Civil Court of Avezzano, Italy, alleging invalidity and non-infringement of the Italian counterpart to European patent 1 004 956. On August 10, 2001, Rambus filed suit against us and Assitec (an electronics retailer) in the Civil Court of Pavia, Italy, alleging that certain DDR SDRAM products infringe the Italian counterpart to European patent 1 022 642. In its various European suits against us, Rambus is seeking monetary damages and injunctive relief. We are unable to predict the outcome of these suits. A court determination that our manufacturing processes or products infringe the product or process rights of others could result in significant liability and/or require us to make material changes to its products and/or manufacturing processes. Any of the foregoing results could have a material adverse effect on our business, results of operations or financial condition.</w:t>
      </w:r>
    </w:p>
    <w:p>
      <w:pPr>
        <w:spacing w:after="0" w:line="192"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practices.</w:t>
      </w:r>
    </w:p>
    <w:p>
      <w:pPr>
        <w:spacing w:after="0" w:line="231"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Subsequent to the commencement of the DOJ investigation, a number of purported class action lawsuits were filed against us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monetary damages, costs, attorneys' fees, and an injunction against the allegedly unlawful conduct. The foregoing federal district court cases have been transferred to the U.S. District Court for the Northern District of California (San Francisco) for coordinated or consolidated pretrial proceedings. Eight additional cases were filed between August 2, 2002, and March 11, 2003, in the following California state superior courts: five in San Francisco County, one in Santa Clara County, one in Los Angeles County and one in Humbolt County. Each of the California 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have been transferred to San Francisco County Superior Court for coordinated or consolidated pretrial proceedings.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We can give no assurance that the final resolution will not result in significant liability and will not have a material adverse effect on our business, results of operations or financial condition.</w:t>
      </w:r>
    </w:p>
    <w:p>
      <w:pPr>
        <w:spacing w:after="0" w:line="18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 mm wafer processing at the appropriate time, our business, results of operations or financial condition could be materially adversely affected.</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ultimately resulting in substantially reduced costs for each die. Our transition to 300 mm wafer processing across a significant portion of our operations will require us to make substantial capital investments, which will depend on our ability to generate funds from operations or to obtain additional funds from external sources. We may also experience disruptions in manufacturing operations and reduced yields during our transition to larger wafer sizes. If we are unable to successfully transition to 300 mm wafer processing at the appropriate time, we could be at a cost disadvantage with respect to our competitors and our business, results of operations or financial condition could be materially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ectPr>
          <w:pgSz w:w="11900" w:h="16838" w:orient="portrait"/>
          <w:cols w:equalWidth="0" w:num="1">
            <w:col w:w="11420"/>
          </w:cols>
          <w:pgMar w:left="240" w:top="131" w:right="239" w:bottom="59" w:gutter="0" w:footer="0" w:header="0"/>
        </w:sectPr>
      </w:pPr>
    </w:p>
    <w:bookmarkStart w:id="16" w:name="page17"/>
    <w:bookmarkEnd w:id="16"/>
    <w:p>
      <w:pPr>
        <w:jc w:val="both"/>
        <w:ind w:firstLine="348"/>
        <w:spacing w:after="0" w:line="259" w:lineRule="auto"/>
        <w:rPr>
          <w:sz w:val="20"/>
          <w:szCs w:val="20"/>
          <w:color w:val="auto"/>
        </w:rPr>
      </w:pPr>
      <w:r>
        <w:rPr>
          <w:rFonts w:ascii="Arial" w:cs="Arial" w:eastAsia="Arial" w:hAnsi="Arial"/>
          <w:sz w:val="18"/>
          <w:szCs w:val="18"/>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these new products, that we will be able to successfully market these products or that margins generated from sales of these products will recover costs of development efforts.</w:t>
      </w:r>
    </w:p>
    <w:p>
      <w:pPr>
        <w:spacing w:after="0" w:line="18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80" w:lineRule="exact"/>
        <w:rPr>
          <w:sz w:val="20"/>
          <w:szCs w:val="20"/>
          <w:color w:val="auto"/>
        </w:rPr>
      </w:pPr>
    </w:p>
    <w:p>
      <w:pPr>
        <w:ind w:right="600" w:firstLine="351"/>
        <w:spacing w:after="0" w:line="370" w:lineRule="auto"/>
        <w:rPr>
          <w:sz w:val="20"/>
          <w:szCs w:val="20"/>
          <w:color w:val="auto"/>
        </w:rPr>
      </w:pPr>
      <w:r>
        <w:rPr>
          <w:rFonts w:ascii="Arial" w:cs="Arial" w:eastAsia="Arial" w:hAnsi="Arial"/>
          <w:sz w:val="15"/>
          <w:szCs w:val="15"/>
          <w:color w:val="auto"/>
        </w:rPr>
        <w:t>Sales to customers outside the United States approximated 57% of our consolidated net sales in 2003. In addition, we have or support manufacturing operations in Italy, Japan, Puerto Rico, Scotland and Singapore. Our international sales and operations are subject to a variety of risks, including:</w:t>
      </w:r>
    </w:p>
    <w:p>
      <w:pPr>
        <w:spacing w:after="0" w:line="130"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currency exchange rate fluctuations, export duties, changes to import and export regulations, and restrictions on the transfer of funds,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our manufacturing process is disrupted, our business, results of operations or financial condition could be materially adversely affected.</w:t>
      </w:r>
    </w:p>
    <w:p>
      <w:pPr>
        <w:spacing w:after="0" w:line="254" w:lineRule="exact"/>
        <w:rPr>
          <w:sz w:val="20"/>
          <w:szCs w:val="20"/>
          <w:color w:val="auto"/>
        </w:rPr>
      </w:pPr>
    </w:p>
    <w:p>
      <w:pPr>
        <w:jc w:val="both"/>
        <w:ind w:right="80" w:firstLine="348"/>
        <w:spacing w:after="0" w:line="291"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Disruptions in our supply of raw materials could materially adversely affect our business, results of operations or financial condition.</w:t>
      </w:r>
    </w:p>
    <w:p>
      <w:pPr>
        <w:spacing w:after="0" w:line="25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achieve certain milestones, we could be obligated to pay Intel Corporation amounts up to $135 million.</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conjunction with the issuance of stock rights to Intel in September 2003, we agreed to achieve operational objectives through May 2005, including certain levels of DDR2 production and 300 mm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wafer processing capacity, and dedication of resources to advanced product development. If we fail to achieve certain 2005 milestones and our common stock price is then below Intel's purchase price of $13.29, we could be obligated to pay Intel amounts up to $135 million, a substantial portion of which is payable, at our election, in our common stock.</w:t>
      </w:r>
    </w:p>
    <w:p>
      <w:pPr>
        <w:spacing w:after="0" w:line="188" w:lineRule="exact"/>
        <w:rPr>
          <w:sz w:val="20"/>
          <w:szCs w:val="20"/>
          <w:color w:val="auto"/>
        </w:rPr>
      </w:pPr>
    </w:p>
    <w:p>
      <w:pPr>
        <w:jc w:val="both"/>
        <w:ind w:right="220"/>
        <w:spacing w:after="0" w:line="378"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1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11" w:lineRule="exact"/>
        <w:rPr>
          <w:sz w:val="20"/>
          <w:szCs w:val="20"/>
          <w:color w:val="auto"/>
        </w:rPr>
      </w:pPr>
    </w:p>
    <w:p>
      <w:pPr>
        <w:ind w:left="1080" w:right="2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ectPr>
          <w:pgSz w:w="11900" w:h="16838" w:orient="portrait"/>
          <w:cols w:equalWidth="0" w:num="1">
            <w:col w:w="11400"/>
          </w:cols>
          <w:pgMar w:left="240" w:top="131" w:right="259" w:bottom="0" w:gutter="0" w:footer="0" w:header="0"/>
        </w:sectPr>
      </w:pPr>
    </w:p>
    <w:bookmarkStart w:id="17" w:name="page18"/>
    <w:bookmarkEnd w:id="17"/>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make future acquisitions where we believe it is advisable to enhance our market position. Acquisitions involve numerous risks, including:</w:t>
      </w:r>
    </w:p>
    <w:p>
      <w:pPr>
        <w:spacing w:after="0" w:line="262"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semiconductor memory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Substantially all of the Company's investments are at fixed interest rates; therefore, the fair value of these instruments is affected by changes in market interest rates. The Company believes that the market risk arising from its holdings of investments is minimal as the Company's investments generally mature within one year.</w:t>
      </w:r>
    </w:p>
    <w:p>
      <w:pPr>
        <w:spacing w:after="0" w:line="194" w:lineRule="exact"/>
        <w:rPr>
          <w:sz w:val="20"/>
          <w:szCs w:val="20"/>
          <w:color w:val="auto"/>
        </w:rPr>
      </w:pPr>
    </w:p>
    <w:p>
      <w:pPr>
        <w:jc w:val="both"/>
        <w:ind w:firstLine="341"/>
        <w:spacing w:after="0" w:line="298" w:lineRule="auto"/>
        <w:rPr>
          <w:sz w:val="20"/>
          <w:szCs w:val="20"/>
          <w:color w:val="auto"/>
        </w:rPr>
      </w:pPr>
      <w:r>
        <w:rPr>
          <w:rFonts w:ascii="Arial" w:cs="Arial" w:eastAsia="Arial" w:hAnsi="Arial"/>
          <w:sz w:val="16"/>
          <w:szCs w:val="16"/>
          <w:color w:val="auto"/>
        </w:rPr>
        <w:t>All of the Company's debt is at fixed interest rates; therefore, the fair value of the debt fluctuates based on changes in market interest rates. The estimated fair market value of the Company's debt as of August 28, 2003 and August 29, 2002, approximated $1.3 billion and $430 million, respectively. The Company entered into an interest rate swap agreement (the "Swap") that effectively converts, beginning August 29, 2003, the 2.5% fixed interest rate on the Company's $632.5 million convertible subordinated notes (the "Notes") to a variable interest rate based on the 3-month London Interbank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Offering Rate ("LIBOR") less 65 basis points. The Swap qualifies as a fair-value hedge under SFAS No. 133, "Accounting for Derivative Instruments and Hedging Activities." The gain or loss from changes in the fair value of the Swap is expected to be highly effective at offsetting the gain or loss from changes in the fair value of the Notes attributable to changes in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functional currency for substantially all of the Company's operations is the U.S. dollar. The Company held aggregate cash and other assets in foreign currency valued at U.S. $203.1 million as of August 28, 2003, and U.S. $220.4 million as of August 29, 2002 (including deferred income tax assets denominated in Japanese Yen valued at U.S. $105.4 million as of August 28, 2003, and U.S. $164.7 million as of August 29, 2002). The Company also held aggregate foreign currency liabilities valued at U.S. $513.2 million as of August 28, 2003, and U.S. $434.0 million as of August 29, 2002 (including debt denominated in Japanese Yen valued at U.S. $170.5 million as of August 28, 2003, and U.S. $233.1 million as of August 29, 2002). Foreign currency receivables and payables as of August 28, 2003, were comprised primarily of Japanese Yen, Euros, Singapore Dollars and British Pounds. The Company estimates that, based on its assets and liabilities denominated in Japanese Yen as of August 28, 2003, a one Yen change in the exchange rate versus the U.S. dollar would result in foreign currency gains or losses of approximately $2 million.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84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w w:val="93"/>
              </w:rPr>
              <w:t>Consolidated Financial Statements as of August 28, 2003, and August 29, 2002, and for the fiscal years ended August 28, 2003, August 29, 2002,</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and August 30, 2001:</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840" w:type="dxa"/>
            <w:vAlign w:val="bottom"/>
          </w:tcPr>
          <w:p>
            <w:pPr>
              <w:ind w:left="220"/>
              <w:spacing w:after="0"/>
              <w:rPr>
                <w:sz w:val="20"/>
                <w:szCs w:val="20"/>
                <w:color w:val="auto"/>
              </w:rPr>
            </w:pPr>
            <w:r>
              <w:rPr>
                <w:rFonts w:ascii="Arial" w:cs="Arial" w:eastAsia="Arial" w:hAnsi="Arial"/>
                <w:sz w:val="18"/>
                <w:szCs w:val="18"/>
                <w:color w:val="auto"/>
              </w:rPr>
              <w:t>Consolidated Statements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Balance Sheets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840" w:type="dxa"/>
            <w:vAlign w:val="bottom"/>
          </w:tcPr>
          <w:p>
            <w:pPr>
              <w:ind w:left="220"/>
              <w:spacing w:after="0"/>
              <w:rPr>
                <w:sz w:val="20"/>
                <w:szCs w:val="20"/>
                <w:color w:val="auto"/>
              </w:rPr>
            </w:pPr>
            <w:r>
              <w:rPr>
                <w:rFonts w:ascii="Arial" w:cs="Arial" w:eastAsia="Arial" w:hAnsi="Arial"/>
                <w:sz w:val="18"/>
                <w:szCs w:val="18"/>
                <w:color w:val="auto"/>
              </w:rPr>
              <w:t>Consolidated Statements of Shareholders' Equity</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08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-1351915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-1351915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Consolidated Statements of Cash Flows</w:t>
            </w:r>
          </w:p>
        </w:tc>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431"/>
        </w:trPr>
        <w:tc>
          <w:tcPr>
            <w:tcW w:w="4660" w:type="dxa"/>
            <w:vAlign w:val="bottom"/>
          </w:tcPr>
          <w:p>
            <w:pPr>
              <w:ind w:left="240"/>
              <w:spacing w:after="0"/>
              <w:rPr>
                <w:sz w:val="20"/>
                <w:szCs w:val="20"/>
                <w:color w:val="auto"/>
              </w:rPr>
            </w:pPr>
            <w:r>
              <w:rPr>
                <w:rFonts w:ascii="Arial" w:cs="Arial" w:eastAsia="Arial" w:hAnsi="Arial"/>
                <w:sz w:val="18"/>
                <w:szCs w:val="18"/>
                <w:color w:val="auto"/>
              </w:rPr>
              <w:t>Notes to Consolidated Financial Statements</w:t>
            </w:r>
          </w:p>
        </w:tc>
        <w:tc>
          <w:tcPr>
            <w:tcW w:w="6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3"/>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Report of Independent Accountants</w:t>
            </w:r>
          </w:p>
        </w:tc>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431"/>
        </w:trPr>
        <w:tc>
          <w:tcPr>
            <w:tcW w:w="4660" w:type="dxa"/>
            <w:vAlign w:val="bottom"/>
          </w:tcPr>
          <w:p>
            <w:pPr>
              <w:spacing w:after="0"/>
              <w:rPr>
                <w:sz w:val="20"/>
                <w:szCs w:val="20"/>
                <w:color w:val="auto"/>
              </w:rPr>
            </w:pPr>
            <w:r>
              <w:rPr>
                <w:rFonts w:ascii="Arial" w:cs="Arial" w:eastAsia="Arial" w:hAnsi="Arial"/>
                <w:sz w:val="18"/>
                <w:szCs w:val="18"/>
                <w:color w:val="auto"/>
              </w:rPr>
              <w:t>Financial Statement Schedule:</w:t>
            </w:r>
          </w:p>
        </w:tc>
        <w:tc>
          <w:tcPr>
            <w:tcW w:w="6760" w:type="dxa"/>
            <w:vAlign w:val="bottom"/>
          </w:tcPr>
          <w:p>
            <w:pPr>
              <w:spacing w:after="0"/>
              <w:rPr>
                <w:sz w:val="24"/>
                <w:szCs w:val="24"/>
                <w:color w:val="auto"/>
              </w:rPr>
            </w:pPr>
          </w:p>
        </w:tc>
      </w:tr>
      <w:tr>
        <w:trPr>
          <w:trHeight w:val="433"/>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Schedule II—Valuation and Qualifying Accounts</w:t>
            </w:r>
          </w:p>
        </w:tc>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430"/>
        </w:trPr>
        <w:tc>
          <w:tcPr>
            <w:tcW w:w="4660" w:type="dxa"/>
            <w:vAlign w:val="bottom"/>
          </w:tcPr>
          <w:p>
            <w:pPr>
              <w:spacing w:after="0"/>
              <w:rPr>
                <w:sz w:val="24"/>
                <w:szCs w:val="24"/>
                <w:color w:val="auto"/>
              </w:rPr>
            </w:pPr>
          </w:p>
        </w:tc>
        <w:tc>
          <w:tcPr>
            <w:tcW w:w="6760" w:type="dxa"/>
            <w:vAlign w:val="bottom"/>
          </w:tcPr>
          <w:p>
            <w:pPr>
              <w:jc w:val="right"/>
              <w:ind w:right="5532"/>
              <w:spacing w:after="0"/>
              <w:rPr>
                <w:sz w:val="20"/>
                <w:szCs w:val="20"/>
                <w:color w:val="auto"/>
              </w:rPr>
            </w:pPr>
            <w:r>
              <w:rPr>
                <w:rFonts w:ascii="Arial" w:cs="Arial" w:eastAsia="Arial" w:hAnsi="Arial"/>
                <w:sz w:val="18"/>
                <w:szCs w:val="18"/>
                <w:color w:val="auto"/>
              </w:rPr>
              <w:t>32</w:t>
            </w:r>
          </w:p>
        </w:tc>
      </w:tr>
      <w:tr>
        <w:trPr>
          <w:trHeight w:val="228"/>
        </w:trPr>
        <w:tc>
          <w:tcPr>
            <w:tcW w:w="466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(Amounts in millions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7"/>
              </w:rPr>
              <w:t>For the year ended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August 28,</w:t>
            </w:r>
          </w:p>
        </w:tc>
        <w:tc>
          <w:tcPr>
            <w:tcW w:w="26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August 29,</w:t>
            </w: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67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Restructure charge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(1,186.5)</w:t>
            </w:r>
          </w:p>
        </w:tc>
        <w:tc>
          <w:tcPr>
            <w:tcW w:w="26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(1,025.3)</w:t>
            </w:r>
          </w:p>
        </w:tc>
        <w:tc>
          <w:tcPr>
            <w:tcW w:w="1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on issuance of subsidiary stock</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before taxes and minority interest</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(1,200.2)</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(998.5)</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(959.5)</w:t>
            </w:r>
          </w:p>
        </w:tc>
        <w:tc>
          <w:tcPr>
            <w:tcW w:w="0" w:type="dxa"/>
            <w:vAlign w:val="bottom"/>
          </w:tcPr>
          <w:p>
            <w:pPr>
              <w:spacing w:after="0"/>
              <w:rPr>
                <w:sz w:val="1"/>
                <w:szCs w:val="1"/>
                <w:color w:val="auto"/>
              </w:rPr>
            </w:pPr>
          </w:p>
        </w:tc>
      </w:tr>
      <w:tr>
        <w:trPr>
          <w:trHeight w:val="430"/>
        </w:trPr>
        <w:tc>
          <w:tcPr>
            <w:tcW w:w="674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(73.0)</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net income</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Loss from continuing operations</w:t>
            </w:r>
          </w:p>
        </w:tc>
        <w:tc>
          <w:tcPr>
            <w:tcW w:w="26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(1,273.2)</w:t>
            </w:r>
          </w:p>
        </w:tc>
        <w:tc>
          <w:tcPr>
            <w:tcW w:w="26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(907.0)</w:t>
            </w:r>
          </w:p>
        </w:tc>
        <w:tc>
          <w:tcPr>
            <w:tcW w:w="1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PC Operations, net of taxes and minority interest: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Loss from operations of PC business</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PC Operations</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Loss from discontinued PC Operations, net</w:t>
            </w:r>
          </w:p>
        </w:tc>
        <w:tc>
          <w:tcPr>
            <w:tcW w:w="2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105"/>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Basic loss per share:</w:t>
            </w: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40" w:type="dxa"/>
            <w:vAlign w:val="bottom"/>
            <w:gridSpan w:val="2"/>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31"/>
        </w:trPr>
        <w:tc>
          <w:tcPr>
            <w:tcW w:w="6740" w:type="dxa"/>
            <w:vAlign w:val="bottom"/>
            <w:gridSpan w:val="2"/>
          </w:tcPr>
          <w:p>
            <w:pPr>
              <w:spacing w:after="0"/>
              <w:rPr>
                <w:sz w:val="20"/>
                <w:szCs w:val="20"/>
                <w:color w:val="auto"/>
              </w:rPr>
            </w:pPr>
            <w:r>
              <w:rPr>
                <w:rFonts w:ascii="Arial" w:cs="Arial" w:eastAsia="Arial" w:hAnsi="Arial"/>
                <w:sz w:val="18"/>
                <w:szCs w:val="18"/>
                <w:color w:val="auto"/>
              </w:rPr>
              <w:t>Diluted loss per share:</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31"/>
        </w:trPr>
        <w:tc>
          <w:tcPr>
            <w:tcW w:w="6740" w:type="dxa"/>
            <w:vAlign w:val="bottom"/>
            <w:gridSpan w:val="2"/>
          </w:tcPr>
          <w:p>
            <w:pPr>
              <w:spacing w:after="0"/>
              <w:rPr>
                <w:sz w:val="20"/>
                <w:szCs w:val="20"/>
                <w:color w:val="auto"/>
              </w:rPr>
            </w:pPr>
            <w:r>
              <w:rPr>
                <w:rFonts w:ascii="Arial" w:cs="Arial" w:eastAsia="Arial" w:hAnsi="Arial"/>
                <w:sz w:val="18"/>
                <w:szCs w:val="18"/>
                <w:color w:val="auto"/>
              </w:rPr>
              <w:t>Number of shares used in per share calculations: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-7112000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-7112000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-6768465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-6768465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-6768465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-6768465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-6768465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-6768465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-6339840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-6339840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-6339840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-6339840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-6339840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-6339840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-5344795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-5344795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-5344795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-5344795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-5344795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-5344795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-4350385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-4350385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-4350385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-4350385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-4350385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-4350385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-3629660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-3629660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-3629660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-3629660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-3629660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-3629660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-2618105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-2618105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-2618105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-2618105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-2618105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-2618105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-2309495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-2309495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-2309495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-2309495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-2309495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-2309495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40"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0" w:right="239" w:bottom="0" w:gutter="0" w:footer="0" w:header="0"/>
          <w:type w:val="continuous"/>
        </w:sectPr>
      </w:pPr>
    </w:p>
    <w:bookmarkStart w:id="19" w:name="page20"/>
    <w:bookmarkEnd w:id="19"/>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(Amounts in millions except par value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August 28,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rPr>
              <w:t>August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534"/>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Cash and equivalents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570.3</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2,037.0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7,158.2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7,555.4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714.7</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Equipment purchase contracts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993.0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2,120.7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120"/>
        </w:trPr>
        <w:tc>
          <w:tcPr>
            <w:tcW w:w="82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220" w:type="dxa"/>
            <w:vAlign w:val="bottom"/>
            <w:gridSpan w:val="2"/>
          </w:tcPr>
          <w:p>
            <w:pPr>
              <w:spacing w:after="0"/>
              <w:rPr>
                <w:sz w:val="20"/>
                <w:szCs w:val="20"/>
                <w:color w:val="auto"/>
              </w:rPr>
            </w:pPr>
            <w:r>
              <w:rPr>
                <w:rFonts w:ascii="Arial" w:cs="Arial" w:eastAsia="Arial" w:hAnsi="Arial"/>
                <w:sz w:val="18"/>
                <w:szCs w:val="18"/>
                <w:color w:val="auto"/>
              </w:rPr>
              <w:t>Redeemable common stock</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$0.10 par value, authorized 3.0 billion shares, issued and outstanding 609.9 million and 604.4</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million shares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Additional capital</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4,176.3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4,971.0</w:t>
            </w:r>
          </w:p>
        </w:tc>
        <w:tc>
          <w:tcPr>
            <w:tcW w:w="2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7,158.2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7,555.4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-6823710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-6823710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-6480175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-6480175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-6480175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-6480175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-5365750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-5365750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-5365750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-5365750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-4370705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-4370705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-4370705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-4370705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-3204210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-3204210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-3204210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-3204210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-2484120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-2484120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-2484120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-2484120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-2175510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-2175510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-2175510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-2175510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-648970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-648970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-648970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-648970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-340360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-340360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-340360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-340360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millions)</w:t>
      </w:r>
    </w:p>
    <w:p>
      <w:pPr>
        <w:spacing w:after="0" w:line="214" w:lineRule="exact"/>
        <w:rPr>
          <w:sz w:val="20"/>
          <w:szCs w:val="20"/>
          <w:color w:val="auto"/>
        </w:rPr>
      </w:pPr>
    </w:p>
    <w:tbl>
      <w:tblPr>
        <w:tblLayout w:type="fixed"/>
        <w:tblInd w:w="4020" w:type="dxa"/>
        <w:tblCellMar>
          <w:top w:w="0" w:type="dxa"/>
          <w:left w:w="0" w:type="dxa"/>
          <w:bottom w:w="0" w:type="dxa"/>
          <w:right w:w="0" w:type="dxa"/>
        </w:tblCellMar>
      </w:tblPr>
      <w:tr>
        <w:trPr>
          <w:trHeight w:val="174"/>
        </w:trPr>
        <w:tc>
          <w:tcPr>
            <w:tcW w:w="1720" w:type="dxa"/>
            <w:vAlign w:val="bottom"/>
            <w:gridSpan w:val="3"/>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2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Retained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Shareholders'</w:t>
            </w:r>
          </w:p>
        </w:tc>
        <w:tc>
          <w:tcPr>
            <w:tcW w:w="0" w:type="dxa"/>
            <w:vAlign w:val="bottom"/>
          </w:tcPr>
          <w:p>
            <w:pPr>
              <w:spacing w:after="0"/>
              <w:rPr>
                <w:sz w:val="1"/>
                <w:szCs w:val="1"/>
                <w:color w:val="auto"/>
              </w:rPr>
            </w:pPr>
          </w:p>
        </w:tc>
      </w:tr>
      <w:tr>
        <w:trPr>
          <w:trHeight w:val="174"/>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of Shares</w:t>
            </w:r>
          </w:p>
        </w:tc>
        <w:tc>
          <w:tcPr>
            <w:tcW w:w="120" w:type="dxa"/>
            <w:vAlign w:val="bottom"/>
          </w:tcPr>
          <w:p>
            <w:pPr>
              <w:spacing w:after="0"/>
              <w:rPr>
                <w:sz w:val="15"/>
                <w:szCs w:val="15"/>
                <w:color w:val="auto"/>
              </w:rPr>
            </w:pPr>
          </w:p>
        </w:tc>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Earnings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05"/>
        </w:trPr>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-451485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-451485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7" w:orient="portrait"/>
          <w:cols w:equalWidth="0" w:num="1">
            <w:col w:w="11420"/>
          </w:cols>
          <w:pgMar w:left="240" w:top="584" w:right="239" w:bottom="0" w:gutter="0" w:footer="0" w:header="0"/>
        </w:sectPr>
      </w:pPr>
    </w:p>
    <w:p>
      <w:pPr>
        <w:spacing w:after="0" w:line="90" w:lineRule="exact"/>
        <w:rPr>
          <w:sz w:val="20"/>
          <w:szCs w:val="20"/>
          <w:color w:val="auto"/>
        </w:rPr>
      </w:pPr>
    </w:p>
    <w:p>
      <w:pPr>
        <w:spacing w:after="0"/>
        <w:tabs>
          <w:tab w:leader="none" w:pos="4300" w:val="left"/>
          <w:tab w:leader="none" w:pos="5420" w:val="left"/>
          <w:tab w:leader="none" w:pos="6440" w:val="left"/>
          <w:tab w:leader="none" w:pos="7660" w:val="left"/>
          <w:tab w:leader="none" w:pos="9660" w:val="left"/>
          <w:tab w:leader="none" w:pos="10800" w:val="left"/>
        </w:tabs>
        <w:rPr>
          <w:sz w:val="20"/>
          <w:szCs w:val="20"/>
          <w:color w:val="auto"/>
        </w:rPr>
      </w:pPr>
      <w:r>
        <w:rPr>
          <w:rFonts w:ascii="Arial" w:cs="Arial" w:eastAsia="Arial" w:hAnsi="Arial"/>
          <w:sz w:val="18"/>
          <w:szCs w:val="18"/>
          <w:b w:val="1"/>
          <w:bCs w:val="1"/>
          <w:color w:val="auto"/>
        </w:rPr>
        <w:t>Balance at August 31, 2000</w:t>
      </w:r>
      <w:r>
        <w:rPr>
          <w:sz w:val="20"/>
          <w:szCs w:val="20"/>
          <w:color w:val="auto"/>
        </w:rPr>
        <w:tab/>
      </w:r>
      <w:r>
        <w:rPr>
          <w:rFonts w:ascii="Arial" w:cs="Arial" w:eastAsia="Arial" w:hAnsi="Arial"/>
          <w:sz w:val="18"/>
          <w:szCs w:val="18"/>
          <w:color w:val="auto"/>
        </w:rPr>
        <w:t>567.3  $</w:t>
      </w:r>
      <w:r>
        <w:rPr>
          <w:sz w:val="20"/>
          <w:szCs w:val="20"/>
          <w:color w:val="auto"/>
        </w:rPr>
        <w:tab/>
      </w:r>
      <w:r>
        <w:rPr>
          <w:rFonts w:ascii="Arial" w:cs="Arial" w:eastAsia="Arial" w:hAnsi="Arial"/>
          <w:sz w:val="18"/>
          <w:szCs w:val="18"/>
          <w:color w:val="auto"/>
        </w:rPr>
        <w:t>56.7 $</w:t>
      </w:r>
      <w:r>
        <w:rPr>
          <w:sz w:val="20"/>
          <w:szCs w:val="20"/>
          <w:color w:val="auto"/>
        </w:rPr>
        <w:tab/>
      </w:r>
      <w:r>
        <w:rPr>
          <w:rFonts w:ascii="Arial" w:cs="Arial" w:eastAsia="Arial" w:hAnsi="Arial"/>
          <w:sz w:val="18"/>
          <w:szCs w:val="18"/>
          <w:color w:val="auto"/>
        </w:rPr>
        <w:t>2,824.2 $</w:t>
      </w:r>
      <w:r>
        <w:rPr>
          <w:sz w:val="20"/>
          <w:szCs w:val="20"/>
          <w:color w:val="auto"/>
        </w:rPr>
        <w:tab/>
      </w:r>
      <w:r>
        <w:rPr>
          <w:rFonts w:ascii="Arial" w:cs="Arial" w:eastAsia="Arial" w:hAnsi="Arial"/>
          <w:sz w:val="18"/>
          <w:szCs w:val="18"/>
          <w:color w:val="auto"/>
        </w:rPr>
        <w:t>3,549.6 $</w:t>
      </w:r>
      <w:r>
        <w:rPr>
          <w:sz w:val="20"/>
          <w:szCs w:val="20"/>
          <w:color w:val="auto"/>
        </w:rPr>
        <w:tab/>
      </w:r>
      <w:r>
        <w:rPr>
          <w:rFonts w:ascii="Arial" w:cs="Arial" w:eastAsia="Arial" w:hAnsi="Arial"/>
          <w:sz w:val="18"/>
          <w:szCs w:val="18"/>
          <w:color w:val="auto"/>
        </w:rPr>
        <w:t>1.5 $</w:t>
      </w:r>
      <w:r>
        <w:rPr>
          <w:sz w:val="20"/>
          <w:szCs w:val="20"/>
          <w:color w:val="auto"/>
        </w:rPr>
        <w:tab/>
      </w:r>
      <w:r>
        <w:rPr>
          <w:rFonts w:ascii="Arial" w:cs="Arial" w:eastAsia="Arial" w:hAnsi="Arial"/>
          <w:sz w:val="16"/>
          <w:szCs w:val="16"/>
          <w:color w:val="auto"/>
        </w:rPr>
        <w:t>6,432.0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01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887" w:orient="portrait"/>
          <w:cols w:equalWidth="0" w:num="1">
            <w:col w:w="11420"/>
          </w:cols>
          <w:pgMar w:left="240" w:top="584" w:right="239" w:bottom="0" w:gutter="0" w:footer="0" w:header="0"/>
          <w:type w:val="continuous"/>
        </w:sectPr>
      </w:pPr>
    </w:p>
    <w:bookmarkStart w:id="20" w:name="page21"/>
    <w:bookmarkEnd w:id="2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6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36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6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(625.0)</w:t>
            </w:r>
          </w:p>
        </w:tc>
        <w:tc>
          <w:tcPr>
            <w:tcW w:w="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change in unrealized gain (loss) on</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investments, net of tax</w:t>
            </w: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Total comprehensive income (loss)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notes to stock</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Issuance of common stock warrants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issued under stock plans</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Tax effect of stock plans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18"/>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August 30, 2001</w:t>
            </w: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gridSpan w:val="2"/>
            <w:vMerge w:val="continue"/>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2,924.6</w:t>
            </w:r>
          </w:p>
        </w:tc>
        <w:tc>
          <w:tcPr>
            <w:tcW w:w="120" w:type="dxa"/>
            <w:vAlign w:val="bottom"/>
          </w:tcPr>
          <w:p>
            <w:pPr>
              <w:spacing w:after="0"/>
              <w:rPr>
                <w:sz w:val="24"/>
                <w:szCs w:val="24"/>
                <w:color w:val="auto"/>
              </w:rPr>
            </w:pPr>
          </w:p>
        </w:tc>
        <w:tc>
          <w:tcPr>
            <w:tcW w:w="680" w:type="dxa"/>
            <w:vAlign w:val="bottom"/>
          </w:tcPr>
          <w:p>
            <w:pPr>
              <w:jc w:val="right"/>
              <w:ind w:right="5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7,134.8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0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Borders>
              <w:right w:val="single" w:sz="8" w:color="808080"/>
            </w:tcBorders>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(907.0)</w:t>
            </w: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ind w:left="440"/>
              <w:spacing w:after="0"/>
              <w:rPr>
                <w:sz w:val="20"/>
                <w:szCs w:val="20"/>
                <w:color w:val="auto"/>
              </w:rPr>
            </w:pPr>
            <w:r>
              <w:rPr>
                <w:rFonts w:ascii="Arial" w:cs="Arial" w:eastAsia="Arial" w:hAnsi="Arial"/>
                <w:sz w:val="18"/>
                <w:szCs w:val="18"/>
                <w:color w:val="auto"/>
              </w:rPr>
              <w:t>Net change in unrealized gain (loss) 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440"/>
              <w:spacing w:after="0"/>
              <w:rPr>
                <w:sz w:val="20"/>
                <w:szCs w:val="20"/>
                <w:color w:val="auto"/>
              </w:rPr>
            </w:pPr>
            <w:r>
              <w:rPr>
                <w:rFonts w:ascii="Arial" w:cs="Arial" w:eastAsia="Arial" w:hAnsi="Arial"/>
                <w:sz w:val="18"/>
                <w:szCs w:val="18"/>
                <w:color w:val="auto"/>
              </w:rPr>
              <w:t>investments, net of tax</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6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118"/>
        </w:trPr>
        <w:tc>
          <w:tcPr>
            <w:tcW w:w="404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gridSpan w:val="2"/>
          </w:tcPr>
          <w:p>
            <w:pPr>
              <w:spacing w:after="0"/>
              <w:rPr>
                <w:sz w:val="20"/>
                <w:szCs w:val="20"/>
                <w:color w:val="auto"/>
              </w:rPr>
            </w:pPr>
            <w:r>
              <w:rPr>
                <w:rFonts w:ascii="Arial" w:cs="Arial" w:eastAsia="Arial" w:hAnsi="Arial"/>
                <w:sz w:val="18"/>
                <w:szCs w:val="18"/>
                <w:color w:val="auto"/>
              </w:rPr>
              <w:t>Stock issued under stock plans</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Stock issued in connection with purchase of DRAM</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from</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Toshiba Corporation</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August 29, 2002</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0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40" w:type="dxa"/>
            <w:vAlign w:val="bottom"/>
            <w:tcBorders>
              <w:right w:val="single" w:sz="8" w:color="808080"/>
            </w:tcBorders>
            <w:gridSpan w:val="2"/>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0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6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(1,273.2)</w:t>
            </w:r>
          </w:p>
        </w:tc>
        <w:tc>
          <w:tcPr>
            <w:tcW w:w="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change in unrealized gain (loss) on</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investments, net of tax</w:t>
            </w: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Total comprehensive income (loss)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(1,274.1)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issued under stock plans</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Purchase of call spread options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Repurchase and retirement of common stock</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August 28, 2003</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Borders>
              <w:right w:val="single" w:sz="8" w:color="808080"/>
            </w:tcBorders>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-6137275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-6137275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-5828665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-5828665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-4988560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-4988560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-4988560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-4988560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-4988560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-4988560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-4988560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-4988560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-4988560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-4988560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-4988560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-4988560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-3667760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-3667760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-3359150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-3359150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-2518410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-2518410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-2518410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-2518410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-2518410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-2518410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-2518410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-2518410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-2518410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-2518410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-2518410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-2518410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-1334770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-1334770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-1026160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-1026160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-323215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-323215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-323215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-323215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-323215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-323215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For the year ended</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August 28,</w:t>
            </w:r>
          </w:p>
        </w:tc>
        <w:tc>
          <w:tcPr>
            <w:tcW w:w="1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August 29,</w:t>
            </w:r>
          </w:p>
        </w:tc>
        <w:tc>
          <w:tcPr>
            <w:tcW w:w="2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78"/>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98"/>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(1,273.2)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(907.0)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PC Operations, net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8"/>
              </w:rPr>
              <w:t>Adjustments to reconcile net loss to net cash provided by operating activities: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1,209.9</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Noncash restructure and other charges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to write down inventories to estimated market values</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-1411605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-1411605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-1068705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-1068705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-1068705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-1068705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-1068705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-1068705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563" w:right="239" w:bottom="0" w:gutter="0" w:footer="0" w:header="0"/>
        </w:sectPr>
      </w:pPr>
    </w:p>
    <w:bookmarkStart w:id="21" w:name="page22"/>
    <w:bookmarkEnd w:id="2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Loss from write-down or disposition of equipment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(gain) from write-down or disposition of investments</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Loss on contributions of investment</w:t>
            </w:r>
          </w:p>
        </w:tc>
        <w:tc>
          <w:tcPr>
            <w:tcW w:w="5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Additional capital tax effect of stock plans</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Decrease (increase) in receivables</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Increase in inventories</w:t>
            </w:r>
          </w:p>
        </w:tc>
        <w:tc>
          <w:tcPr>
            <w:tcW w:w="5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(196.2)</w:t>
            </w:r>
          </w:p>
        </w:tc>
        <w:tc>
          <w:tcPr>
            <w:tcW w:w="4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(378.9)</w:t>
            </w:r>
          </w:p>
        </w:tc>
        <w:tc>
          <w:tcPr>
            <w:tcW w:w="4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Increase (decrease) in accounts payable and accrued expenses</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4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118"/>
        </w:trPr>
        <w:tc>
          <w:tcPr>
            <w:tcW w:w="666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(821.5)</w:t>
            </w: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(759.9)</w:t>
            </w:r>
          </w:p>
        </w:tc>
        <w:tc>
          <w:tcPr>
            <w:tcW w:w="4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(1,867.9)</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Purchases of held-to-maturity securities</w:t>
            </w: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maturities of held-to-maturity securities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Purchase of DRAM assets from Toshiba Corporation</w:t>
            </w: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(252.4)</w:t>
            </w:r>
          </w:p>
        </w:tc>
        <w:tc>
          <w:tcPr>
            <w:tcW w:w="4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reduction from deconsolidation of MEI</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paid in connection with disposition of PC Operations</w:t>
            </w: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Net cash used for investing activities</w:t>
            </w:r>
          </w:p>
        </w:tc>
        <w:tc>
          <w:tcPr>
            <w:tcW w:w="5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(518.1)</w:t>
            </w:r>
          </w:p>
        </w:tc>
        <w:tc>
          <w:tcPr>
            <w:tcW w:w="4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(513.9)</w:t>
            </w:r>
          </w:p>
        </w:tc>
        <w:tc>
          <w:tcPr>
            <w:tcW w:w="4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(1,382.6)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issuance of debt</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 warrants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(143.2)</w:t>
            </w: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(122.3)</w:t>
            </w:r>
          </w:p>
        </w:tc>
        <w:tc>
          <w:tcPr>
            <w:tcW w:w="4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call spread options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Repayments of debt</w:t>
            </w: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(106.0)</w:t>
            </w: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(84.6)</w:t>
            </w:r>
          </w:p>
        </w:tc>
        <w:tc>
          <w:tcPr>
            <w:tcW w:w="4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(used for) financing activities</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(135.1)</w:t>
            </w: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Net increase (decrease) in cash and equivalents</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(70.9)</w:t>
            </w:r>
          </w:p>
        </w:tc>
        <w:tc>
          <w:tcPr>
            <w:tcW w:w="4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 at beginning of year</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66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60" w:type="dxa"/>
            <w:vAlign w:val="bottom"/>
            <w:gridSpan w:val="2"/>
          </w:tcPr>
          <w:p>
            <w:pPr>
              <w:spacing w:after="0"/>
              <w:rPr>
                <w:sz w:val="20"/>
                <w:szCs w:val="20"/>
                <w:color w:val="auto"/>
              </w:rPr>
            </w:pPr>
            <w:r>
              <w:rPr>
                <w:rFonts w:ascii="Arial" w:cs="Arial" w:eastAsia="Arial" w:hAnsi="Arial"/>
                <w:sz w:val="18"/>
                <w:szCs w:val="18"/>
                <w:color w:val="auto"/>
              </w:rPr>
              <w:t>Cash and equivalents at end of year</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570.3</w:t>
            </w:r>
          </w:p>
        </w:tc>
        <w:tc>
          <w:tcPr>
            <w:tcW w:w="220" w:type="dxa"/>
            <w:vAlign w:val="bottom"/>
          </w:tcPr>
          <w:p>
            <w:pPr>
              <w:spacing w:after="0"/>
              <w:rPr>
                <w:sz w:val="24"/>
                <w:szCs w:val="24"/>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398.2</w:t>
            </w:r>
          </w:p>
        </w:tc>
        <w:tc>
          <w:tcPr>
            <w:tcW w:w="220" w:type="dxa"/>
            <w:vAlign w:val="bottom"/>
          </w:tcPr>
          <w:p>
            <w:pPr>
              <w:spacing w:after="0"/>
              <w:rPr>
                <w:sz w:val="24"/>
                <w:szCs w:val="24"/>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taxes refunded (paid), net</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18"/>
                <w:szCs w:val="18"/>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540.0</w:t>
            </w:r>
          </w:p>
        </w:tc>
        <w:tc>
          <w:tcPr>
            <w:tcW w:w="220" w:type="dxa"/>
            <w:vAlign w:val="bottom"/>
          </w:tcPr>
          <w:p>
            <w:pPr>
              <w:spacing w:after="0"/>
              <w:rPr>
                <w:sz w:val="18"/>
                <w:szCs w:val="18"/>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 acquisitions on contracts payable and capital leases</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Conversion of notes to equity</w:t>
            </w:r>
          </w:p>
        </w:tc>
        <w:tc>
          <w:tcPr>
            <w:tcW w:w="5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-6065520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-6065520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-6065520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-6065520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-6065520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-6065520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-5774055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-5774055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-5774055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-5774055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-5774055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-5774055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-3836035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-3836035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-3836035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-3836035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-3836035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-3836035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-3526790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-3526790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-3526790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-3526790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-3526790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-3526790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-2000250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-2000250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-2000250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-2000250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-2000250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-2000250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-1691640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-1691640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-1691640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-1691640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-1691640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-1691640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-1245870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-1245870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-1245870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-1245870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-1245870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-1245870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(All tabular amounts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and its subsidiaries (hereinafter referred to collectively as the "Company") manufacture and market</w:t>
      </w:r>
      <w:r>
        <w:rPr>
          <w:rFonts w:ascii="Arial" w:cs="Arial" w:eastAsia="Arial" w:hAnsi="Arial"/>
          <w:sz w:val="16"/>
          <w:szCs w:val="16"/>
          <w:b w:val="1"/>
          <w:bCs w:val="1"/>
          <w:color w:val="auto"/>
        </w:rPr>
        <w:t xml:space="preserve"> </w:t>
      </w:r>
      <w:r>
        <w:rPr>
          <w:rFonts w:ascii="Arial" w:cs="Arial" w:eastAsia="Arial" w:hAnsi="Arial"/>
          <w:sz w:val="16"/>
          <w:szCs w:val="16"/>
          <w:color w:val="auto"/>
        </w:rPr>
        <w:t>DRAMs, Flash memory, CMOS image sensors and other semiconductor components. The accompanying consolidated financial statements have been prepared in accordance with generally accepted accounting principles and include the accounts of the Company and its consolidated subsidiaries. All significant intercompany transactions and balances have been eliminated. The Company's fiscal year is the 52 or 53-week period ending on the Thursday closest to</w:t>
      </w:r>
    </w:p>
    <w:p>
      <w:pPr>
        <w:sectPr>
          <w:pgSz w:w="11900" w:h="16861" w:orient="portrait"/>
          <w:cols w:equalWidth="0" w:num="1">
            <w:col w:w="11420"/>
          </w:cols>
          <w:pgMar w:left="240" w:top="401" w:right="239" w:bottom="0" w:gutter="0" w:footer="0" w:header="0"/>
        </w:sectPr>
      </w:pPr>
    </w:p>
    <w:bookmarkStart w:id="22" w:name="page23"/>
    <w:bookmarkEnd w:id="22"/>
    <w:p>
      <w:pPr>
        <w:spacing w:after="0" w:line="1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August 31. Fiscal years 2003, 2002 and 2001 each contained 52 weeks and ended on August 28, 2003, August 29, 2002, and August 30, 2001, respectively. The Company's fiscal year 2004, which ends on September 2, 2004, contains 53 weeks and the first quarter of fiscal year 2004, which ends on December 4, 2003, contains 14 weeks. All period references are to the Company's fiscal periods unless otherwise indicated.</w:t>
      </w:r>
    </w:p>
    <w:p>
      <w:pPr>
        <w:spacing w:after="0" w:line="161" w:lineRule="exact"/>
        <w:rPr>
          <w:sz w:val="20"/>
          <w:szCs w:val="20"/>
          <w:color w:val="auto"/>
        </w:rPr>
      </w:pPr>
    </w:p>
    <w:p>
      <w:pPr>
        <w:ind w:right="320" w:firstLine="351"/>
        <w:spacing w:after="0" w:line="290" w:lineRule="auto"/>
        <w:rPr>
          <w:sz w:val="20"/>
          <w:szCs w:val="20"/>
          <w:color w:val="auto"/>
        </w:rPr>
      </w:pPr>
      <w:r>
        <w:rPr>
          <w:rFonts w:ascii="Arial" w:cs="Arial" w:eastAsia="Arial" w:hAnsi="Arial"/>
          <w:sz w:val="16"/>
          <w:szCs w:val="16"/>
          <w:color w:val="auto"/>
        </w:rPr>
        <w:t>On August 6, 2001, Micron Electronics, Inc. ("MEI"), a former subsidiary of the Company, completed a merger with Interland, Inc. in a stock-for-stock acquisition (the "Interland Merger"). Upon completion of the Interland Merger, MEI changed its name to Interland, Inc. ("Interland"), and the Company's ownership interest was reduced from 61% to 43% of MEI's outstanding common stock. On August 30, 2001, the Company contributed all of its shares of Interland common stock to the Micron Technology Foundation (the "Foundation"). The Foundation's results are not consolidated with the Company's results. MEI's 2001 financial results are included in the Company's consolidated financial statements for eleven months through the date of the Interland Merger. As a result of MEI's disposal of its PC Operations in 2001, the Company's consolidated financial statements present the net effect of discontinued PC Operations separate from the results of the Company's continuing operations.</w:t>
      </w:r>
    </w:p>
    <w:p>
      <w:pPr>
        <w:spacing w:after="0" w:line="166" w:lineRule="exact"/>
        <w:rPr>
          <w:sz w:val="20"/>
          <w:szCs w:val="20"/>
          <w:color w:val="auto"/>
        </w:rPr>
      </w:pPr>
    </w:p>
    <w:p>
      <w:pPr>
        <w:ind w:right="740" w:firstLine="351"/>
        <w:spacing w:after="0" w:line="275"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none of which affected results of operations, to present the financial statements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basis.</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and related disclosures in conformity with U. S. generally accepted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differ under different assumptions or conditions. The Company evaluates its estimates and judgments on an ongoing basis. Actual results could differ from estimates.</w:t>
      </w:r>
    </w:p>
    <w:p>
      <w:pPr>
        <w:spacing w:after="0" w:line="193" w:lineRule="exact"/>
        <w:rPr>
          <w:sz w:val="20"/>
          <w:szCs w:val="20"/>
          <w:color w:val="auto"/>
        </w:rPr>
      </w:pPr>
    </w:p>
    <w:p>
      <w:pPr>
        <w:ind w:right="140" w:firstLine="351"/>
        <w:spacing w:after="0" w:line="301" w:lineRule="auto"/>
        <w:rPr>
          <w:sz w:val="20"/>
          <w:szCs w:val="20"/>
          <w:color w:val="auto"/>
        </w:rPr>
      </w:pPr>
      <w:r>
        <w:rPr>
          <w:rFonts w:ascii="Arial" w:cs="Arial" w:eastAsia="Arial" w:hAnsi="Arial"/>
          <w:sz w:val="16"/>
          <w:szCs w:val="16"/>
          <w:b w:val="1"/>
          <w:bCs w:val="1"/>
          <w:color w:val="auto"/>
        </w:rPr>
        <w:t xml:space="preserve">Certain concentrations: </w:t>
      </w:r>
      <w:r>
        <w:rPr>
          <w:rFonts w:ascii="Arial" w:cs="Arial" w:eastAsia="Arial" w:hAnsi="Arial"/>
          <w:sz w:val="16"/>
          <w:szCs w:val="16"/>
          <w:color w:val="auto"/>
        </w:rPr>
        <w:t>Approximately 82% of the Company's net sales for 2003 were to the computing market. Semiconductor Operations sales to one</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were 14.9%, 16.5% and 10.8% of the Company's net sales in 2003, 2002 and 2001, respectively. Semiconductor Operations sales to another customer were 13.2%, 12.0% and 13.1% of the Company's net sales in 2003, 2002 and 2001, respectively. Certain components used by the Company in manufacturing semiconductor products are available from a limited number of suppliers.</w:t>
      </w:r>
    </w:p>
    <w:p>
      <w:pPr>
        <w:spacing w:after="0" w:line="163"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investment securities and trade accounts receivable. The Company invests through high-credit-quality financial institutions and, by policy, limits the concentration of credit exposure by restricting investments with any single obligor. A concentration of credit risk may exist with respect to trade receivables as a substantial portion of the Company's customers are affiliated with the computing industry. The Company performs ongoing credit evaluations of customers worldwide and generally does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not require collateral from its customers. Historically, the Company has not experienced significant losses on receivables.</w:t>
      </w:r>
    </w:p>
    <w:p>
      <w:pPr>
        <w:spacing w:after="0" w:line="219"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The Company generally provides a limited warranty that its products are in compliance with Company specifications existing at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upon the Company more extensive liability than that provided under the Company's general terms and conditions. The Company's warranty obligations are not material.</w:t>
      </w:r>
    </w:p>
    <w:p>
      <w:pPr>
        <w:spacing w:after="0" w:line="162" w:lineRule="exact"/>
        <w:rPr>
          <w:sz w:val="20"/>
          <w:szCs w:val="20"/>
          <w:color w:val="auto"/>
        </w:rPr>
      </w:pPr>
    </w:p>
    <w:p>
      <w:pPr>
        <w:ind w:right="280" w:firstLine="351"/>
        <w:spacing w:after="0" w:line="339"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from product sales to direct customers is recognized when title transfers to the customer, primarily upon shipment.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defers recognition of sales to certain customers that have rights of return and price protection until such customers have sold the products.</w:t>
      </w:r>
    </w:p>
    <w:p>
      <w:pPr>
        <w:spacing w:after="0" w:line="128" w:lineRule="exact"/>
        <w:rPr>
          <w:sz w:val="20"/>
          <w:szCs w:val="20"/>
          <w:color w:val="auto"/>
        </w:rPr>
      </w:pPr>
    </w:p>
    <w:p>
      <w:pPr>
        <w:ind w:right="80" w:firstLine="341"/>
        <w:spacing w:after="0" w:line="275"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Advertising costs are charged to operations as incurred. The Company incurred $11.1 million, $13.6 million and $24.1 million of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 2003, 2002 and 2001, respectively.</w:t>
      </w:r>
    </w:p>
    <w:p>
      <w:pPr>
        <w:spacing w:after="0" w:line="174"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when incurred. Determining when product development is complete requires judgment by the Company. The Company deems development of a product complete once the product has been thoroughly reviewed and tested for performance and reliability and is internally qualified for sale to customers. Subsequent to product qualification, product costs are valued in inventory.</w:t>
      </w:r>
    </w:p>
    <w:p>
      <w:pPr>
        <w:spacing w:after="0" w:line="190"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Employee stock plans are accounted for using the intrinsic value method prescribed by Accounting Principles Board ("APB")</w:t>
      </w:r>
      <w:r>
        <w:rPr>
          <w:rFonts w:ascii="Arial" w:cs="Arial" w:eastAsia="Arial" w:hAnsi="Arial"/>
          <w:sz w:val="16"/>
          <w:szCs w:val="16"/>
          <w:b w:val="1"/>
          <w:bCs w:val="1"/>
          <w:color w:val="auto"/>
        </w:rPr>
        <w:t xml:space="preserve"> </w:t>
      </w:r>
      <w:r>
        <w:rPr>
          <w:rFonts w:ascii="Arial" w:cs="Arial" w:eastAsia="Arial" w:hAnsi="Arial"/>
          <w:sz w:val="16"/>
          <w:szCs w:val="16"/>
          <w:color w:val="auto"/>
        </w:rPr>
        <w:t>Opinion No. 25, "Accounting for Stock Issued to Employees." The Company utilizes the Black-Scholes option valuation model to value stock options for pro forma presentation of income and per share data as if the fair value-based accounting method in Statement of Financial Accounting Standards ("SFAS") No. 123, "Accounting for Stock-Based Compensation," had been used to account for stock-based compensation. The following presents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 forma loss and per share data as if a fair value-based accounting method had been used to account for stock-based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as reported</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(1,273.2)</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(907.0)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available to common shareholders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(1,279.5)</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1"/>
              </w:rPr>
              <w:t>Stock-based employee compensation expense included in reported net loss, net of related tax</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effects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1"/>
              </w:rPr>
              <w:t>Less total stock-based employee compensation expense determined under a fair value-based</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method for all awards, net of related tax effects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(295.2)</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(378.3)</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-1195705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-1195705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-1195705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-1195705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-1195705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-1195705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-767080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-767080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-767080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-767080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-767080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-767080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420"/>
          </w:cols>
          <w:pgMar w:left="240" w:top="131" w:right="2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Pro forma net loss from continuing operations available to common shareholders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(1,574.3)</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(1,286.0)</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(746.9)</w:t>
            </w:r>
          </w:p>
        </w:tc>
      </w:tr>
      <w:tr>
        <w:trPr>
          <w:trHeight w:val="107"/>
        </w:trPr>
        <w:tc>
          <w:tcPr>
            <w:tcW w:w="7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7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r>
        <w:trPr>
          <w:trHeight w:val="105"/>
        </w:trPr>
        <w:tc>
          <w:tcPr>
            <w:tcW w:w="7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432"/>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from continuing operations:</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2"/>
        </w:trPr>
        <w:tc>
          <w:tcPr>
            <w:tcW w:w="7180" w:type="dxa"/>
            <w:vAlign w:val="bottom"/>
          </w:tcPr>
          <w:p>
            <w:pPr>
              <w:ind w:left="220"/>
              <w:spacing w:after="0"/>
              <w:rPr>
                <w:sz w:val="20"/>
                <w:szCs w:val="20"/>
                <w:color w:val="auto"/>
              </w:rPr>
            </w:pPr>
            <w:r>
              <w:rPr>
                <w:rFonts w:ascii="Arial" w:cs="Arial" w:eastAsia="Arial" w:hAnsi="Arial"/>
                <w:sz w:val="18"/>
                <w:szCs w:val="18"/>
                <w:color w:val="auto"/>
              </w:rPr>
              <w:t>Basic, as reported</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r>
      <w:tr>
        <w:trPr>
          <w:trHeight w:val="24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pro forma</w:t>
            </w: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4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431"/>
        </w:trPr>
        <w:tc>
          <w:tcPr>
            <w:tcW w:w="7180" w:type="dxa"/>
            <w:vAlign w:val="bottom"/>
          </w:tcPr>
          <w:p>
            <w:pPr>
              <w:ind w:left="220"/>
              <w:spacing w:after="0"/>
              <w:rPr>
                <w:sz w:val="20"/>
                <w:szCs w:val="20"/>
                <w:color w:val="auto"/>
              </w:rPr>
            </w:pPr>
            <w:r>
              <w:rPr>
                <w:rFonts w:ascii="Arial" w:cs="Arial" w:eastAsia="Arial" w:hAnsi="Arial"/>
                <w:sz w:val="18"/>
                <w:szCs w:val="18"/>
                <w:color w:val="auto"/>
              </w:rPr>
              <w:t>Diluted, as reported</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r>
      <w:tr>
        <w:trPr>
          <w:trHeight w:val="24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pro forma</w:t>
            </w: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4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4718050</wp:posOffset>
            </wp:positionH>
            <wp:positionV relativeFrom="page">
              <wp:posOffset>88900</wp:posOffset>
            </wp:positionV>
            <wp:extent cx="2611120"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11120" cy="19050"/>
                    </a:xfrm>
                    <a:prstGeom prst="rect">
                      <a:avLst/>
                    </a:prstGeom>
                    <a:noFill/>
                  </pic:spPr>
                </pic:pic>
              </a:graphicData>
            </a:graphic>
          </wp:anchor>
        </w:drawing>
      </w:r>
    </w:p>
    <w:p>
      <w:pPr>
        <w:ind w:right="400" w:firstLine="351"/>
        <w:spacing w:after="0" w:line="259" w:lineRule="auto"/>
        <w:rPr>
          <w:sz w:val="20"/>
          <w:szCs w:val="20"/>
          <w:color w:val="auto"/>
        </w:rPr>
      </w:pPr>
      <w:r>
        <w:rPr>
          <w:rFonts w:ascii="Arial" w:cs="Arial" w:eastAsia="Arial" w:hAnsi="Arial"/>
          <w:sz w:val="18"/>
          <w:szCs w:val="18"/>
          <w:color w:val="auto"/>
        </w:rPr>
        <w:t>Stock-based employee compensation expense determined under a fair value-based method in 2003 and 2002 does not reflect a benefit for income taxes, which is consistent with the Company's treatment of net operating losses from its U.S. operations. Stock-based compensation expense in 2001 is net of an assumed benefit for income taxes of $92.0 million.</w:t>
      </w:r>
    </w:p>
    <w:p>
      <w:pPr>
        <w:spacing w:after="0" w:line="188"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b w:val="1"/>
          <w:bCs w:val="1"/>
          <w:color w:val="auto"/>
        </w:rPr>
        <w:t>Functional currency:</w:t>
      </w:r>
      <w:r>
        <w:rPr>
          <w:sz w:val="20"/>
          <w:szCs w:val="20"/>
          <w:color w:val="auto"/>
        </w:rPr>
        <w:tab/>
      </w:r>
      <w:r>
        <w:rPr>
          <w:rFonts w:ascii="Arial" w:cs="Arial" w:eastAsia="Arial" w:hAnsi="Arial"/>
          <w:sz w:val="16"/>
          <w:szCs w:val="16"/>
          <w:color w:val="auto"/>
        </w:rPr>
        <w:t>The U.S. dollar is the Company's functional currency for substantially all of its operations.</w:t>
      </w:r>
    </w:p>
    <w:p>
      <w:pPr>
        <w:spacing w:after="0" w:line="225" w:lineRule="exact"/>
        <w:rPr>
          <w:sz w:val="20"/>
          <w:szCs w:val="20"/>
          <w:color w:val="auto"/>
        </w:rPr>
      </w:pPr>
    </w:p>
    <w:p>
      <w:pPr>
        <w:ind w:right="80" w:firstLine="351"/>
        <w:spacing w:after="0" w:line="310"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Basic earnings per share is computed based on the weighted average number of common shares outstanding. Diluted earnings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is computed based on the weighted average number of common shares outstanding plus the dilutive effects of stock options, stock warrants and convertible notes. Basic and diluted earnings per share computations reflect the effect of accretion of redeemable common stock.</w:t>
      </w:r>
    </w:p>
    <w:p>
      <w:pPr>
        <w:spacing w:after="0" w:line="151"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color w:val="auto"/>
        </w:rPr>
        <w:t>Cash equivalents include highly liquid short-term investments with original maturities of three months or less, readily convertible</w:t>
      </w:r>
      <w:r>
        <w:rPr>
          <w:rFonts w:ascii="Arial" w:cs="Arial" w:eastAsia="Arial" w:hAnsi="Arial"/>
          <w:sz w:val="16"/>
          <w:szCs w:val="16"/>
          <w:b w:val="1"/>
          <w:bCs w:val="1"/>
          <w:color w:val="auto"/>
        </w:rPr>
        <w:t xml:space="preserve"> </w:t>
      </w:r>
      <w:r>
        <w:rPr>
          <w:rFonts w:ascii="Arial" w:cs="Arial" w:eastAsia="Arial" w:hAnsi="Arial"/>
          <w:sz w:val="16"/>
          <w:szCs w:val="16"/>
          <w:color w:val="auto"/>
        </w:rPr>
        <w:t>to known amounts of cash. Investments with original maturities greater than three months and remaining maturities less than one year are classified as short-term investments. Investments with remaining maturities greater than one year are classified as other noncurrent assets. Securities classified as available-for-sale are stated at market value. The carrying value of investment securities sold is determined using the specific identification method.</w:t>
      </w:r>
    </w:p>
    <w:p>
      <w:pPr>
        <w:spacing w:after="0" w:line="163"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amounts reported as cash and equivalents, short-term investments, receivables, other assets, accounts payable and accrued expenses and equipment purchase contracts approximate their fair values. The estimated fair value of the Company's debt as of August 28, 2003, and August 29, 2002, was $1.3 billion and $430 million,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approximate fair values do not take into consideration expenses that could be incurred in an actual settlement.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technology costs. Determining market value of inventories involves numerous judgments, including projecting average selling prices and sales volumes for future periods and costs to complete products in work in process inventories. As a result of these analyses, the Company records a charge to cost of goods sold in advance of when the inventory is actually sold when market values are below the Company's costs.</w:t>
      </w:r>
    </w:p>
    <w:p>
      <w:pPr>
        <w:spacing w:after="0" w:line="157" w:lineRule="exact"/>
        <w:rPr>
          <w:sz w:val="20"/>
          <w:szCs w:val="20"/>
          <w:color w:val="auto"/>
        </w:rPr>
      </w:pPr>
    </w:p>
    <w:p>
      <w:pPr>
        <w:ind w:right="80" w:firstLine="351"/>
        <w:spacing w:after="0" w:line="306" w:lineRule="auto"/>
        <w:rPr>
          <w:sz w:val="20"/>
          <w:szCs w:val="20"/>
          <w:color w:val="auto"/>
        </w:rPr>
      </w:pPr>
      <w:r>
        <w:rPr>
          <w:rFonts w:ascii="Arial" w:cs="Arial" w:eastAsia="Arial" w:hAnsi="Arial"/>
          <w:sz w:val="15"/>
          <w:szCs w:val="15"/>
          <w:b w:val="1"/>
          <w:bCs w:val="1"/>
          <w:color w:val="auto"/>
        </w:rPr>
        <w:t xml:space="preserve">Product and process technology: </w:t>
      </w:r>
      <w:r>
        <w:rPr>
          <w:rFonts w:ascii="Arial" w:cs="Arial" w:eastAsia="Arial" w:hAnsi="Arial"/>
          <w:sz w:val="15"/>
          <w:szCs w:val="15"/>
          <w:color w:val="auto"/>
        </w:rPr>
        <w:t>Costs incurred to acquire product and process technology or to patent technology developed by the Company are</w:t>
      </w:r>
      <w:r>
        <w:rPr>
          <w:rFonts w:ascii="Arial" w:cs="Arial" w:eastAsia="Arial" w:hAnsi="Arial"/>
          <w:sz w:val="15"/>
          <w:szCs w:val="15"/>
          <w:b w:val="1"/>
          <w:bCs w:val="1"/>
          <w:color w:val="auto"/>
        </w:rPr>
        <w:t xml:space="preserve"> </w:t>
      </w:r>
      <w:r>
        <w:rPr>
          <w:rFonts w:ascii="Arial" w:cs="Arial" w:eastAsia="Arial" w:hAnsi="Arial"/>
          <w:sz w:val="15"/>
          <w:szCs w:val="15"/>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w:t>
      </w:r>
    </w:p>
    <w:p>
      <w:pPr>
        <w:spacing w:after="0" w:line="1" w:lineRule="exact"/>
        <w:rPr>
          <w:sz w:val="20"/>
          <w:szCs w:val="20"/>
          <w:color w:val="auto"/>
        </w:rPr>
      </w:pPr>
    </w:p>
    <w:p>
      <w:pPr>
        <w:ind w:right="200" w:firstLine="8"/>
        <w:spacing w:after="0" w:line="261"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estimated useful life of the technology, (ii) the patent term or (iii) the term of the technology agreement. Fully-amortized costs are removed from product and process technology and accumulated amortization.</w:t>
      </w:r>
    </w:p>
    <w:p>
      <w:pPr>
        <w:spacing w:after="0" w:line="186" w:lineRule="exact"/>
        <w:rPr>
          <w:sz w:val="20"/>
          <w:szCs w:val="20"/>
          <w:color w:val="auto"/>
        </w:rPr>
      </w:pPr>
    </w:p>
    <w:p>
      <w:pPr>
        <w:jc w:val="both"/>
        <w:ind w:right="20" w:firstLine="351"/>
        <w:spacing w:after="0" w:line="301"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stated at cost and depreciated using the straight-line method over the estimated useful</w:t>
      </w:r>
      <w:r>
        <w:rPr>
          <w:rFonts w:ascii="Arial" w:cs="Arial" w:eastAsia="Arial" w:hAnsi="Arial"/>
          <w:sz w:val="16"/>
          <w:szCs w:val="16"/>
          <w:b w:val="1"/>
          <w:bCs w:val="1"/>
          <w:color w:val="auto"/>
        </w:rPr>
        <w:t xml:space="preserve"> </w:t>
      </w:r>
      <w:r>
        <w:rPr>
          <w:rFonts w:ascii="Arial" w:cs="Arial" w:eastAsia="Arial" w:hAnsi="Arial"/>
          <w:sz w:val="16"/>
          <w:szCs w:val="16"/>
          <w:color w:val="auto"/>
        </w:rPr>
        <w:t>lives of 5 to 30 years for buildings, 2 to 20 years for equipment and 2 to 5 years for software. Assets held for sale are carried at the lower of cost or estimated fair value and are included in other noncurrent assets. When property or equipment is retired or otherwise disposed of, the net book value of the asset is removed from the Company's accounts and any net gain or loss is included in the Company's results of operations.</w:t>
      </w:r>
    </w:p>
    <w:p>
      <w:pPr>
        <w:spacing w:after="0" w:line="163"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$3.4 million, $10.2 million and $9.8 million in 2003, 2002 and 2001, respectively, in connection with various capital projects.</w:t>
      </w:r>
    </w:p>
    <w:p>
      <w:pPr>
        <w:spacing w:after="0" w:line="188"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 xml:space="preserve">Recently issued accounting standards: </w:t>
      </w:r>
      <w:r>
        <w:rPr>
          <w:rFonts w:ascii="Arial" w:cs="Arial" w:eastAsia="Arial" w:hAnsi="Arial"/>
          <w:sz w:val="16"/>
          <w:szCs w:val="16"/>
          <w:color w:val="auto"/>
        </w:rPr>
        <w:t>In May 2003, the Financial Accounting Standards Board ("FASB") issued SFAS No. 150, "Accounting for</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with Characteristics of both Liabilities and Equity." SFAS No. 150 requires that certain financial instruments, which under previous guidance could be accounted for as equity, be classified as liabilities in statements of financial position. SFAS No. 150 is effective for financial instruments entered into or modified after May 31, 2003, and is otherwise effective for the Company in the first quarter of 2004. The Company does not expect the adoption of SFAS No. 150 to have a significant impact on the Company's future results of operations or financial condition.</w:t>
      </w:r>
    </w:p>
    <w:p>
      <w:pPr>
        <w:spacing w:after="0" w:line="168"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January 2003, the FASB issued Interpretation No. 46, "Consolidation of Variable Interest Entities—an interpretation of ARB No. 51," which provides guidance on the identification of and reporting for variable interest entities. Interpretation No. 46 expands the criteria for consideration in determining whether a variable interest entity should be consolidated. Interpretation No. 46 is effective immediately for variable interest entities created after January 31, 2003, and to variable interest entities in which an enterprise obtains an interest after that date. Interpretation No. 46 is effective for the Company in the second quarter of 2004 for variable interest entities acquired before February 1, 2003. The Company is currently assessing the impact of Interpretation No. 46 on its future results of operations and financial condition.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ectPr>
          <w:pgSz w:w="11900" w:h="16838" w:orient="portrait"/>
          <w:cols w:equalWidth="0" w:num="1">
            <w:col w:w="11420"/>
          </w:cols>
          <w:pgMar w:left="240" w:top="347" w:right="239" w:bottom="0" w:gutter="0" w:footer="0" w:header="0"/>
        </w:sectPr>
      </w:pPr>
    </w:p>
    <w:bookmarkStart w:id="24" w:name="page25"/>
    <w:bookmarkEnd w:id="24"/>
    <w:tbl>
      <w:tblPr>
        <w:tblLayout w:type="fixed"/>
        <w:tblInd w:w="1220" w:type="dxa"/>
        <w:tblCellMar>
          <w:top w:w="0" w:type="dxa"/>
          <w:left w:w="0" w:type="dxa"/>
          <w:bottom w:w="0" w:type="dxa"/>
          <w:right w:w="0" w:type="dxa"/>
        </w:tblCellMar>
      </w:tblPr>
      <w:tr>
        <w:trPr>
          <w:trHeight w:val="174"/>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Investment Securities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391.1</w:t>
            </w:r>
          </w:p>
        </w:tc>
        <w:tc>
          <w:tcPr>
            <w:tcW w:w="26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Repurchase agreements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Less cash equivalents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(418.0)</w:t>
            </w: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noncurrent investments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351.5</w:t>
            </w:r>
          </w:p>
        </w:tc>
        <w:tc>
          <w:tcPr>
            <w:tcW w:w="26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-2004060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-2004060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-2004060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-2004060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-2004060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-2004060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-940435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-940435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-940435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-940435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-340360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-340360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-340360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-340360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Gross unrealized gains and losses as of the end of the periods shown above were de minimis as were gross realized gains and losses in 2003, 2002 and 2001.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Securities of $722.6 million held by the Company as of August 28, 2003, have contractual maturities within one year.</w:t>
      </w:r>
    </w:p>
    <w:p>
      <w:pPr>
        <w:spacing w:after="0" w:line="214"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Receivables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Joint venture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Taxes other than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4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2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Inventories</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0" w:type="dxa"/>
            <w:vAlign w:val="bottom"/>
            <w:tcBorders>
              <w:top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Allowance for obsolescence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-2561590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-2561590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-2561590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-2561590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-2561590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-2561590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-1583690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-1583690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-1583690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-1583690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-1026160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-1026160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-1026160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-1026160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-1026160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-1026160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recognized write-downs aggregating $307.0 million and $376.1 million in 2003 and 2002, respectively, to record work in process and finished goods inventories of semiconductor products at their estimated market values.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Intangible Assets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August 28, 2003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August 29,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21"/>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61"/>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Joint venture supply arrangement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447.8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(158.2)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433.5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-1231900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-1231900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-1231900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-1231900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-1231900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-1231900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-889000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-889000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-889000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-889000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-889000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-889000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-889000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-889000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-323215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-323215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-323215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-323215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-323215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During 2003, the Company capitalized $32.8 million for product and process technology and $2.5 million for other intangible assets with weighted average useful lives of 10 years and 3 years,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respectively. During 2002, the Company capitalized $52.7 million for product and process technology and $9.4 million for other intangible assets with weighted average useful lives of 9 years and 5 years, respectively. As part of a restructure plan announced in the second quarter of 2003, the Company wrote off net carrying values of $16.1 million of product and process technology and $2.5 million of other intangible assets associated with discontinued products, including SRAM and TCAM products. (See "Restructure and Other Charges" note.)</w:t>
      </w:r>
    </w:p>
    <w:p>
      <w:pPr>
        <w:spacing w:after="0" w:line="197"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 Company has guaranteed a portion of the credit facility of its joint venture, TECH Semiconductor Singapore Pte. Ltd. ("TECH"). In accordance with FASB Interpretation No. 45, the Company estimated the fair value of its guarantee of TECH's credit facility to be $7.0 million, which was recorded in other noncurrent liabilities in the third quarter of 2003 with an offsetting amount as an increase in the value of the TECH supply arrangement. The amount recorded pursuant to Interpretation No. 45 is being amortized using the straight-line method through the June 2006 term of the new TECH credit facility. (See "Joint Venture" note.)</w:t>
      </w:r>
    </w:p>
    <w:p>
      <w:pPr>
        <w:sectPr>
          <w:pgSz w:w="11900" w:h="16838" w:orient="portrait"/>
          <w:cols w:equalWidth="0" w:num="1">
            <w:col w:w="11380"/>
          </w:cols>
          <w:pgMar w:left="240" w:top="127" w:right="279" w:bottom="106" w:gutter="0" w:footer="0" w:header="0"/>
        </w:sectPr>
      </w:pPr>
    </w:p>
    <w:bookmarkStart w:id="25" w:name="page26"/>
    <w:bookmarkEnd w:id="25"/>
    <w:p>
      <w:pPr>
        <w:spacing w:after="0" w:line="137"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Amortization expense for intangible assets was $51.1 million, $47.1 million and $49.2 million in 2003, 2002 and 2001, respectively. Annual amortization expense for intangible assets held as of August 28, 2003, is estimated to be $48.8 million in 2004, $45.6 million in 2005, $43.9 million in 2006, $42.1 million in 2007 and $41.3 million in 2008.</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Property, Plant and Equipment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9,346.4</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(4,835.9)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4,510.5</w:t>
            </w:r>
          </w:p>
        </w:tc>
        <w:tc>
          <w:tcPr>
            <w:tcW w:w="26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4,699.5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-1591945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-1591945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-1591945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-1591945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-1591945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-1591945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-751840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-751840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-751840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-751840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-323215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-323215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was $1,157.8 million, $1,127.5 million and $1,049.6 million for 2003, 2002 and 2001,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manufacturing facilities in Virginia and Utah that are only partially utilized. As of August 28, 2003, the Virginia and Utah facilities had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net book values of $332.1 million and $824.1 million, respectively. A portion of the Virginia facility is currently being used for 300 mm wafer fabrication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Utah facility is being used for component test operations. The Company is depreciating all assets at the Virginia and Utah facilities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$196.2 million of construction in progress in Utah as of August 28, 2003. Increased utilization of these facilities is dependent upon market conditions,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not limited to, worldwide market supply of, and demand for, semiconductor products and the Company's operations, cash flows and alternative capacity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utilization opportunities.</w:t>
      </w:r>
    </w:p>
    <w:p>
      <w:pPr>
        <w:spacing w:after="0" w:line="219"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part of a restructure plan announced in the second quarter of 2003, the Company recorded impairment charges of $42.6 million in 2003 to write down the carrying value of certain assets used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the Company's 200 mm production line in Virginia, which was shut down as part of the restructure plan. (See "Restructure and Other Charges" note.)</w:t>
      </w:r>
    </w:p>
    <w:p>
      <w:pPr>
        <w:spacing w:after="0" w:line="244"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Restructure charge</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-1300480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-1300480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-1300480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-1300480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-1300480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-1300480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5"/>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8"/>
              </w:rPr>
              <w:t>Convertible subordinated notes payable, interest rate of 2.5%, due February 2010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87"/>
              </w:rPr>
              <w:t>Subordinated notes payable, face amount of $210.0 million and stated interest rate of 6.5%,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w w:val="95"/>
              </w:rPr>
              <w:t>due September 2005, with an effective yield to maturity of 10.7%, net of unamortized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color w:val="auto"/>
              </w:rPr>
              <w:t>discount of $15.8 million and $22.2 million</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88"/>
              </w:rPr>
              <w:t>Notes payable in periodic installments through July 2015, weighted average interest rate of</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2.3% and 2.3%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2"/>
              </w:rPr>
              <w:t>Capitalized lease obligations payable in monthly installments through December 2007,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color w:val="auto"/>
              </w:rPr>
              <w:t>weighted average imputed interest rate of 6.0% and 2.4%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-2004060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-2004060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-2004060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-2004060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-2004060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-2004060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-751840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-751840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-751840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-751840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-323215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of August 28, 2003, notes payable and capital lease obligations of $158.6 million and $11.9 million, respectively, denominated in Japanese Yen, were at weighted average interest rates of 1.5% and 1.8%, respectively.</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February 2003, the Company issued $632.5 million of 2.5% Convertible Subordinated Notes due February 1, 2010 (the "Notes"). The issuance costs associated with the Notes totaled $16.6 million and the net proceeds to the Company from the offering of the Notes were $615.9 million. Holders of the Notes may convert all or some of their Notes at any time prior to maturity, unless previously redeemed or repurchased, into the Company's common stock at a conversion rate of 84.8320 shares for each $1,000 principal amount of Notes. This conversion rate is equivalent to a conversion price of approximately $11.79 per share. The Company may redeem the notes at any time after February 6, 2006, at declining premiums to par.</w:t>
      </w:r>
    </w:p>
    <w:p>
      <w:pPr>
        <w:spacing w:after="0" w:line="170" w:lineRule="exact"/>
        <w:rPr>
          <w:sz w:val="20"/>
          <w:szCs w:val="20"/>
          <w:color w:val="auto"/>
        </w:rPr>
      </w:pPr>
    </w:p>
    <w:p>
      <w:pPr>
        <w:jc w:val="both"/>
        <w:ind w:right="20" w:firstLine="351"/>
        <w:spacing w:after="0" w:line="370" w:lineRule="auto"/>
        <w:rPr>
          <w:sz w:val="20"/>
          <w:szCs w:val="20"/>
          <w:color w:val="auto"/>
        </w:rPr>
      </w:pPr>
      <w:r>
        <w:rPr>
          <w:rFonts w:ascii="Arial" w:cs="Arial" w:eastAsia="Arial" w:hAnsi="Arial"/>
          <w:sz w:val="15"/>
          <w:szCs w:val="15"/>
          <w:color w:val="auto"/>
        </w:rPr>
        <w:t>Certain notes payable are collateralized by property, plant and equipment with a total cost of $180.6 million and accumulated depreciation of $118.0 million as of August 28, 2003. Equipment under capital leases and accumulated amortization thereon were $72.5 million and $19.2 million, respectively, as of August 28,</w:t>
      </w:r>
    </w:p>
    <w:p>
      <w:pPr>
        <w:sectPr>
          <w:pgSz w:w="11900" w:h="16975" w:orient="portrait"/>
          <w:cols w:equalWidth="0" w:num="1">
            <w:col w:w="11400"/>
          </w:cols>
          <w:pgMar w:left="240" w:top="131" w:right="259" w:bottom="0" w:gutter="0" w:footer="0" w:header="0"/>
        </w:sectPr>
      </w:pPr>
    </w:p>
    <w:bookmarkStart w:id="26" w:name="page27"/>
    <w:bookmarkEnd w:id="26"/>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2003, and $14.5 million and $5.7 million, respectively, as of August 29,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28, 2003, maturities of notes payable and future minimum lease payments under capital leases were as follows:</w:t>
      </w:r>
    </w:p>
    <w:p>
      <w:pPr>
        <w:spacing w:after="0" w:line="208"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Notes</w:t>
            </w:r>
          </w:p>
        </w:tc>
        <w:tc>
          <w:tcPr>
            <w:tcW w:w="18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2009 and thereafter</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Discount and interest</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1,019.6</w:t>
            </w: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-1437640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-1437640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-1437640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-1437640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-1437640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-1437640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-323215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-323215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Spread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Concurrent with the issuance of the Notes, the Company purchased call spread options (the "Call Spread Options") covering 53.7 million shares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which is the number of shares issuable upon conversion of the Notes in full. The Call Spread Options have a lower strike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$11.79, a higher strike price of $18.19, may be settled at the Company's option either in cash or net shares and expire on January 29, 2008. Settlement of the Call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Spread Options in cash on January 29, 2008, the expiration date, would result in the Company receiving an amount ranging from zero if the market price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of the Company's common stock is at or below $11.79 to a maximum of $343.4 million if the market price per share of the Company's common stock is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above $18.19. Settlement of the Call Spread Options in net shares on the expiration date would result in the Company receiving a number of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Company's common stock, not to exceed 18.9 million shares, with a value equal to the amount otherwise receivable on cash settlement. Should there be an early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unwind of the Call Spread Options, the amount of cash or net shares potentially received by the Company will be dependent upon then existing overall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and on the Company's stock price, the volatility of the Company's stock and the amount of time remaining on the Call Spread Options. The Call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Spread Options therefore have the potential of limiting the dilution associated with the conversion of the Notes from 53.7 million shares to as few as 34.8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The Call Spread Option transactions, including fees and costs of $109.1 million, are accounted for as capital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entered into an interest rate swap agreement (the "Swap") that effectively converts, beginning August 29, 2003, the fixed interest rate on the Notes to a variable interest rate based on the 3-month London Interbank Offering Rate ("LIBOR") less 65 basis points. The Swap qualifies as a fair-value hedge under SFAS No. 133, "Accounting for Derivative Instruments and Hedging Activities." The gain or loss from changes in the fair value of the Swap is expected to be highly effective at offsetting the gain or loss from changes in the fair value of the Notes attributable to changes in interest rates. In connection with the Swap, the Company pledged $20.2 million as collateral in September 2003. The amount of collateral will fluctuate based on the fair value of the Swap. The Swap will terminate if the closing price of the Company's common stock is at or exceeds $14.15 after February 6,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August 28, 2003, the Company had commitments of $335.4 million for the acquisition of property, plant and equipment. The Company leases certain facilities, equipment and software 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operating leases. Total rental expense on all operating leases was $24.6 million, $16.2 million and $25.0 million for 2003, 2002 and 2001, respectively. Minimum future rental commitments under operating leases aggregated $83.9 million as of August 28, 2003, and are payable as follows: $20.3 million in 2004; $17.6 million in 2005; $15.0 million in 2006; $3.3 million in 2007; $3.1 million in 2008; and $24.6 million in 2009 and thereafter.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processes infringe their product or process technology rights. The Company is currently engaged in litigation with Rambus, Inc. ("Rambus") relating to certain of Rambus' patents and certain of the Company's claims and defenses. Lawsuits between Rambus and the Company are pending in the United States, Germany, France, the United Kingdom and Italy. The Company is unable to predict the outcome of the Rambus suits or of other assertions of infringements made against the Company.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72"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twenty-four purported class action lawsuits were filed against the Company and other DRAM suppliers in various federal and state courts alleging violations of the Sherman Act and state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 Company is unable to predict the outcome of these suits. Based upon the Company's analysis of the claims made and the nature of the DRAM</w:t>
      </w:r>
    </w:p>
    <w:p>
      <w:pPr>
        <w:sectPr>
          <w:pgSz w:w="11900" w:h="16892" w:orient="portrait"/>
          <w:cols w:equalWidth="0" w:num="1">
            <w:col w:w="11400"/>
          </w:cols>
          <w:pgMar w:left="240" w:top="131" w:right="259" w:bottom="0" w:gutter="0" w:footer="0" w:header="0"/>
        </w:sectPr>
      </w:pPr>
    </w:p>
    <w:bookmarkStart w:id="27" w:name="page28"/>
    <w:bookmarkEnd w:id="27"/>
    <w:p>
      <w:pPr>
        <w:spacing w:after="0" w:line="8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industry, the Company believes that class treatment of these cases is not appropriate and that any purported injury alleged by plaintiffs would be more appropriately resolved on a customer-by-customer basis. The final resolution of these alleged violations of federal or state antitrust laws could result in significant liability and could have a material adverse effect on the Company's business, results of operations or financial condition.</w:t>
      </w:r>
    </w:p>
    <w:p>
      <w:pPr>
        <w:spacing w:after="0" w:line="16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issuance of the 1.5 million shares of common stock for the Toshiba DRAM Acquisition, the Company granted Toshiba Corporation an option to require the Company to repurchase on October 21, 2003, all of these shares for $67.5 million in cash. Toshiba has exercised the option and the Company will redeem these shares in the first quarter of 2004. The carrying value of the redeemable common stock is accreted to its redemption amount of $67.5 million by a charge directly to retained earnings and is included in the computations of earning per share. Accretion of redeemable common stock was $6.3 million in 2003 and $2.1 million in 2002. (See "Acquisitions—Toshiba Corporation DRAM Assets" note.)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Rights</w:t>
      </w:r>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On September 24, 2003, the Company received $450.0 million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purchase price of $13.29, the Company could be obligated to pay Intel amounts not to exceed $135 million, a substantial portion of which is payable, at the Company's election, in the Company's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During the fourth quarter of 2001, the Company received $480.2 million from the issuance of warrants to purchase 29.1 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August 28, 2003, there have been no exercises of warrants and all warrants issued remain outstanding.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income (loss), net of tax, consists of the following as of the end of the periods shown below:</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-768985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-768985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-768985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-768985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-340360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-340360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-340360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-340360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of August 28, 2003, the Company had an aggregate of 132.1 million shares of its common stock reserved for issuance under its various stock option plans, of which 88.9 million shares are subject to outstanding options and 43.2 million shares are available for future grants. Options are subject to terms and conditions as determined by the Company's Board of Directors. Stock options granted after June 16, 1999, are generally exercisable in increments of 25% during each year of employment beginning one year from the date of grant. Stock options granted prior to June 16, 1999, are generally exercisable in increments of 20% during each year of employment beginning one year from the date of grant. Stock options issued prior to January 19, 1998, expire six years from the date of grant and stock options granted subsequent to that date expire ten years from the date of grant.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Option activity under the Company's stock option plans is summarized as follows:</w:t>
      </w:r>
    </w:p>
    <w:p>
      <w:pPr>
        <w:spacing w:after="0" w:line="221" w:lineRule="exact"/>
        <w:rPr>
          <w:sz w:val="20"/>
          <w:szCs w:val="20"/>
          <w:color w:val="auto"/>
        </w:rPr>
      </w:pPr>
    </w:p>
    <w:tbl>
      <w:tblPr>
        <w:tblLayout w:type="fixed"/>
        <w:tblInd w:w="492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1300" w:type="dxa"/>
            <w:vAlign w:val="bottom"/>
          </w:tcPr>
          <w:p>
            <w:pPr>
              <w:jc w:val="right"/>
              <w:ind w:right="83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tcPr>
          <w:p>
            <w:pPr>
              <w:jc w:val="right"/>
              <w:ind w:right="83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jc w:val="right"/>
              <w:ind w:right="872"/>
              <w:spacing w:after="0"/>
              <w:rPr>
                <w:sz w:val="20"/>
                <w:szCs w:val="20"/>
                <w:color w:val="auto"/>
              </w:rPr>
            </w:pPr>
            <w:r>
              <w:rPr>
                <w:rFonts w:ascii="Arial" w:cs="Arial" w:eastAsia="Arial" w:hAnsi="Arial"/>
                <w:sz w:val="14"/>
                <w:szCs w:val="14"/>
                <w:b w:val="1"/>
                <w:bCs w:val="1"/>
                <w:color w:val="auto"/>
              </w:rPr>
              <w:t>2001</w:t>
            </w:r>
          </w:p>
        </w:tc>
      </w:tr>
      <w:tr>
        <w:trPr>
          <w:trHeight w:val="105"/>
        </w:trPr>
        <w:tc>
          <w:tcPr>
            <w:tcW w:w="7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r>
        <w:trPr>
          <w:trHeight w:val="266"/>
        </w:trPr>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1300" w:type="dxa"/>
            <w:vAlign w:val="bottom"/>
          </w:tcPr>
          <w:p>
            <w:pPr>
              <w:jc w:val="right"/>
              <w:ind w:right="232"/>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1300" w:type="dxa"/>
            <w:vAlign w:val="bottom"/>
          </w:tcPr>
          <w:p>
            <w:pPr>
              <w:jc w:val="right"/>
              <w:ind w:right="232"/>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Weighted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-183515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-183515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-183515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-183515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-183515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24" w:orient="portrait"/>
          <w:cols w:equalWidth="0" w:num="1">
            <w:col w:w="11420"/>
          </w:cols>
          <w:pgMar w:left="240" w:top="131" w:right="2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of shares</w:t>
            </w:r>
          </w:p>
        </w:tc>
        <w:tc>
          <w:tcPr>
            <w:tcW w:w="200" w:type="dxa"/>
            <w:vAlign w:val="bottom"/>
          </w:tcPr>
          <w:p>
            <w:pPr>
              <w:spacing w:after="0"/>
              <w:rPr>
                <w:sz w:val="14"/>
                <w:szCs w:val="14"/>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of shares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159"/>
              <w:spacing w:after="0" w:line="131" w:lineRule="exact"/>
              <w:rPr>
                <w:sz w:val="20"/>
                <w:szCs w:val="20"/>
                <w:color w:val="auto"/>
              </w:rPr>
            </w:pPr>
            <w:r>
              <w:rPr>
                <w:rFonts w:ascii="Arial" w:cs="Arial" w:eastAsia="Arial" w:hAnsi="Arial"/>
                <w:sz w:val="14"/>
                <w:szCs w:val="14"/>
                <w:b w:val="1"/>
                <w:bCs w:val="1"/>
                <w:color w:val="auto"/>
                <w:w w:val="81"/>
              </w:rPr>
              <w:t>exercise</w:t>
            </w:r>
          </w:p>
        </w:tc>
        <w:tc>
          <w:tcPr>
            <w:tcW w:w="10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19"/>
              <w:spacing w:after="0" w:line="131" w:lineRule="exact"/>
              <w:rPr>
                <w:sz w:val="20"/>
                <w:szCs w:val="20"/>
                <w:color w:val="auto"/>
              </w:rPr>
            </w:pPr>
            <w:r>
              <w:rPr>
                <w:rFonts w:ascii="Arial" w:cs="Arial" w:eastAsia="Arial" w:hAnsi="Arial"/>
                <w:sz w:val="14"/>
                <w:szCs w:val="14"/>
                <w:b w:val="1"/>
                <w:bCs w:val="1"/>
                <w:color w:val="auto"/>
                <w:w w:val="81"/>
              </w:rPr>
              <w:t>exercise</w:t>
            </w:r>
          </w:p>
        </w:tc>
        <w:tc>
          <w:tcPr>
            <w:tcW w:w="100" w:type="dxa"/>
            <w:vAlign w:val="bottom"/>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3"/>
              </w:rPr>
              <w:t>price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price</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Cancelled or expired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23.02</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30.97</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2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9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gridSpan w:val="2"/>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9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2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820" w:type="dxa"/>
            <w:vAlign w:val="bottom"/>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-1417320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-1417320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-1228725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-1228725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-1417320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-1417320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-1228725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-1228725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-1417320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-1417320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-1228725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-1228725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-525780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-525780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-525780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-525780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-525780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-525780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options outstanding as of August 28, 2003: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Outstanding options</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Exercisable options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16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Weighted</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remaining</w:t>
            </w:r>
          </w:p>
        </w:tc>
        <w:tc>
          <w:tcPr>
            <w:tcW w:w="320" w:type="dxa"/>
            <w:vAlign w:val="bottom"/>
          </w:tcPr>
          <w:p>
            <w:pPr>
              <w:spacing w:after="0"/>
              <w:rPr>
                <w:sz w:val="12"/>
                <w:szCs w:val="12"/>
                <w:color w:val="auto"/>
              </w:rPr>
            </w:pPr>
          </w:p>
        </w:tc>
        <w:tc>
          <w:tcPr>
            <w:tcW w:w="16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57"/>
              <w:spacing w:after="0" w:line="149"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20" w:type="dxa"/>
            <w:vAlign w:val="bottom"/>
          </w:tcPr>
          <w:p>
            <w:pPr>
              <w:spacing w:after="0"/>
              <w:rPr>
                <w:sz w:val="12"/>
                <w:szCs w:val="12"/>
                <w:color w:val="auto"/>
              </w:rPr>
            </w:pPr>
          </w:p>
        </w:tc>
        <w:tc>
          <w:tcPr>
            <w:tcW w:w="16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exercise</w:t>
            </w:r>
          </w:p>
        </w:tc>
        <w:tc>
          <w:tcPr>
            <w:tcW w:w="114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8"/>
              </w:rPr>
              <w:t>exercise</w:t>
            </w:r>
          </w:p>
        </w:tc>
        <w:tc>
          <w:tcPr>
            <w:tcW w:w="0" w:type="dxa"/>
            <w:vAlign w:val="bottom"/>
          </w:tcPr>
          <w:p>
            <w:pPr>
              <w:spacing w:after="0"/>
              <w:rPr>
                <w:sz w:val="1"/>
                <w:szCs w:val="1"/>
                <w:color w:val="auto"/>
              </w:rPr>
            </w:pPr>
          </w:p>
        </w:tc>
      </w:tr>
      <w:tr>
        <w:trPr>
          <w:trHeight w:val="174"/>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w w:val="96"/>
              </w:rPr>
              <w:t>Range of exercise prices</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37"/>
              <w:spacing w:after="0"/>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5"/>
                <w:szCs w:val="15"/>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life (in years)</w:t>
            </w:r>
          </w:p>
        </w:tc>
        <w:tc>
          <w:tcPr>
            <w:tcW w:w="320" w:type="dxa"/>
            <w:vAlign w:val="bottom"/>
          </w:tcPr>
          <w:p>
            <w:pPr>
              <w:spacing w:after="0"/>
              <w:rPr>
                <w:sz w:val="15"/>
                <w:szCs w:val="15"/>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price</w:t>
            </w:r>
          </w:p>
        </w:tc>
        <w:tc>
          <w:tcPr>
            <w:tcW w:w="1140" w:type="dxa"/>
            <w:vAlign w:val="bottom"/>
          </w:tcPr>
          <w:p>
            <w:pPr>
              <w:jc w:val="right"/>
              <w:ind w:right="239"/>
              <w:spacing w:after="0"/>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 $14.00</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14.02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 $22.83</w:t>
            </w:r>
          </w:p>
        </w:tc>
        <w:tc>
          <w:tcPr>
            <w:tcW w:w="1160" w:type="dxa"/>
            <w:vAlign w:val="bottom"/>
          </w:tcPr>
          <w:p>
            <w:pPr>
              <w:jc w:val="right"/>
              <w:spacing w:after="0"/>
              <w:rPr>
                <w:sz w:val="20"/>
                <w:szCs w:val="20"/>
                <w:color w:val="auto"/>
              </w:rPr>
            </w:pPr>
            <w:r>
              <w:rPr>
                <w:rFonts w:ascii="Arial" w:cs="Arial" w:eastAsia="Arial" w:hAnsi="Arial"/>
                <w:sz w:val="18"/>
                <w:szCs w:val="18"/>
                <w:color w:val="auto"/>
              </w:rPr>
              <w:t>35.2</w:t>
            </w:r>
          </w:p>
        </w:tc>
        <w:tc>
          <w:tcPr>
            <w:tcW w:w="2520" w:type="dxa"/>
            <w:vAlign w:val="bottom"/>
            <w:gridSpan w:val="3"/>
          </w:tcPr>
          <w:p>
            <w:pPr>
              <w:jc w:val="right"/>
              <w:ind w:right="24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18.56</w:t>
            </w: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 $34.06</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34.09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 $40.06</w:t>
            </w: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2520" w:type="dxa"/>
            <w:vAlign w:val="bottom"/>
            <w:gridSpan w:val="3"/>
          </w:tcPr>
          <w:p>
            <w:pPr>
              <w:jc w:val="right"/>
              <w:ind w:right="24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36.88</w:t>
            </w: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 $96.56</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520" w:type="dxa"/>
            <w:vAlign w:val="bottom"/>
            <w:gridSpan w:val="3"/>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2"/>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w:t>
            </w:r>
          </w:p>
        </w:tc>
        <w:tc>
          <w:tcPr>
            <w:tcW w:w="2520" w:type="dxa"/>
            <w:vAlign w:val="bottom"/>
            <w:gridSpan w:val="3"/>
          </w:tcPr>
          <w:p>
            <w:pPr>
              <w:jc w:val="right"/>
              <w:ind w:right="24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24.17</w:t>
            </w: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28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2"/>
          </w:tcPr>
          <w:p>
            <w:pPr>
              <w:jc w:val="right"/>
              <w:ind w:right="672"/>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-2129155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-2129155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-2129155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-2129155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-1503045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-1503045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-1503045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-1503045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-1503045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-1503045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-1503045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-1503045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-1503045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-1503045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-1503045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-1503045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-662940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-662940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-662940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-662940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225"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Company's 1989 Employee Stock Purchase Plan ("ESPP") allows eligible employees to purchase shares of the Company's common stock through payroll deductions. The shares can be purchased for 85% of the lower of the beginning or ending closing stock prices of each offering period and can be resold when purchased. Purchases are limited to 20% of an employee's eligible compensation. As of August 28, 2003, 19.6 million shares of the Company's common stock had been issued under the ESPP and 0.9 million shares were available for future issuance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Stock Incentive Plan</w:t>
      </w:r>
    </w:p>
    <w:p>
      <w:pPr>
        <w:spacing w:after="0" w:line="225"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As of August 28, 2003, 16,991 shares of the Company's common stock had been issued under the 1998 Non-Employee Director Stock Incentive Plan ("DSIP Plan") and 483,009 shares were reserved for future issuance under the plan. Shares are issued under the DSIP plan as compensation to non-employee directors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Assumptions used in the Black-Scholes option valuation model to estimate the value of the Company's options included in pro forma amounts are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Stock option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Employee stock</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plan shares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4"/>
              </w:rPr>
              <w:t>purchase plan shares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(zero coupon U.S. Treasury note)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Weighted average fair value at grant: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 price equal to market price</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220"/>
              <w:spacing w:after="0"/>
              <w:rPr>
                <w:sz w:val="20"/>
                <w:szCs w:val="20"/>
                <w:color w:val="auto"/>
              </w:rPr>
            </w:pPr>
            <w:r>
              <w:rPr>
                <w:rFonts w:ascii="Arial" w:cs="Arial" w:eastAsia="Arial" w:hAnsi="Arial"/>
                <w:sz w:val="18"/>
                <w:szCs w:val="18"/>
                <w:color w:val="auto"/>
              </w:rPr>
              <w:t>Exercise price less than market price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 price greater than market price</w:t>
            </w:r>
          </w:p>
        </w:tc>
        <w:tc>
          <w:tcPr>
            <w:tcW w:w="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 price equal to market price</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13.22</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220"/>
              <w:spacing w:after="0"/>
              <w:rPr>
                <w:sz w:val="20"/>
                <w:szCs w:val="20"/>
                <w:color w:val="auto"/>
              </w:rPr>
            </w:pPr>
            <w:r>
              <w:rPr>
                <w:rFonts w:ascii="Arial" w:cs="Arial" w:eastAsia="Arial" w:hAnsi="Arial"/>
                <w:sz w:val="18"/>
                <w:szCs w:val="18"/>
                <w:color w:val="auto"/>
              </w:rPr>
              <w:t>Exercise price less than market price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41.42</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price greater than market price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-1941830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-1941830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-1941830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-1941830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-1692910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-1692910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-1692910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-1692910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-1692910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-1692910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-1692910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-1692910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-1692910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-1692910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-1692910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-1692910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Black-Scholes option valuation model was developed for use in estimating the fair value of traded options which have no vesting restrictions and are fully transferable. In addition, the Black-Scholes model requires the input of subjective assumptions, including the expected stock price volatility and option life. Because the Company's stock options granted to employees have characteristics significantly different from those of traded options and because changes in the subjective input assumptions can materially affect the fair value estimate, in management's opinion, existing models do not provide a reliable measure of the fair value of the Company's stock options granted to employees. For purposes of this valuation model, no dividends have been assumed.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Savings Plan</w:t>
      </w:r>
    </w:p>
    <w:p>
      <w:pPr>
        <w:sectPr>
          <w:pgSz w:w="11900" w:h="16838" w:orient="portrait"/>
          <w:cols w:equalWidth="0" w:num="1">
            <w:col w:w="11420"/>
          </w:cols>
          <w:pgMar w:left="240" w:top="114" w:right="239" w:bottom="0" w:gutter="0" w:footer="0" w:header="0"/>
        </w:sectPr>
      </w:pPr>
    </w:p>
    <w:bookmarkStart w:id="29" w:name="page30"/>
    <w:bookmarkEnd w:id="29"/>
    <w:p>
      <w:pPr>
        <w:spacing w:after="0" w:line="1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a 401(k) retirement plan ("RAM Plan") under which U.S. employees may contribute up to 45% of their eligible pay to various savings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alternatives, none of which include direct investment in the Company's common stock. The Company's contribution provides for an annual match of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 of eligible employee contributions, in addition to contributions based on the Company's financial performance. Contribution expense for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RAM Plan was $12.5 million, $12.8 million and $16.9 million in 2003, 2002 and 2001, respectively.</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the prolonged downturn in the semiconductor memory industry and the resulting operating losses, in the second quarter of 2003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announced a plan to restructure its operations. The restructure plan included the shutdown of the Company's 200 mm production line in Virginia,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discontinuance of certain memory products, including SRAM and TCAM products, and a 10% reduction of the Company's worldwide workforce.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plan, the Company recorded a restructure charge of $109.2 million in 2003. In addition, the Company recorded other restructure-related charges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$7.1 million to write down the carrying value of raw materials and work in process inventories associated with discontinued products. These other charges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cost of goods sold in the accompanying consolidated statements of operations. The Company has substantially completed the restructure plan.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restructure and other charges were as follows:</w:t>
      </w:r>
    </w:p>
    <w:p>
      <w:pPr>
        <w:spacing w:after="0" w:line="227"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Restructure charge:</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500" w:type="dxa"/>
            <w:vAlign w:val="bottom"/>
          </w:tcPr>
          <w:p>
            <w:pPr>
              <w:ind w:left="260"/>
              <w:spacing w:after="0"/>
              <w:rPr>
                <w:sz w:val="20"/>
                <w:szCs w:val="20"/>
                <w:color w:val="auto"/>
              </w:rPr>
            </w:pPr>
            <w:r>
              <w:rPr>
                <w:rFonts w:ascii="Arial" w:cs="Arial" w:eastAsia="Arial" w:hAnsi="Arial"/>
                <w:sz w:val="18"/>
                <w:szCs w:val="18"/>
                <w:color w:val="auto"/>
              </w:rPr>
              <w:t>Write-down of equipment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4"/>
        </w:trPr>
        <w:tc>
          <w:tcPr>
            <w:tcW w:w="75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Severance and other termination benefits</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2"/>
        </w:trPr>
        <w:tc>
          <w:tcPr>
            <w:tcW w:w="7500" w:type="dxa"/>
            <w:vAlign w:val="bottom"/>
          </w:tcPr>
          <w:p>
            <w:pPr>
              <w:ind w:left="260"/>
              <w:spacing w:after="0"/>
              <w:rPr>
                <w:sz w:val="20"/>
                <w:szCs w:val="20"/>
                <w:color w:val="auto"/>
              </w:rPr>
            </w:pPr>
            <w:r>
              <w:rPr>
                <w:rFonts w:ascii="Arial" w:cs="Arial" w:eastAsia="Arial" w:hAnsi="Arial"/>
                <w:sz w:val="18"/>
                <w:szCs w:val="18"/>
                <w:color w:val="auto"/>
              </w:rPr>
              <w:t>Write-down of intangible assets</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4"/>
        </w:trPr>
        <w:tc>
          <w:tcPr>
            <w:tcW w:w="75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18"/>
        </w:trPr>
        <w:tc>
          <w:tcPr>
            <w:tcW w:w="7500" w:type="dxa"/>
            <w:vAlign w:val="bottom"/>
            <w:vMerge w:val="restart"/>
          </w:tcPr>
          <w:p>
            <w:pPr>
              <w:ind w:left="260"/>
              <w:spacing w:after="0"/>
              <w:rPr>
                <w:sz w:val="20"/>
                <w:szCs w:val="20"/>
                <w:color w:val="auto"/>
              </w:rPr>
            </w:pPr>
            <w:r>
              <w:rPr>
                <w:rFonts w:ascii="Arial" w:cs="Arial" w:eastAsia="Arial" w:hAnsi="Arial"/>
                <w:sz w:val="18"/>
                <w:szCs w:val="18"/>
                <w:color w:val="auto"/>
              </w:rPr>
              <w:t>Total restructure charge</w:t>
            </w:r>
          </w:p>
        </w:tc>
        <w:tc>
          <w:tcPr>
            <w:tcW w:w="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7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433"/>
        </w:trPr>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charges to write-down raw materials and work in process inventories</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18"/>
        </w:trPr>
        <w:tc>
          <w:tcPr>
            <w:tcW w:w="75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00" w:type="dxa"/>
            <w:vAlign w:val="bottom"/>
          </w:tcPr>
          <w:p>
            <w:pPr>
              <w:spacing w:after="0"/>
              <w:rPr>
                <w:sz w:val="20"/>
                <w:szCs w:val="20"/>
                <w:color w:val="auto"/>
              </w:rPr>
            </w:pPr>
            <w:r>
              <w:rPr>
                <w:rFonts w:ascii="Arial" w:cs="Arial" w:eastAsia="Arial" w:hAnsi="Arial"/>
                <w:sz w:val="18"/>
                <w:szCs w:val="18"/>
                <w:color w:val="auto"/>
              </w:rPr>
              <w:t>Total restructure and other charges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107"/>
        </w:trPr>
        <w:tc>
          <w:tcPr>
            <w:tcW w:w="7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-906145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-906145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Through August 28, 2003, the Company had paid essentially all of the severance and other termination benefits and $1.0 million of other costs incurred in connection with the restructure plan. As of August 28, 2003, the Company's accounts payable and accrued expenses included $3.1 million for remaining costs accrued in connection with the restructure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Other operating expense for 2003 includes losses net of gains on write-downs and disposals of semiconductor equipment of $41.5 million and losses from changes in currency exchange rates of $10.7 million. Other operating expense for 2003 is net of $14.4 million in receipts from the U.S. government in connection with anti-dumping tariffs. Other operating expense for 2002 includes losses net of gains on write-downs and disposals of semiconductor equipment of</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$27.3 million. Other operating expense for 2001 includes losses of $44.2 million from the write-off of certain costs related to the Company's Lehi facility and losses net of gains on write-downs and disposals of semiconductor equipment of $19.6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Other non-operating expense for 2001 includes a charge of $92.4 million to write down the carrying value of the Company's equity interest in Interland to market value. Selling, general and administrative expense for 2001 includes a charge of $94.1 million for the market value of the Interland stock contributed to the Foundation. As of August 30, 2001, the Company no longer held an investment in Interland. Other non-operating expense for 2001 also includes charges totaling $11.6 million for market value adjustments to long-term fixed-price derivative financial instruments to purchase electricity and natural gas.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(provision) benefit consists of:</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121.8</w:t>
            </w:r>
          </w:p>
        </w:tc>
        <w:tc>
          <w:tcPr>
            <w:tcW w:w="1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Foreign</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Deferred:</w:t>
            </w:r>
          </w:p>
        </w:tc>
        <w:tc>
          <w:tcPr>
            <w:tcW w:w="24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346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2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State</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-1864360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-1864360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-1864360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-1864360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-1864360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-1864360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-1109980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-1109980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-1109980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-1109980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-1109980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-1109980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-818515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-818515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-818515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-818515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-818515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-818515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360"/>
          </w:cols>
          <w:pgMar w:left="240" w:top="131" w:right="299" w:bottom="0" w:gutter="0" w:footer="0" w:header="0"/>
        </w:sectPr>
      </w:pPr>
    </w:p>
    <w:bookmarkStart w:id="30" w:name="page31"/>
    <w:bookmarkEnd w:id="30"/>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4632325</wp:posOffset>
            </wp:positionH>
            <wp:positionV relativeFrom="page">
              <wp:posOffset>88900</wp:posOffset>
            </wp:positionV>
            <wp:extent cx="2011045" cy="190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011045" cy="1905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income tax (provision) benefit</w:t>
            </w: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Income tax (provision) benefit allocated to:</w:t>
            </w: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8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6"/>
        </w:trPr>
        <w:tc>
          <w:tcPr>
            <w:tcW w:w="448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-1386205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-1386205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-1386205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-1386205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-1386205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-1386205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For 2001, the tax benefit associated with the exercise of nonstatutory stock options and disqualifying dispositions by employees of shares issued in the Company's stock plans were credited to additional capital and reduced taxes payable by $48.3 million.</w:t>
      </w:r>
    </w:p>
    <w:p>
      <w:pPr>
        <w:spacing w:after="0" w:line="18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reconciliation between income tax (provision) benefit computed using the U.S. federal statutory rate and the Company's income tax (provision) benefit is as follows:</w:t>
      </w:r>
    </w:p>
    <w:p>
      <w:pPr>
        <w:spacing w:after="0" w:line="182" w:lineRule="exact"/>
        <w:rPr>
          <w:sz w:val="20"/>
          <w:szCs w:val="20"/>
          <w:color w:val="auto"/>
        </w:rPr>
      </w:pPr>
    </w:p>
    <w:tbl>
      <w:tblPr>
        <w:tblLayout w:type="fixed"/>
        <w:tblInd w:w="10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at other than U.S. rate</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Basis difference in domestic subsidiaries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(provision) benefit</w:t>
            </w:r>
          </w:p>
        </w:tc>
        <w:tc>
          <w:tcPr>
            <w:tcW w:w="1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-1317625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-1317625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-1317625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-1317625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-1317625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-1317625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-340360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-340360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-340360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-340360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-340360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-340360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State taxes reflect investment tax credits of $16.8 million, $23.6 million and $25.5 million for 2003, 2002 and 2001, respectively.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basis of assets and liabilities for financial reporting and income tax purposes. The Company's deferred tax assets and liabilities consist of the following as of the end of the periods shown below:</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Net operating loss and credit carryforwards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1,263.9</w:t>
            </w:r>
          </w:p>
        </w:tc>
        <w:tc>
          <w:tcPr>
            <w:tcW w:w="26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product and process technology</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deferred tax assets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(993.1)</w:t>
            </w:r>
          </w:p>
        </w:tc>
        <w:tc>
          <w:tcPr>
            <w:tcW w:w="2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65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over book depreciation</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(305.1)</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Product and process technology</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(387.8)</w:t>
            </w:r>
          </w:p>
        </w:tc>
        <w:tc>
          <w:tcPr>
            <w:tcW w:w="2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-3376295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-3376295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-3376295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-3376295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-2312670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-2312670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-2312670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-2312670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-1849755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-1849755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-1849755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-1849755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-1540510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-1540510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-1540510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-1540510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-648970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-648970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-648970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-648970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-340360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-340360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-340360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-340360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As of August 28, 2003, the Company had aggregate U.S. tax net operating loss carryforwards of $2.8 billion and unused U.S. tax credit carryforwards of $95.0 million, which expire in various years through 2023. The Company also has unused state tax net operating loss carryforwards of $1.9 billion for tax purposes which expire in various years through 2023 and unused state tax credits of $132.0 million for tax and financial reporting purposes which expire in various years through 2017.</w:t>
      </w:r>
    </w:p>
    <w:p>
      <w:pPr>
        <w:spacing w:after="0" w:line="197"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changes in valuation allowance of $561.6 million and $344.1 million in 2003 and 2002, respectively, are primarily due to uncertainties of realizing certain U.S. net operating losses and certain tax credit carryforwards. The change in the valuation allowance in 2003 and 2002 includes $2.2 million and</w:t>
      </w:r>
    </w:p>
    <w:p>
      <w:pPr>
        <w:sectPr>
          <w:pgSz w:w="11900" w:h="16939" w:orient="portrait"/>
          <w:cols w:equalWidth="0" w:num="1">
            <w:col w:w="11260"/>
          </w:cols>
          <w:pgMar w:left="240" w:top="347" w:right="39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$14.0 million, respectively, for stock plan deductions, which will be credited to additional capital if realized.</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Remaining undistributed earnings of $472.8 million have been indefinitely reinvested; therefore, no provision has been made for taxes due upon remittance of these earnings. Determination of the amount of unrecognized deferred tax liability on these unremitted earnings is not practicable.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PC Operations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May 31, 2001, MEI completed the disposition of its PC business to Gores Technology Group ("GTG"). In connection with the disposal, GTG received assets, including $76.5 million in cash,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assumed specified liabilities of the PC Operations. Summary operating results for the discontinued PC Operations were as follows:</w:t>
      </w:r>
    </w:p>
    <w:p>
      <w:pPr>
        <w:spacing w:after="0" w:line="221"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3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6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360" w:type="dxa"/>
            <w:vAlign w:val="bottom"/>
            <w:gridSpan w:val="2"/>
          </w:tcPr>
          <w:p>
            <w:pPr>
              <w:spacing w:after="0"/>
              <w:rPr>
                <w:sz w:val="20"/>
                <w:szCs w:val="20"/>
                <w:color w:val="auto"/>
              </w:rPr>
            </w:pPr>
            <w:r>
              <w:rPr>
                <w:rFonts w:ascii="Arial" w:cs="Arial" w:eastAsia="Arial" w:hAnsi="Arial"/>
                <w:sz w:val="18"/>
                <w:szCs w:val="18"/>
                <w:color w:val="auto"/>
              </w:rPr>
              <w:t>Loss from operations of PC business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operations of PC business, net</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18"/>
        </w:trPr>
        <w:tc>
          <w:tcPr>
            <w:tcW w:w="73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60" w:type="dxa"/>
            <w:vAlign w:val="bottom"/>
            <w:gridSpan w:val="2"/>
          </w:tcPr>
          <w:p>
            <w:pPr>
              <w:spacing w:after="0"/>
              <w:rPr>
                <w:sz w:val="20"/>
                <w:szCs w:val="20"/>
                <w:color w:val="auto"/>
              </w:rPr>
            </w:pPr>
            <w:r>
              <w:rPr>
                <w:rFonts w:ascii="Arial" w:cs="Arial" w:eastAsia="Arial" w:hAnsi="Arial"/>
                <w:sz w:val="18"/>
                <w:szCs w:val="18"/>
                <w:color w:val="auto"/>
              </w:rPr>
              <w:t>Loss from disposal of PC Operations</w:t>
            </w:r>
          </w:p>
        </w:tc>
        <w:tc>
          <w:tcPr>
            <w:tcW w:w="2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losses during phase-out period</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Minority interest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Loss from disposal of PC Operations, net</w:t>
            </w:r>
          </w:p>
        </w:tc>
        <w:tc>
          <w:tcPr>
            <w:tcW w:w="2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discontinued PC Operations, net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-2535555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-2535555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-1661160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-1661160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-1351915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-1351915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-648970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-648970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-340360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-340360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(907.0)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available to common shareholders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from discontinued PC Operations, net of taxes and minority interest</w:t>
            </w: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105"/>
        </w:trPr>
        <w:tc>
          <w:tcPr>
            <w:tcW w:w="74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40" w:type="dxa"/>
            <w:vAlign w:val="bottom"/>
            <w:gridSpan w:val="2"/>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4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4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-3029585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-3029585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-3029585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-3029585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-3029585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-3029585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-2600960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-2600960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-2600960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-2600960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-2600960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-2600960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-2172335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-2172335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-2172335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-2172335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-2172335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-2172335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both"/>
        <w:ind w:right="60" w:firstLine="351"/>
        <w:spacing w:after="0" w:line="268" w:lineRule="auto"/>
        <w:rPr>
          <w:sz w:val="20"/>
          <w:szCs w:val="20"/>
          <w:color w:val="auto"/>
        </w:rPr>
      </w:pPr>
      <w:r>
        <w:rPr>
          <w:rFonts w:ascii="Arial" w:cs="Arial" w:eastAsia="Arial" w:hAnsi="Arial"/>
          <w:sz w:val="18"/>
          <w:szCs w:val="18"/>
          <w:color w:val="auto"/>
        </w:rPr>
        <w:t>Listed below are the potential common shares, as of the end of the periods shown below, that could dilute basic earnings per share in the future that were not included in the computation of diluted earnings per share because to do so would have been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plans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Convertible subordinated notes payable</w:t>
            </w:r>
          </w:p>
        </w:tc>
        <w:tc>
          <w:tcPr>
            <w:tcW w:w="700" w:type="dxa"/>
            <w:vAlign w:val="bottom"/>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-492760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-492760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-492760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-492760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-492760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-492760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31" w:right="239" w:bottom="0" w:gutter="0" w:footer="0" w:header="0"/>
          <w:type w:val="continuous"/>
        </w:sectPr>
      </w:pPr>
    </w:p>
    <w:bookmarkStart w:id="32" w:name="page33"/>
    <w:bookmarkEnd w:id="32"/>
    <w:p>
      <w:pPr>
        <w:ind w:right="40" w:firstLine="351"/>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0430" cy="19050"/>
                    </a:xfrm>
                    <a:prstGeom prst="rect">
                      <a:avLst/>
                    </a:prstGeom>
                    <a:noFill/>
                  </pic:spPr>
                </pic:pic>
              </a:graphicData>
            </a:graphic>
          </wp:anchor>
        </w:drawing>
        <w:t>On September 24, 2003, the Company issued stock rights to Intel which are exchangeable into approximately 33.9 million shares of the Company's common stock. (See "Shareholders' Equity—Stock Rights" note.)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Toshiba Corporation DRAM Assets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April 22, 2002, the Company acquired substantially all of the assets of Toshiba Corporation's ("Toshiba") DRAM business as conducted by Dominion Semiconductor L.L.C., a wholly-owned subsidiary of Toshiba located in Virginia (the "Toshiba DRAM Acquisition"). The total purchase price of $327.9 million included cash and 1.5 million shares of the Company's common stock, which was valued at $58.1 million on the date of acquisition. The purchase price was allocated to the assets acquired and liabilities assumed based on their estimated fair values. In connection with the purchase, the Company recorded total assets of $363.3 million, including property, plant and equipment of $292.8 million and intangible assets of $7.8 million, and total liabilities of $35.4 million. (See "Redeemable Common Stock" note.)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KMT Semiconductor Limited</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Through April 30, 2001, the Company participated in KMT Semiconductor Limited ("KMT"), a joint venture between the Company and Kobe Steel, Ltd. ("KSL") and purchased all of KMT's production at prices generally based on a discount from the Company's average selling prices. The Company was also party to various agreements with KMT whereby the Company provided assembly and test services, and technology, engineering and training support to KMT. The net cost of products purchased from KMT amounted to $293.3 million in 2001.</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April 30, 2001, the Company acquired KSL's 75% interest in KMT in a transaction (the "KMT Acquisition") that resulted in KMT becoming a wholly-owned subsidiary of the Company. The KMT Acquisition was accounted for as a business combination using the purchase method of accounting. The purchase price of $31.3 million, which includes $25.0 million cash paid to KSL for land and KSL's equity interest in KMT, is net of $37.7 million cash acquired and was allocated to the assets acquired and liabilities assumed based on their estimated fair values. In connection with the KMT Acquisition, the Company recorded total assets of $408.1 million, net of cash acquired, including deferred income tax assets of $204.6 million and property, plant and equipment of $103.6 million, and total liabilities of $376.8 million, including debt and capital lease obligations totaling $296.4 million. The results of operations of KMT have been included in the accompanying financial statements from the date of acquisition. On April 1, 2002, KMT's name was changed to Micron Japan, Ltd.</w:t>
      </w:r>
    </w:p>
    <w:p>
      <w:pPr>
        <w:spacing w:after="0" w:line="172"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following unaudited pro forma information presents the consolidated results of operations of the Company as if the KMT Acquisition had taken place at the beginning of 2001. The pro forma information does not necessarily reflect the actual results that would have occurred nor is it necessarily indicative of future results of operations.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r>
      <w:tr>
        <w:trPr>
          <w:trHeight w:val="105"/>
        </w:trPr>
        <w:tc>
          <w:tcPr>
            <w:tcW w:w="7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266"/>
        </w:trPr>
        <w:tc>
          <w:tcPr>
            <w:tcW w:w="7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(unaudited)</w:t>
            </w:r>
          </w:p>
        </w:tc>
      </w:tr>
      <w:tr>
        <w:trPr>
          <w:trHeight w:val="230"/>
        </w:trPr>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 from continuing operations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3,935.9</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Loss from continuing operations, net of taxes and minority interest</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(440.0)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from continuing operations—diluted</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-741045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-741045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TECH Semiconductor Singapore Pte. Ltd. ("TECH") is a memory manufacturing joint venture in Singapore among Micron Technology, Inc., the Singapore Economic Development Board, Canon Inc.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and Hewlett-Packard Company. TECH's semiconductor manufacturing facilities use the Company's product and process technology. Subject to specific terms and</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conditions, the Company has agreed to purchase all of the products manufactured by TECH. The Company generally purchases semiconductor memory products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from TECH at prices determined quarterly, based on a discount from average selling prices realized by the Company for the immediately preceding quarter.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performs assembly and test services on product manufactured by TECH. The Company also provides certain technology, engineering and training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support TECH. All of these transactions with TECH are recognized as part of the net cost of products purchased from TECH. The net cost of products purchased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TECH amounted to $318.2 million, $182.3 million and $726.0 million for 2003, 2002 and 2001, respectively. Amortization expense resulting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 supply arrangement, included in the cost of product purchased from TECH, was $9.6 million, $10.1 million and $10.6 million for 2003, 2002 and 2001,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Receivables from TECH were $53.1 million and payables to TECH were $102.5 million as of August 28, 2003. Receivables from TECH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$10.5 million and payables to TECH were $52.8 million as of August 29, 2002. During 2002 and 2001, the Company sold semiconductor equipment to TECH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million and $0.1 million, respectively.</w:t>
      </w:r>
    </w:p>
    <w:p>
      <w:pPr>
        <w:spacing w:after="0" w:line="219"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November 2002, the FASB issued Interpretation No. 45, "Guarantor's Accounting and Disclosure Requirements for Guarantees, Including Indirect Guarantees of Indebtedness of Others." Interpretation No. 45 requires an entity, at the time it issues a guarantee, to recognize an initial liability for the fair value of obligations assumed under the guarantee and elaborates on existing disclosure requirements. On March 13, 2003, TECH refinanced its then existing credit facility by entering into a new $250 million credit facility. In connection therewith, $50.0 million previously pledged by the Company as cash collateral with respect to TECH's credit facility was re-pledged and supplemented with an additional $50.0 million.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 In accordance with Interpretation No. 45, the Company estimated the fair value of its guarantee of TECH's credit facility to be $7.0 million, which was recorded in other noncurrent liabilities in the third quarter of 2003 with an offsetting amount recorded as an addition to the value of the TECH supply arrangement. The amount recorded pursuant to Interpretation No. 45 is being amortized using the straight-line method through the June 2006 term of the new TECH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Information</w:t>
      </w:r>
    </w:p>
    <w:p>
      <w:pPr>
        <w:sectPr>
          <w:pgSz w:w="11900" w:h="16838" w:orient="portrait"/>
          <w:cols w:equalWidth="0" w:num="1">
            <w:col w:w="11400"/>
          </w:cols>
          <w:pgMar w:left="240" w:top="374" w:right="259" w:bottom="59" w:gutter="0" w:footer="0" w:header="0"/>
        </w:sectPr>
      </w:pPr>
    </w:p>
    <w:bookmarkStart w:id="33" w:name="page34"/>
    <w:bookmarkEnd w:id="33"/>
    <w:p>
      <w:pPr>
        <w:spacing w:after="0" w:line="18"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Company's reportable segments have been determined based on the nature of its operations and products offered to customers. Through 2001, the Company's two reportable segments were Semiconductor Operations and Web-hosting Operations. As a result of the Interland Merger on August 6, 2001, the Company's only reportable segment is Semiconductor Operations. The Semiconductor Operations segment's primary product is DRAM. The Web-hosting Operations segment provided web-hosting and other internet products and services.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Segment operating results are measured based on operating income or loss. De minimis amounts of intersegment eliminations of sales and operating income have been included with Other.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4"/>
          </w:tcPr>
          <w:p>
            <w:pPr>
              <w:ind w:left="160"/>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Semiconductor Operations: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External</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3,861.0</w:t>
            </w:r>
          </w:p>
        </w:tc>
        <w:tc>
          <w:tcPr>
            <w:tcW w:w="180" w:type="dxa"/>
            <w:vAlign w:val="bottom"/>
            <w:tcBorders>
              <w:left w:val="single" w:sz="8" w:color="CCEEFF"/>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Sales to discontinued PC Operations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3,882.6</w:t>
            </w:r>
          </w:p>
        </w:tc>
        <w:tc>
          <w:tcPr>
            <w:tcW w:w="1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Web-hosting Operations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left w:val="single" w:sz="8" w:color="CCEEFF"/>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Consolidated net sales</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3,935.9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Semiconductor Operations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Web-hosting Operations</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Borders>
              <w:left w:val="single" w:sz="8" w:color="CCEEFF"/>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Consolidated operating loss</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180" w:type="dxa"/>
            <w:vAlign w:val="bottom"/>
            <w:tcBorders>
              <w:left w:val="single" w:sz="8" w:color="CCEEFF"/>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Semiconductor Operations</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1,469.5</w:t>
            </w:r>
          </w:p>
        </w:tc>
        <w:tc>
          <w:tcPr>
            <w:tcW w:w="180" w:type="dxa"/>
            <w:vAlign w:val="bottom"/>
            <w:tcBorders>
              <w:left w:val="single" w:sz="8" w:color="CCEEFF"/>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Web-hosting Operations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Consolidated capital expenditures</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1,488.6</w:t>
            </w:r>
          </w:p>
        </w:tc>
        <w:tc>
          <w:tcPr>
            <w:tcW w:w="180" w:type="dxa"/>
            <w:vAlign w:val="bottom"/>
            <w:tcBorders>
              <w:left w:val="single" w:sz="8" w:color="CCEEFF"/>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Semiconductor Operations</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1,097.7</w:t>
            </w:r>
          </w:p>
        </w:tc>
        <w:tc>
          <w:tcPr>
            <w:tcW w:w="180" w:type="dxa"/>
            <w:vAlign w:val="bottom"/>
            <w:tcBorders>
              <w:left w:val="single" w:sz="8" w:color="CCEEFF"/>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Web-hosting Operations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left w:val="single" w:sz="8" w:color="CCEEFF"/>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Consolidated depreciation and amortization</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1,114.4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Geographic Information</w:t>
            </w: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5440" w:type="dxa"/>
            <w:vAlign w:val="bottom"/>
            <w:gridSpan w:val="4"/>
            <w:vMerge w:val="continue"/>
          </w:tcPr>
          <w:p>
            <w:pPr>
              <w:spacing w:after="0"/>
              <w:rPr>
                <w:sz w:val="5"/>
                <w:szCs w:val="5"/>
                <w:color w:val="auto"/>
              </w:rPr>
            </w:pPr>
          </w:p>
        </w:tc>
        <w:tc>
          <w:tcPr>
            <w:tcW w:w="1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44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gridSpan w:val="4"/>
          </w:tcPr>
          <w:p>
            <w:pPr>
              <w:ind w:left="360"/>
              <w:spacing w:after="0"/>
              <w:rPr>
                <w:sz w:val="20"/>
                <w:szCs w:val="20"/>
                <w:color w:val="auto"/>
              </w:rPr>
            </w:pPr>
            <w:r>
              <w:rPr>
                <w:rFonts w:ascii="Arial" w:cs="Arial" w:eastAsia="Arial" w:hAnsi="Arial"/>
                <w:sz w:val="18"/>
                <w:szCs w:val="18"/>
                <w:color w:val="auto"/>
                <w:w w:val="95"/>
              </w:rPr>
              <w:t>Geographic net sales based on customer location were as follows:</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100" w:type="dxa"/>
            <w:vAlign w:val="bottom"/>
            <w:gridSpan w:val="2"/>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1,221.7</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2,116.8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637.9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Japan</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188.8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154.4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2,589.0</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vMerge w:val="restart"/>
          </w:tcPr>
          <w:p>
            <w:pPr>
              <w:jc w:val="right"/>
              <w:ind w:right="912"/>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gridSpan w:val="2"/>
          </w:tcPr>
          <w:p>
            <w:pPr>
              <w:spacing w:after="0"/>
              <w:rPr>
                <w:sz w:val="19"/>
                <w:szCs w:val="19"/>
                <w:color w:val="auto"/>
              </w:rPr>
            </w:pPr>
          </w:p>
        </w:tc>
        <w:tc>
          <w:tcPr>
            <w:tcW w:w="4100" w:type="dxa"/>
            <w:vAlign w:val="bottom"/>
            <w:tcBorders>
              <w:bottom w:val="single" w:sz="8" w:color="808080"/>
            </w:tcBorders>
            <w:gridSpan w:val="2"/>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440" w:type="dxa"/>
            <w:vAlign w:val="bottom"/>
            <w:gridSpan w:val="4"/>
          </w:tcPr>
          <w:p>
            <w:pPr>
              <w:ind w:left="360"/>
              <w:spacing w:after="0"/>
              <w:rPr>
                <w:sz w:val="20"/>
                <w:szCs w:val="20"/>
                <w:color w:val="auto"/>
              </w:rPr>
            </w:pPr>
            <w:r>
              <w:rPr>
                <w:rFonts w:ascii="Arial" w:cs="Arial" w:eastAsia="Arial" w:hAnsi="Arial"/>
                <w:sz w:val="18"/>
                <w:szCs w:val="18"/>
                <w:color w:val="auto"/>
                <w:w w:val="90"/>
              </w:rPr>
              <w:t>Net property, plant and equipment by geographic area was as follows:</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54"/>
              <w:spacing w:after="0"/>
              <w:rPr>
                <w:sz w:val="20"/>
                <w:szCs w:val="20"/>
                <w:color w:val="auto"/>
              </w:rPr>
            </w:pPr>
            <w:r>
              <w:rPr>
                <w:rFonts w:ascii="Arial" w:cs="Arial" w:eastAsia="Arial" w:hAnsi="Arial"/>
                <w:sz w:val="14"/>
                <w:szCs w:val="14"/>
                <w:b w:val="1"/>
                <w:bCs w:val="1"/>
                <w:color w:val="auto"/>
                <w:w w:val="96"/>
              </w:rPr>
              <w:t>2003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100" w:type="dxa"/>
            <w:vAlign w:val="bottom"/>
            <w:gridSpan w:val="2"/>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3,604.0</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Italy</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435.2</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-8570595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-8570595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-7816215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-7816215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-7216140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-7216140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-6135370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-6135370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-5208905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-5208905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-4128770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-4128770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-2867660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-2867660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-2867660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-2867660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-2867660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-2867660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-1890395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-1890395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-1890395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-1890395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-1890395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-1890395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-1083945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-1083945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-492760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-492760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-492760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-492760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420"/>
          </w:cols>
          <w:pgMar w:left="240" w:top="131" w:right="23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2"/>
        </w:trPr>
        <w:tc>
          <w:tcPr>
            <w:tcW w:w="3020" w:type="dxa"/>
            <w:vAlign w:val="bottom"/>
            <w:gridSpan w:val="2"/>
          </w:tcPr>
          <w:p>
            <w:pPr>
              <w:ind w:left="1320"/>
              <w:spacing w:after="0"/>
              <w:rPr>
                <w:sz w:val="20"/>
                <w:szCs w:val="20"/>
                <w:color w:val="auto"/>
              </w:rPr>
            </w:pPr>
            <w:r>
              <w:rPr>
                <w:rFonts w:ascii="Arial" w:cs="Arial" w:eastAsia="Arial" w:hAnsi="Arial"/>
                <w:sz w:val="18"/>
                <w:szCs w:val="18"/>
                <w:color w:val="auto"/>
              </w:rPr>
              <w:t>Singapore</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308.1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4,510.5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center"/>
              <w:ind w:left="255"/>
              <w:spacing w:after="0"/>
              <w:rPr>
                <w:sz w:val="20"/>
                <w:szCs w:val="20"/>
                <w:color w:val="auto"/>
              </w:rPr>
            </w:pPr>
            <w:r>
              <w:rPr>
                <w:rFonts w:ascii="Arial" w:cs="Arial" w:eastAsia="Arial" w:hAnsi="Arial"/>
                <w:sz w:val="18"/>
                <w:szCs w:val="18"/>
                <w:color w:val="auto"/>
                <w:w w:val="86"/>
              </w:rPr>
              <w:t>4,699.5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400" w:type="dxa"/>
            <w:vAlign w:val="bottom"/>
            <w:gridSpan w:val="7"/>
            <w:vMerge w:val="restart"/>
          </w:tcPr>
          <w:p>
            <w:pPr>
              <w:jc w:val="right"/>
              <w:spacing w:after="0"/>
              <w:rPr>
                <w:sz w:val="20"/>
                <w:szCs w:val="20"/>
                <w:color w:val="auto"/>
              </w:rPr>
            </w:pPr>
            <w:r>
              <w:rPr>
                <w:rFonts w:ascii="Arial" w:cs="Arial" w:eastAsia="Arial" w:hAnsi="Arial"/>
                <w:sz w:val="18"/>
                <w:szCs w:val="18"/>
                <w:b w:val="1"/>
                <w:bCs w:val="1"/>
                <w:color w:val="auto"/>
              </w:rPr>
              <w:t>Quarterly Financial Information (Unaudited)</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440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5"/>
        </w:trPr>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0" w:type="dxa"/>
            <w:vAlign w:val="bottom"/>
            <w:gridSpan w:val="7"/>
          </w:tcPr>
          <w:p>
            <w:pPr>
              <w:jc w:val="right"/>
              <w:ind w:right="40"/>
              <w:spacing w:after="0"/>
              <w:rPr>
                <w:sz w:val="20"/>
                <w:szCs w:val="20"/>
                <w:color w:val="auto"/>
              </w:rPr>
            </w:pPr>
            <w:r>
              <w:rPr>
                <w:rFonts w:ascii="Arial" w:cs="Arial" w:eastAsia="Arial" w:hAnsi="Arial"/>
                <w:sz w:val="18"/>
                <w:szCs w:val="18"/>
                <w:color w:val="auto"/>
              </w:rPr>
              <w:t>(Amounts in millions except per share amounts)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First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Third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4"/>
        </w:trPr>
        <w:tc>
          <w:tcPr>
            <w:tcW w:w="1340" w:type="dxa"/>
            <w:vAlign w:val="bottom"/>
          </w:tcPr>
          <w:p>
            <w:pPr>
              <w:spacing w:after="0"/>
              <w:rPr>
                <w:sz w:val="20"/>
                <w:szCs w:val="20"/>
                <w:color w:val="auto"/>
              </w:rPr>
            </w:pPr>
            <w:r>
              <w:rPr>
                <w:rFonts w:ascii="Arial" w:cs="Arial" w:eastAsia="Arial" w:hAnsi="Arial"/>
                <w:sz w:val="14"/>
                <w:szCs w:val="14"/>
                <w:b w:val="1"/>
                <w:bCs w:val="1"/>
                <w:color w:val="auto"/>
              </w:rPr>
              <w:t>2003</w:t>
            </w:r>
          </w:p>
        </w:tc>
        <w:tc>
          <w:tcPr>
            <w:tcW w:w="1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4"/>
              </w:rPr>
              <w:t>Quarter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4"/>
              </w:rPr>
              <w:t>Quarter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105"/>
        </w:trPr>
        <w:tc>
          <w:tcPr>
            <w:tcW w:w="3020" w:type="dxa"/>
            <w:vAlign w:val="bottom"/>
            <w:tcBorders>
              <w:bottom w:val="single" w:sz="8" w:color="808080"/>
            </w:tcBorders>
            <w:gridSpan w:val="2"/>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sales</w:t>
            </w:r>
          </w:p>
        </w:tc>
        <w:tc>
          <w:tcPr>
            <w:tcW w:w="3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left w:val="single" w:sz="8" w:color="CCEEFF"/>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22"/>
        </w:trPr>
        <w:tc>
          <w:tcPr>
            <w:tcW w:w="3020" w:type="dxa"/>
            <w:vAlign w:val="bottom"/>
            <w:gridSpan w:val="2"/>
          </w:tcPr>
          <w:p>
            <w:pPr>
              <w:ind w:left="240"/>
              <w:spacing w:after="0"/>
              <w:rPr>
                <w:sz w:val="20"/>
                <w:szCs w:val="20"/>
                <w:color w:val="auto"/>
              </w:rPr>
            </w:pPr>
            <w:r>
              <w:rPr>
                <w:rFonts w:ascii="Arial" w:cs="Arial" w:eastAsia="Arial" w:hAnsi="Arial"/>
                <w:sz w:val="18"/>
                <w:szCs w:val="18"/>
                <w:color w:val="auto"/>
              </w:rPr>
              <w:t>Gross margin</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
        </w:trPr>
        <w:tc>
          <w:tcPr>
            <w:tcW w:w="30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loss</w:t>
            </w:r>
          </w:p>
        </w:tc>
        <w:tc>
          <w:tcPr>
            <w:tcW w:w="2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(296.6)</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(183.7)</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2"/>
        </w:trPr>
        <w:tc>
          <w:tcPr>
            <w:tcW w:w="3020" w:type="dxa"/>
            <w:vAlign w:val="bottom"/>
            <w:gridSpan w:val="2"/>
          </w:tcPr>
          <w:p>
            <w:pPr>
              <w:ind w:left="240"/>
              <w:spacing w:after="0"/>
              <w:rPr>
                <w:sz w:val="20"/>
                <w:szCs w:val="20"/>
                <w:color w:val="auto"/>
              </w:rPr>
            </w:pPr>
            <w:r>
              <w:rPr>
                <w:rFonts w:ascii="Arial" w:cs="Arial" w:eastAsia="Arial" w:hAnsi="Arial"/>
                <w:sz w:val="18"/>
                <w:szCs w:val="18"/>
                <w:color w:val="auto"/>
              </w:rPr>
              <w:t>Net loss</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
        </w:trPr>
        <w:tc>
          <w:tcPr>
            <w:tcW w:w="30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 loss per share</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c>
          <w:tcPr>
            <w:tcW w:w="32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000"/>
        </w:trPr>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Second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74"/>
        </w:trPr>
        <w:tc>
          <w:tcPr>
            <w:tcW w:w="1340" w:type="dxa"/>
            <w:vAlign w:val="bottom"/>
          </w:tcPr>
          <w:p>
            <w:pPr>
              <w:spacing w:after="0"/>
              <w:rPr>
                <w:sz w:val="20"/>
                <w:szCs w:val="20"/>
                <w:color w:val="auto"/>
              </w:rPr>
            </w:pPr>
            <w:r>
              <w:rPr>
                <w:rFonts w:ascii="Arial" w:cs="Arial" w:eastAsia="Arial" w:hAnsi="Arial"/>
                <w:sz w:val="14"/>
                <w:szCs w:val="14"/>
                <w:b w:val="1"/>
                <w:bCs w:val="1"/>
                <w:color w:val="auto"/>
              </w:rPr>
              <w:t>2002</w:t>
            </w:r>
          </w:p>
        </w:tc>
        <w:tc>
          <w:tcPr>
            <w:tcW w:w="1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05"/>
        </w:trPr>
        <w:tc>
          <w:tcPr>
            <w:tcW w:w="3020" w:type="dxa"/>
            <w:vAlign w:val="bottom"/>
            <w:tcBorders>
              <w:bottom w:val="single" w:sz="8" w:color="808080"/>
            </w:tcBorders>
            <w:gridSpan w:val="2"/>
          </w:tcPr>
          <w:p>
            <w:pPr>
              <w:spacing w:after="0"/>
              <w:rPr>
                <w:sz w:val="9"/>
                <w:szCs w:val="9"/>
                <w:color w:val="auto"/>
              </w:rPr>
            </w:pPr>
          </w:p>
        </w:tc>
        <w:tc>
          <w:tcPr>
            <w:tcW w:w="3140" w:type="dxa"/>
            <w:vAlign w:val="bottom"/>
            <w:tcBorders>
              <w:bottom w:val="single" w:sz="8" w:color="808080"/>
            </w:tcBorders>
            <w:gridSpan w:val="3"/>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3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645.9</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left w:val="single" w:sz="8" w:color="CCEEFF"/>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Gross margin</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(212.6)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143.0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
        </w:trPr>
        <w:tc>
          <w:tcPr>
            <w:tcW w:w="30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2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(452.0)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89"/>
              </w:rPr>
              <w:t>(46.7)</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22"/>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Net loss</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(265.9)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89"/>
              </w:rPr>
              <w:t>(24.2)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1"/>
        </w:trPr>
        <w:tc>
          <w:tcPr>
            <w:tcW w:w="302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loss per share</w:t>
            </w:r>
          </w:p>
        </w:tc>
        <w:tc>
          <w:tcPr>
            <w:tcW w:w="3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89"/>
              </w:rPr>
              <w:t>(0.04)</w:t>
            </w:r>
          </w:p>
        </w:tc>
        <w:tc>
          <w:tcPr>
            <w:tcW w:w="32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-4094480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-4094480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-4094480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-4094480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-2756535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-2756535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-2756535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-2756535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-2756535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-2756535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-2756535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-2756535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-2756535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-2756535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-972820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-972820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-972820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-972820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-972820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-972820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-972820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-972820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-972820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-972820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the fourth quarter of 2003 and 2002, the Company recognized write-downs of $4.2 million and $173.6 million, respectively, to record work in process and finished goods inventories of semiconductor products at their estimated market values. In the fourth quarter of 2002, the Company recorded a charge of $347.8 million to the provision for income taxes to establish a valuation allowance against its U.S. deferred tax assets.</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Micron Technology, Inc.</w:t>
      </w:r>
    </w:p>
    <w:p>
      <w:pPr>
        <w:spacing w:after="0" w:line="219"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our opinion, the consolidated financial statements listed in the accompanying index present fairly, in all material respects, the financial position of Micron Technology, Inc. and its subsidiaries at August 28, 2003 and August 29, 2002, and the results of their operations and their cash flows for each of the three years in the period ended August 28, 2003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the financial statement schedule are the responsibility of the Company's management; our responsibility is to express an opinion on these financial statements and the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31" w:right="239" w:bottom="67"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9A. </w:t>
      </w:r>
      <w:r>
        <w:rPr>
          <w:rFonts w:ascii="Arial" w:cs="Arial" w:eastAsia="Arial" w:hAnsi="Arial"/>
          <w:sz w:val="15"/>
          <w:szCs w:val="15"/>
          <w:b w:val="1"/>
          <w:bCs w:val="1"/>
          <w:i w:val="1"/>
          <w:iCs w:val="1"/>
          <w:color w:val="auto"/>
        </w:rPr>
        <w:t>Controls and Procedures</w:t>
      </w:r>
    </w:p>
    <w:p>
      <w:pPr>
        <w:sectPr>
          <w:pgSz w:w="11900" w:h="16838" w:orient="portrait"/>
          <w:cols w:equalWidth="0" w:num="1">
            <w:col w:w="11420"/>
          </w:cols>
          <w:pgMar w:left="240" w:top="131" w:right="239" w:bottom="67" w:gutter="0" w:footer="0" w:header="0"/>
          <w:type w:val="continuous"/>
        </w:sectPr>
      </w:pPr>
    </w:p>
    <w:bookmarkStart w:id="35" w:name="page36"/>
    <w:bookmarkEnd w:id="35"/>
    <w:p>
      <w:pPr>
        <w:ind w:right="60" w:firstLine="341"/>
        <w:spacing w:after="0" w:line="291" w:lineRule="auto"/>
        <w:rPr>
          <w:sz w:val="20"/>
          <w:szCs w:val="20"/>
          <w:color w:val="auto"/>
        </w:rPr>
      </w:pPr>
      <w:r>
        <w:rPr>
          <w:rFonts w:ascii="Arial" w:cs="Arial" w:eastAsia="Arial" w:hAnsi="Arial"/>
          <w:sz w:val="16"/>
          <w:szCs w:val="16"/>
          <w:color w:val="auto"/>
        </w:rPr>
        <w:t>An evaluation was carried out under the supervision and with the participation of the Company's management, including its Chief Executive Officer and Chief Financial Officer, of the effectiveness of the design and operation of the Company's disclosure controls and procedures (as defined in Rule 13a-14 and 15d-14 under the Securities Exchange Act of 1934) as of the end of the period covered by this report. Based upon that evaluation, the Chief Executive Officer and Chief Financial Officer concluded that those disclosure controls and procedures were effective to ensure that material information required to be disclosed by the Company in the reports that it files or submits under the Exchange Act is recorded, processed, summarized and reported, within the time periods specified in the Commission's rules and forms.</w:t>
      </w:r>
    </w:p>
    <w:p>
      <w:pPr>
        <w:spacing w:after="0" w:line="174"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There were no significant changes in the Company's internal controls or in other factors that could significantly affect these controls subsequent to the date of their evaluation. There were no significant deficiencies or material weaknesses noted during the evaluation, and therefore no corrective actions were taken.</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Certain information concerning the registrant's executive officers is included under the caption, "Officers and Directors of the Registrant," in Part I, Item 1 of this report. Other information required by Items 10, 11, 12 and 13 will be contained in the registrant's Proxy Statement which will be filed with the Securities and Exchange Commission within 120 days after August 28, 2003,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 and Reports on Form 8-K</w:t>
      </w:r>
    </w:p>
    <w:p>
      <w:pPr>
        <w:spacing w:after="0" w:line="245"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financial statements and the financial statement schedule. (See "Item 8. Financial Statements and Supplementary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5"/>
                <w:szCs w:val="15"/>
                <w:color w:val="auto"/>
              </w:rPr>
            </w:pPr>
          </w:p>
        </w:tc>
        <w:tc>
          <w:tcPr>
            <w:tcW w:w="9700" w:type="dxa"/>
            <w:vAlign w:val="bottom"/>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05"/>
        </w:trPr>
        <w:tc>
          <w:tcPr>
            <w:tcW w:w="1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700" w:type="dxa"/>
            <w:vAlign w:val="bottom"/>
            <w:tcBorders>
              <w:bottom w:val="single" w:sz="8" w:color="808080"/>
            </w:tcBorders>
          </w:tcPr>
          <w:p>
            <w:pPr>
              <w:spacing w:after="0"/>
              <w:rPr>
                <w:sz w:val="9"/>
                <w:szCs w:val="9"/>
                <w:color w:val="auto"/>
              </w:rPr>
            </w:pPr>
          </w:p>
        </w:tc>
      </w:tr>
      <w:tr>
        <w:trPr>
          <w:trHeight w:val="319"/>
        </w:trPr>
        <w:tc>
          <w:tcPr>
            <w:tcW w:w="1380" w:type="dxa"/>
            <w:vAlign w:val="bottom"/>
          </w:tcPr>
          <w:p>
            <w:pPr>
              <w:spacing w:after="0"/>
              <w:rPr>
                <w:sz w:val="20"/>
                <w:szCs w:val="20"/>
                <w:color w:val="auto"/>
              </w:rPr>
            </w:pPr>
            <w:r>
              <w:rPr>
                <w:rFonts w:ascii="Arial" w:cs="Arial" w:eastAsia="Arial" w:hAnsi="Arial"/>
                <w:sz w:val="18"/>
                <w:szCs w:val="18"/>
                <w:color w:val="auto"/>
              </w:rPr>
              <w:t>3.1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Restated Certificate of Incorporation of the Registrant (1)</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3.7</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Bylaws of the Registrant, as amended (2)</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4.9</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Form of Global Warrant representing Warrants to purchase Common Stock expiring May 15, 2008 (the "Warrants") (3)</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4.12</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88"/>
              </w:rPr>
              <w:t>Indenture dated February 4, 2003, between the Registrant and Wells Fargo Bank for 2.5% Convertible Subordinated Notes Due February</w:t>
            </w:r>
          </w:p>
        </w:tc>
      </w:tr>
      <w:tr>
        <w:trPr>
          <w:trHeight w:val="222"/>
        </w:trPr>
        <w:tc>
          <w:tcPr>
            <w:tcW w:w="1380" w:type="dxa"/>
            <w:vAlign w:val="bottom"/>
          </w:tcPr>
          <w:p>
            <w:pPr>
              <w:spacing w:after="0"/>
              <w:rPr>
                <w:sz w:val="19"/>
                <w:szCs w:val="19"/>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1, 2010 (4)</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4.13</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Securities Purchase Agreement, dated September 24, 2003, between the Registrant and Intel Capital Corporation (5)</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4.14</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Stock Rights Agreement, dated September 24, 2003, between the Registrant and Intel Capital Corporation (5)</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10.82</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Form of Indemnification Agreement between the Registrant and its officers and directors (6)</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10.91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Board Resolution regarding stock and bonus plan vesting schedules in the event of change in control of the Registrant (7)</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10.110</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1994 Stock Option Plan (8)</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10.111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Executive Bonus Plan (9)</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10.112</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Form of Severance Agreement between the Company and its officers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10.116</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3"/>
              </w:rPr>
              <w:t>Registration Rights Agreement dated as of June 28, 1996, between the Registrant and Canadian Imperial Bank of Commerce (10)</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10.117</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4"/>
              </w:rPr>
              <w:t>Registration Rights Agreement dated as of July 29, 1996, between the Registrant and Canadian Imperial Bank of Commerce (10)</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10.119(a)</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Reformed Irrevocable Proxy dated July 23, 1998, by J.R. Simplot Company in favor of the Registrant (11)</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10.119(b)</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Irrevocable Proxy dated July 24, 1998, by the Registrant in favor of the Canadian Imperial Bank of Commerce (11)</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10.120</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Form of Agreement and Amendment to Severance Agreement between the Company and its officers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-4470400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-4470400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-4470400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-4470400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10.125</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w w:val="87"/>
              </w:rPr>
              <w:t>Second Supplemental Trust Indenture dated as of September 30, 1998, between the Registrant and the Trustee, relating to the issuance of</w:t>
            </w:r>
          </w:p>
        </w:tc>
      </w:tr>
      <w:tr>
        <w:trPr>
          <w:trHeight w:val="222"/>
        </w:trPr>
        <w:tc>
          <w:tcPr>
            <w:tcW w:w="1660" w:type="dxa"/>
            <w:vAlign w:val="bottom"/>
          </w:tcPr>
          <w:p>
            <w:pPr>
              <w:spacing w:after="0"/>
              <w:rPr>
                <w:sz w:val="19"/>
                <w:szCs w:val="19"/>
                <w:color w:val="auto"/>
              </w:rPr>
            </w:pP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6.5% Convertible Subordinated Notes due October 2, 2005, including the form of Note (13)</w:t>
            </w:r>
          </w:p>
        </w:tc>
      </w:tr>
      <w:tr>
        <w:trPr>
          <w:trHeight w:val="426"/>
        </w:trPr>
        <w:tc>
          <w:tcPr>
            <w:tcW w:w="1660" w:type="dxa"/>
            <w:vAlign w:val="bottom"/>
          </w:tcPr>
          <w:p>
            <w:pPr>
              <w:spacing w:after="0"/>
              <w:rPr>
                <w:sz w:val="20"/>
                <w:szCs w:val="20"/>
                <w:color w:val="auto"/>
              </w:rPr>
            </w:pPr>
            <w:r>
              <w:rPr>
                <w:rFonts w:ascii="Arial" w:cs="Arial" w:eastAsia="Arial" w:hAnsi="Arial"/>
                <w:sz w:val="18"/>
                <w:szCs w:val="18"/>
                <w:color w:val="auto"/>
              </w:rPr>
              <w:t>10.126</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w w:val="88"/>
              </w:rPr>
              <w:t>Subordinated Promissory Note dated September 30, 1998, issued by the Registrant in the name of Texas Instruments Incorporated in the</w:t>
            </w:r>
          </w:p>
        </w:tc>
      </w:tr>
      <w:tr>
        <w:trPr>
          <w:trHeight w:val="222"/>
        </w:trPr>
        <w:tc>
          <w:tcPr>
            <w:tcW w:w="1660" w:type="dxa"/>
            <w:vAlign w:val="bottom"/>
          </w:tcPr>
          <w:p>
            <w:pPr>
              <w:spacing w:after="0"/>
              <w:rPr>
                <w:sz w:val="19"/>
                <w:szCs w:val="19"/>
                <w:color w:val="auto"/>
              </w:rPr>
            </w:pP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amount of $210,000,000 due September 30, 2005 (13)</w:t>
            </w:r>
          </w:p>
        </w:tc>
      </w:tr>
      <w:tr>
        <w:trPr>
          <w:trHeight w:val="891"/>
        </w:trPr>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20" w:type="dxa"/>
            <w:vAlign w:val="bottom"/>
          </w:tcPr>
          <w:p>
            <w:pPr>
              <w:ind w:left="3520"/>
              <w:spacing w:after="0"/>
              <w:rPr>
                <w:sz w:val="20"/>
                <w:szCs w:val="20"/>
                <w:color w:val="auto"/>
              </w:rPr>
            </w:pPr>
            <w:r>
              <w:rPr>
                <w:rFonts w:ascii="Arial" w:cs="Arial" w:eastAsia="Arial" w:hAnsi="Arial"/>
                <w:sz w:val="18"/>
                <w:szCs w:val="18"/>
                <w:color w:val="auto"/>
              </w:rPr>
              <w:t>59</w:t>
            </w:r>
          </w:p>
        </w:tc>
      </w:tr>
      <w:tr>
        <w:trPr>
          <w:trHeight w:val="228"/>
        </w:trPr>
        <w:tc>
          <w:tcPr>
            <w:tcW w:w="1660" w:type="dxa"/>
            <w:vAlign w:val="bottom"/>
            <w:tcBorders>
              <w:bottom w:val="single" w:sz="8" w:color="808080"/>
            </w:tcBorders>
          </w:tcPr>
          <w:p>
            <w:pPr>
              <w:spacing w:after="0"/>
              <w:rPr>
                <w:sz w:val="19"/>
                <w:szCs w:val="19"/>
                <w:color w:val="auto"/>
              </w:rPr>
            </w:pPr>
          </w:p>
        </w:tc>
        <w:tc>
          <w:tcPr>
            <w:tcW w:w="9760" w:type="dxa"/>
            <w:vAlign w:val="bottom"/>
            <w:tcBorders>
              <w:bottom w:val="single" w:sz="8" w:color="808080"/>
            </w:tcBorders>
            <w:gridSpan w:val="2"/>
          </w:tcPr>
          <w:p>
            <w:pPr>
              <w:spacing w:after="0"/>
              <w:rPr>
                <w:sz w:val="19"/>
                <w:szCs w:val="19"/>
                <w:color w:val="auto"/>
              </w:rPr>
            </w:pPr>
          </w:p>
        </w:tc>
      </w:tr>
      <w:tr>
        <w:trPr>
          <w:trHeight w:val="535"/>
        </w:trPr>
        <w:tc>
          <w:tcPr>
            <w:tcW w:w="1660" w:type="dxa"/>
            <w:vAlign w:val="bottom"/>
          </w:tcPr>
          <w:p>
            <w:pPr>
              <w:spacing w:after="0"/>
              <w:rPr>
                <w:sz w:val="20"/>
                <w:szCs w:val="20"/>
                <w:color w:val="auto"/>
              </w:rPr>
            </w:pPr>
            <w:r>
              <w:rPr>
                <w:rFonts w:ascii="Arial" w:cs="Arial" w:eastAsia="Arial" w:hAnsi="Arial"/>
                <w:sz w:val="18"/>
                <w:szCs w:val="18"/>
                <w:color w:val="auto"/>
              </w:rPr>
              <w:t>10.128</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Nonstatutory Stock Option Plan (14)</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10.129</w:t>
            </w:r>
          </w:p>
        </w:tc>
        <w:tc>
          <w:tcPr>
            <w:tcW w:w="440" w:type="dxa"/>
            <w:vAlign w:val="bottom"/>
          </w:tcPr>
          <w:p>
            <w:pPr>
              <w:ind w:left="60"/>
              <w:spacing w:after="0"/>
              <w:rPr>
                <w:sz w:val="20"/>
                <w:szCs w:val="20"/>
                <w:color w:val="auto"/>
              </w:rPr>
            </w:pPr>
            <w:r>
              <w:rPr>
                <w:rFonts w:ascii="Arial" w:cs="Arial" w:eastAsia="Arial" w:hAnsi="Arial"/>
                <w:sz w:val="18"/>
                <w:szCs w:val="18"/>
                <w:color w:val="auto"/>
                <w:w w:val="89"/>
              </w:rPr>
              <w:t>1997</w:t>
            </w:r>
          </w:p>
        </w:tc>
        <w:tc>
          <w:tcPr>
            <w:tcW w:w="9320" w:type="dxa"/>
            <w:vAlign w:val="bottom"/>
          </w:tcPr>
          <w:p>
            <w:pPr>
              <w:ind w:left="20"/>
              <w:spacing w:after="0"/>
              <w:rPr>
                <w:sz w:val="20"/>
                <w:szCs w:val="20"/>
                <w:color w:val="auto"/>
              </w:rPr>
            </w:pPr>
            <w:r>
              <w:rPr>
                <w:rFonts w:ascii="Arial" w:cs="Arial" w:eastAsia="Arial" w:hAnsi="Arial"/>
                <w:sz w:val="18"/>
                <w:szCs w:val="18"/>
                <w:color w:val="auto"/>
              </w:rPr>
              <w:t>Nonstatutory Stock Option Plan (15)</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10.130</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Micron Quantum Devices, Inc. 1996 Stock Option Plan (8)</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10.131</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Sample Stock Option Assumption Letter for Micron Quantum Devices, Inc. 1996 Stock Option Plan (8)</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10.132</w:t>
            </w:r>
          </w:p>
        </w:tc>
        <w:tc>
          <w:tcPr>
            <w:tcW w:w="440" w:type="dxa"/>
            <w:vAlign w:val="bottom"/>
          </w:tcPr>
          <w:p>
            <w:pPr>
              <w:ind w:left="60"/>
              <w:spacing w:after="0"/>
              <w:rPr>
                <w:sz w:val="20"/>
                <w:szCs w:val="20"/>
                <w:color w:val="auto"/>
              </w:rPr>
            </w:pPr>
            <w:r>
              <w:rPr>
                <w:rFonts w:ascii="Arial" w:cs="Arial" w:eastAsia="Arial" w:hAnsi="Arial"/>
                <w:sz w:val="18"/>
                <w:szCs w:val="18"/>
                <w:color w:val="auto"/>
                <w:w w:val="89"/>
              </w:rPr>
              <w:t>1998</w:t>
            </w:r>
          </w:p>
        </w:tc>
        <w:tc>
          <w:tcPr>
            <w:tcW w:w="9320" w:type="dxa"/>
            <w:vAlign w:val="bottom"/>
          </w:tcPr>
          <w:p>
            <w:pPr>
              <w:ind w:left="20"/>
              <w:spacing w:after="0"/>
              <w:rPr>
                <w:sz w:val="20"/>
                <w:szCs w:val="20"/>
                <w:color w:val="auto"/>
              </w:rPr>
            </w:pPr>
            <w:r>
              <w:rPr>
                <w:rFonts w:ascii="Arial" w:cs="Arial" w:eastAsia="Arial" w:hAnsi="Arial"/>
                <w:sz w:val="18"/>
                <w:szCs w:val="18"/>
                <w:color w:val="auto"/>
              </w:rPr>
              <w:t>Nonstatutory Stock Option Plan (15)</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10.133</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Rendition, Inc. 1994 Equity Incentive Plan (16)</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10.134</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Sample Stock Option Assumption Letter for Rendition, Inc. 1994 Equity Incentive Plan (16)</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10.139</w:t>
            </w:r>
          </w:p>
        </w:tc>
        <w:tc>
          <w:tcPr>
            <w:tcW w:w="440" w:type="dxa"/>
            <w:vAlign w:val="bottom"/>
          </w:tcPr>
          <w:p>
            <w:pPr>
              <w:ind w:left="60"/>
              <w:spacing w:after="0"/>
              <w:rPr>
                <w:sz w:val="20"/>
                <w:szCs w:val="20"/>
                <w:color w:val="auto"/>
              </w:rPr>
            </w:pPr>
            <w:r>
              <w:rPr>
                <w:rFonts w:ascii="Arial" w:cs="Arial" w:eastAsia="Arial" w:hAnsi="Arial"/>
                <w:sz w:val="18"/>
                <w:szCs w:val="18"/>
                <w:color w:val="auto"/>
                <w:w w:val="89"/>
              </w:rPr>
              <w:t>1989</w:t>
            </w:r>
          </w:p>
        </w:tc>
        <w:tc>
          <w:tcPr>
            <w:tcW w:w="9320" w:type="dxa"/>
            <w:vAlign w:val="bottom"/>
          </w:tcPr>
          <w:p>
            <w:pPr>
              <w:ind w:left="20"/>
              <w:spacing w:after="0"/>
              <w:rPr>
                <w:sz w:val="20"/>
                <w:szCs w:val="20"/>
                <w:color w:val="auto"/>
              </w:rPr>
            </w:pPr>
            <w:r>
              <w:rPr>
                <w:rFonts w:ascii="Arial" w:cs="Arial" w:eastAsia="Arial" w:hAnsi="Arial"/>
                <w:sz w:val="18"/>
                <w:szCs w:val="18"/>
                <w:color w:val="auto"/>
              </w:rPr>
              <w:t>Employee Stock Purchase Plan (17)</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10.140</w:t>
            </w:r>
          </w:p>
        </w:tc>
        <w:tc>
          <w:tcPr>
            <w:tcW w:w="440" w:type="dxa"/>
            <w:vAlign w:val="bottom"/>
          </w:tcPr>
          <w:p>
            <w:pPr>
              <w:ind w:left="60"/>
              <w:spacing w:after="0"/>
              <w:rPr>
                <w:sz w:val="20"/>
                <w:szCs w:val="20"/>
                <w:color w:val="auto"/>
              </w:rPr>
            </w:pPr>
            <w:r>
              <w:rPr>
                <w:rFonts w:ascii="Arial" w:cs="Arial" w:eastAsia="Arial" w:hAnsi="Arial"/>
                <w:sz w:val="18"/>
                <w:szCs w:val="18"/>
                <w:color w:val="auto"/>
                <w:w w:val="89"/>
              </w:rPr>
              <w:t>1998</w:t>
            </w:r>
          </w:p>
        </w:tc>
        <w:tc>
          <w:tcPr>
            <w:tcW w:w="9320" w:type="dxa"/>
            <w:vAlign w:val="bottom"/>
          </w:tcPr>
          <w:p>
            <w:pPr>
              <w:ind w:left="20"/>
              <w:spacing w:after="0"/>
              <w:rPr>
                <w:sz w:val="20"/>
                <w:szCs w:val="20"/>
                <w:color w:val="auto"/>
              </w:rPr>
            </w:pPr>
            <w:r>
              <w:rPr>
                <w:rFonts w:ascii="Arial" w:cs="Arial" w:eastAsia="Arial" w:hAnsi="Arial"/>
                <w:sz w:val="18"/>
                <w:szCs w:val="18"/>
                <w:color w:val="auto"/>
              </w:rPr>
              <w:t>Non-Employee Director Stock Incentive Plan (18)</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10.141</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w w:val="92"/>
              </w:rPr>
              <w:t>Registration Rights Agreement dated February 4, 2003, among the Registrant, Goldman, Sachs &amp; Co. and Lehman Brothers Inc. (4)</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10.142</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Purchase Agreement dated October 1, 1998, between the Registrant and TECH Semiconductor Singapore Pte. Ltd. (19)</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10.144</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w w:val="96"/>
              </w:rPr>
              <w:t>Purchase Agreement dated as of July 12, 2001, between the Registrant and Lehman Brothers, Inc. relating to the Warrants (3)</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10.145</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w w:val="89"/>
              </w:rPr>
              <w:t>Registration Rights Agreement dated as of July 18, 2001, between the Registrant and Lehman Brothers, Inc., relating to the Warrants (3)</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10.146</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w w:val="88"/>
              </w:rPr>
              <w:t>Warrant Agreement dated as of July 18, 2001, between the Registrant and Wells Fargo Bank Minnesota, N.A., relating to the Warrants (3)</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10.151</w:t>
            </w:r>
          </w:p>
        </w:tc>
        <w:tc>
          <w:tcPr>
            <w:tcW w:w="440" w:type="dxa"/>
            <w:vAlign w:val="bottom"/>
          </w:tcPr>
          <w:p>
            <w:pPr>
              <w:ind w:left="60"/>
              <w:spacing w:after="0"/>
              <w:rPr>
                <w:sz w:val="20"/>
                <w:szCs w:val="20"/>
                <w:color w:val="auto"/>
              </w:rPr>
            </w:pPr>
            <w:r>
              <w:rPr>
                <w:rFonts w:ascii="Arial" w:cs="Arial" w:eastAsia="Arial" w:hAnsi="Arial"/>
                <w:sz w:val="18"/>
                <w:szCs w:val="18"/>
                <w:color w:val="auto"/>
                <w:w w:val="89"/>
              </w:rPr>
              <w:t>2001</w:t>
            </w:r>
          </w:p>
        </w:tc>
        <w:tc>
          <w:tcPr>
            <w:tcW w:w="9320" w:type="dxa"/>
            <w:vAlign w:val="bottom"/>
          </w:tcPr>
          <w:p>
            <w:pPr>
              <w:ind w:left="20"/>
              <w:spacing w:after="0"/>
              <w:rPr>
                <w:sz w:val="20"/>
                <w:szCs w:val="20"/>
                <w:color w:val="auto"/>
              </w:rPr>
            </w:pPr>
            <w:r>
              <w:rPr>
                <w:rFonts w:ascii="Arial" w:cs="Arial" w:eastAsia="Arial" w:hAnsi="Arial"/>
                <w:sz w:val="18"/>
                <w:szCs w:val="18"/>
                <w:color w:val="auto"/>
              </w:rPr>
              <w:t>Stock Option Plan (17)</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10.152</w:t>
            </w:r>
          </w:p>
        </w:tc>
        <w:tc>
          <w:tcPr>
            <w:tcW w:w="440" w:type="dxa"/>
            <w:vAlign w:val="bottom"/>
          </w:tcPr>
          <w:p>
            <w:pPr>
              <w:ind w:left="60"/>
              <w:spacing w:after="0"/>
              <w:rPr>
                <w:sz w:val="20"/>
                <w:szCs w:val="20"/>
                <w:color w:val="auto"/>
              </w:rPr>
            </w:pPr>
            <w:r>
              <w:rPr>
                <w:rFonts w:ascii="Arial" w:cs="Arial" w:eastAsia="Arial" w:hAnsi="Arial"/>
                <w:sz w:val="18"/>
                <w:szCs w:val="18"/>
                <w:color w:val="auto"/>
                <w:w w:val="89"/>
              </w:rPr>
              <w:t>2002</w:t>
            </w:r>
          </w:p>
        </w:tc>
        <w:tc>
          <w:tcPr>
            <w:tcW w:w="9320" w:type="dxa"/>
            <w:vAlign w:val="bottom"/>
          </w:tcPr>
          <w:p>
            <w:pPr>
              <w:ind w:left="20"/>
              <w:spacing w:after="0"/>
              <w:rPr>
                <w:sz w:val="20"/>
                <w:szCs w:val="20"/>
                <w:color w:val="auto"/>
              </w:rPr>
            </w:pPr>
            <w:r>
              <w:rPr>
                <w:rFonts w:ascii="Arial" w:cs="Arial" w:eastAsia="Arial" w:hAnsi="Arial"/>
                <w:sz w:val="18"/>
                <w:szCs w:val="18"/>
                <w:color w:val="auto"/>
              </w:rPr>
              <w:t>Employment Inducement Stock Option Plan (17)</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10.153</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Business Agreement, dated September 24, 2003, between the Registrant and Intel Corporation * (5)</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10.154</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Securities Rights and Restrictions Agreement, dated September 24, 2003, between the Registrant and Intel Capital (5)</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21.1</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23.1</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Consent of Independent Accountants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31.1</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31.2</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32</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w w:val="96"/>
              </w:rPr>
              <w:t>Certifications of Chief Executive Officer and Chief Financial Officer Pursuant to Section 906 of the Sarbanes-Oxley Act of 2002</w:t>
            </w:r>
          </w:p>
        </w:tc>
      </w:tr>
      <w:tr>
        <w:trPr>
          <w:trHeight w:val="120"/>
        </w:trPr>
        <w:tc>
          <w:tcPr>
            <w:tcW w:w="166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93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-6480175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-6480175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620" w:right="3640" w:hanging="5612"/>
        <w:spacing w:after="0" w:line="519" w:lineRule="auto"/>
        <w:tabs>
          <w:tab w:leader="none" w:pos="54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 60</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29, 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30, 2001</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September 24, 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Proxy Statement for the 1986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-1431290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7" w:right="239" w:bottom="0" w:gutter="0" w:footer="0" w:header="0"/>
        </w:sectPr>
      </w:pPr>
    </w:p>
    <w:bookmarkStart w:id="37" w:name="page38"/>
    <w:bookmarkEnd w:id="37"/>
    <w:p>
      <w:pPr>
        <w:ind w:left="540"/>
        <w:spacing w:after="0"/>
        <w:rPr>
          <w:sz w:val="20"/>
          <w:szCs w:val="20"/>
          <w:color w:val="auto"/>
        </w:rPr>
      </w:pPr>
      <w:r>
        <w:rPr>
          <w:rFonts w:ascii="Arial" w:cs="Arial" w:eastAsia="Arial" w:hAnsi="Arial"/>
          <w:sz w:val="18"/>
          <w:szCs w:val="18"/>
          <w:color w:val="auto"/>
        </w:rPr>
        <w:t>Incorporated by reference to Annual Report on Form 10-K for the fiscal year ended August 31, 1989</w:t>
      </w:r>
    </w:p>
    <w:p>
      <w:pPr>
        <w:spacing w:after="0" w:line="239"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333-50353)</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Proxy Statement for the 1999 Annual Meeting of Shareholders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29, 1996</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September 3, 1998</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1997</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on October 14, 1998, as amended on October 16, 1998</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333-103341)</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November 28, 2002</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333-65449)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333-102545)</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June 3, 1999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3, 1998</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Commission.</w:t>
      </w:r>
    </w:p>
    <w:p>
      <w:pPr>
        <w:spacing w:after="0" w:line="25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 filed the following reports on Form 8-K during the fiscal quarter ended August 28, 2003:</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gridSpan w:val="2"/>
          </w:tcPr>
          <w:p>
            <w:pPr>
              <w:ind w:left="1720"/>
              <w:spacing w:after="0"/>
              <w:rPr>
                <w:sz w:val="20"/>
                <w:szCs w:val="20"/>
                <w:color w:val="auto"/>
              </w:rPr>
            </w:pPr>
            <w:r>
              <w:rPr>
                <w:rFonts w:ascii="Arial" w:cs="Arial" w:eastAsia="Arial" w:hAnsi="Arial"/>
                <w:sz w:val="14"/>
                <w:szCs w:val="14"/>
                <w:b w:val="1"/>
                <w:bCs w:val="1"/>
                <w:color w:val="auto"/>
              </w:rPr>
              <w:t>Date</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Pr>
          <w:p>
            <w:pPr>
              <w:ind w:left="1800"/>
              <w:spacing w:after="0"/>
              <w:rPr>
                <w:sz w:val="20"/>
                <w:szCs w:val="20"/>
                <w:color w:val="auto"/>
              </w:rPr>
            </w:pPr>
            <w:r>
              <w:rPr>
                <w:rFonts w:ascii="Arial" w:cs="Arial" w:eastAsia="Arial" w:hAnsi="Arial"/>
                <w:sz w:val="14"/>
                <w:szCs w:val="14"/>
                <w:b w:val="1"/>
                <w:bCs w:val="1"/>
                <w:color w:val="auto"/>
              </w:rPr>
              <w:t>Item</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June 18, 2003</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Item 7, Financial Statements and Exhibits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Item 9, Regulation FD Disclosure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3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-786130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-786130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-786130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-786130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Boise, State of Idaho, on the 14th day of October 2003.</w:t>
      </w:r>
    </w:p>
    <w:p>
      <w:pPr>
        <w:spacing w:after="0" w:line="13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14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77470</wp:posOffset>
            </wp:positionV>
            <wp:extent cx="2877185"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877185" cy="21590"/>
                    </a:xfrm>
                    <a:prstGeom prst="rect">
                      <a:avLst/>
                    </a:prstGeom>
                    <a:noFill/>
                  </pic:spPr>
                </pic:pic>
              </a:graphicData>
            </a:graphic>
          </wp:anchor>
        </w:drawing>
      </w:r>
    </w:p>
    <w:p>
      <w:pPr>
        <w:spacing w:after="0" w:line="232"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W. G. Stover, Jr.,</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Vice President of Finance, Chief Financial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4260" w:type="dxa"/>
            <w:vAlign w:val="bottom"/>
          </w:tcPr>
          <w:p>
            <w:pPr>
              <w:ind w:left="20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05"/>
        </w:trPr>
        <w:tc>
          <w:tcPr>
            <w:tcW w:w="4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4280" w:type="dxa"/>
            <w:vAlign w:val="bottom"/>
          </w:tcPr>
          <w:p>
            <w:pPr>
              <w:jc w:val="center"/>
              <w:ind w:right="174"/>
              <w:spacing w:after="0"/>
              <w:rPr>
                <w:sz w:val="20"/>
                <w:szCs w:val="20"/>
                <w:color w:val="auto"/>
              </w:rPr>
            </w:pPr>
            <w:r>
              <w:rPr>
                <w:rFonts w:ascii="Arial" w:cs="Arial" w:eastAsia="Arial" w:hAnsi="Arial"/>
                <w:sz w:val="18"/>
                <w:szCs w:val="18"/>
                <w:color w:val="auto"/>
                <w:w w:val="93"/>
              </w:rPr>
              <w:t>/s/ STEVEN R. APPLETON</w:t>
            </w:r>
          </w:p>
        </w:tc>
        <w:tc>
          <w:tcPr>
            <w:tcW w:w="2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Chairman of the Board, Chief Executive Officer and</w:t>
            </w:r>
          </w:p>
        </w:tc>
        <w:tc>
          <w:tcPr>
            <w:tcW w:w="2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7"/>
              </w:rPr>
              <w:t>October 14, 2003</w:t>
            </w:r>
          </w:p>
        </w:tc>
        <w:tc>
          <w:tcPr>
            <w:tcW w:w="0" w:type="dxa"/>
            <w:vAlign w:val="bottom"/>
          </w:tcPr>
          <w:p>
            <w:pPr>
              <w:spacing w:after="0"/>
              <w:rPr>
                <w:sz w:val="1"/>
                <w:szCs w:val="1"/>
                <w:color w:val="auto"/>
              </w:rPr>
            </w:pPr>
          </w:p>
        </w:tc>
      </w:tr>
      <w:tr>
        <w:trPr>
          <w:trHeight w:val="127"/>
        </w:trPr>
        <w:tc>
          <w:tcPr>
            <w:tcW w:w="42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260" w:type="dxa"/>
            <w:vAlign w:val="bottom"/>
            <w:vMerge w:val="restart"/>
          </w:tcPr>
          <w:p>
            <w:pPr>
              <w:spacing w:after="0"/>
              <w:rPr>
                <w:sz w:val="20"/>
                <w:szCs w:val="20"/>
                <w:color w:val="auto"/>
              </w:rPr>
            </w:pPr>
            <w:r>
              <w:rPr>
                <w:rFonts w:ascii="Arial" w:cs="Arial" w:eastAsia="Arial" w:hAnsi="Arial"/>
                <w:sz w:val="18"/>
                <w:szCs w:val="18"/>
                <w:color w:val="auto"/>
              </w:rPr>
              <w:t>President</w:t>
            </w:r>
          </w:p>
        </w:tc>
        <w:tc>
          <w:tcPr>
            <w:tcW w:w="2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9"/>
              </w:rPr>
              <w:t>(Steven R. Appleton)</w:t>
            </w:r>
          </w:p>
        </w:tc>
        <w:tc>
          <w:tcPr>
            <w:tcW w:w="220" w:type="dxa"/>
            <w:vAlign w:val="bottom"/>
          </w:tcPr>
          <w:p>
            <w:pPr>
              <w:spacing w:after="0"/>
              <w:rPr>
                <w:sz w:val="6"/>
                <w:szCs w:val="6"/>
                <w:color w:val="auto"/>
              </w:rPr>
            </w:pPr>
          </w:p>
        </w:tc>
        <w:tc>
          <w:tcPr>
            <w:tcW w:w="42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280" w:type="dxa"/>
            <w:vAlign w:val="bottom"/>
          </w:tcPr>
          <w:p>
            <w:pPr>
              <w:jc w:val="center"/>
              <w:ind w:right="174"/>
              <w:spacing w:after="0"/>
              <w:rPr>
                <w:sz w:val="20"/>
                <w:szCs w:val="20"/>
                <w:color w:val="auto"/>
              </w:rPr>
            </w:pPr>
            <w:r>
              <w:rPr>
                <w:rFonts w:ascii="Arial" w:cs="Arial" w:eastAsia="Arial" w:hAnsi="Arial"/>
                <w:sz w:val="18"/>
                <w:szCs w:val="18"/>
                <w:color w:val="auto"/>
                <w:w w:val="91"/>
              </w:rPr>
              <w:t>/s/ W. G. STOVER, JR.</w:t>
            </w:r>
          </w:p>
        </w:tc>
        <w:tc>
          <w:tcPr>
            <w:tcW w:w="2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89"/>
              </w:rPr>
              <w:t>Vice President of Finance, Chief Financial Officer (Principal</w:t>
            </w:r>
          </w:p>
        </w:tc>
        <w:tc>
          <w:tcPr>
            <w:tcW w:w="2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7"/>
              </w:rPr>
              <w:t>October 14, 2003</w:t>
            </w:r>
          </w:p>
        </w:tc>
        <w:tc>
          <w:tcPr>
            <w:tcW w:w="0" w:type="dxa"/>
            <w:vAlign w:val="bottom"/>
          </w:tcPr>
          <w:p>
            <w:pPr>
              <w:spacing w:after="0"/>
              <w:rPr>
                <w:sz w:val="1"/>
                <w:szCs w:val="1"/>
                <w:color w:val="auto"/>
              </w:rPr>
            </w:pPr>
          </w:p>
        </w:tc>
      </w:tr>
      <w:tr>
        <w:trPr>
          <w:trHeight w:val="127"/>
        </w:trPr>
        <w:tc>
          <w:tcPr>
            <w:tcW w:w="42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260" w:type="dxa"/>
            <w:vAlign w:val="bottom"/>
            <w:vMerge w:val="restart"/>
          </w:tcPr>
          <w:p>
            <w:pPr>
              <w:spacing w:after="0"/>
              <w:rPr>
                <w:sz w:val="20"/>
                <w:szCs w:val="20"/>
                <w:color w:val="auto"/>
              </w:rPr>
            </w:pPr>
            <w:r>
              <w:rPr>
                <w:rFonts w:ascii="Arial" w:cs="Arial" w:eastAsia="Arial" w:hAnsi="Arial"/>
                <w:sz w:val="18"/>
                <w:szCs w:val="18"/>
                <w:color w:val="auto"/>
              </w:rPr>
              <w:t>Financial and Accounting Officer)</w:t>
            </w:r>
          </w:p>
        </w:tc>
        <w:tc>
          <w:tcPr>
            <w:tcW w:w="2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8"/>
              </w:rPr>
              <w:t>(W. G. Stover, Jr.)</w:t>
            </w:r>
          </w:p>
        </w:tc>
        <w:tc>
          <w:tcPr>
            <w:tcW w:w="220" w:type="dxa"/>
            <w:vAlign w:val="bottom"/>
          </w:tcPr>
          <w:p>
            <w:pPr>
              <w:spacing w:after="0"/>
              <w:rPr>
                <w:sz w:val="6"/>
                <w:szCs w:val="6"/>
                <w:color w:val="auto"/>
              </w:rPr>
            </w:pPr>
          </w:p>
        </w:tc>
        <w:tc>
          <w:tcPr>
            <w:tcW w:w="42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280" w:type="dxa"/>
            <w:vAlign w:val="bottom"/>
          </w:tcPr>
          <w:p>
            <w:pPr>
              <w:jc w:val="center"/>
              <w:ind w:right="174"/>
              <w:spacing w:after="0"/>
              <w:rPr>
                <w:sz w:val="20"/>
                <w:szCs w:val="20"/>
                <w:color w:val="auto"/>
              </w:rPr>
            </w:pPr>
            <w:r>
              <w:rPr>
                <w:rFonts w:ascii="Arial" w:cs="Arial" w:eastAsia="Arial" w:hAnsi="Arial"/>
                <w:sz w:val="18"/>
                <w:szCs w:val="18"/>
                <w:color w:val="auto"/>
                <w:w w:val="96"/>
              </w:rPr>
              <w:t>/s/ JAMES W. BAGLEY</w:t>
            </w:r>
          </w:p>
        </w:tc>
        <w:tc>
          <w:tcPr>
            <w:tcW w:w="2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7"/>
              </w:rPr>
              <w:t>October 14, 2003</w:t>
            </w: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Arial" w:cs="Arial" w:eastAsia="Arial" w:hAnsi="Arial"/>
                <w:sz w:val="18"/>
                <w:szCs w:val="18"/>
                <w:color w:val="auto"/>
                <w:w w:val="86"/>
              </w:rPr>
              <w:t>(James W. Bagley)</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tcPr>
          <w:p>
            <w:pPr>
              <w:jc w:val="center"/>
              <w:ind w:right="174"/>
              <w:spacing w:after="0"/>
              <w:rPr>
                <w:sz w:val="20"/>
                <w:szCs w:val="20"/>
                <w:color w:val="auto"/>
              </w:rPr>
            </w:pPr>
            <w:r>
              <w:rPr>
                <w:rFonts w:ascii="Arial" w:cs="Arial" w:eastAsia="Arial" w:hAnsi="Arial"/>
                <w:sz w:val="18"/>
                <w:szCs w:val="18"/>
                <w:color w:val="auto"/>
                <w:w w:val="94"/>
              </w:rPr>
              <w:t>/s/ ROBERT A. LOTHROP</w:t>
            </w:r>
          </w:p>
        </w:tc>
        <w:tc>
          <w:tcPr>
            <w:tcW w:w="2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7"/>
              </w:rPr>
              <w:t>October 14, 2003</w:t>
            </w: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Arial" w:cs="Arial" w:eastAsia="Arial" w:hAnsi="Arial"/>
                <w:sz w:val="18"/>
                <w:szCs w:val="18"/>
                <w:color w:val="auto"/>
                <w:w w:val="92"/>
              </w:rPr>
              <w:t>(Robert A. Lothrop)</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-2206625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-2206625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-2206625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-2206625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-2206625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-2206625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-1914525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-1348740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-782955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-216535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340" w:type="dxa"/>
            <w:vAlign w:val="bottom"/>
          </w:tcPr>
          <w:p>
            <w:pPr>
              <w:jc w:val="center"/>
              <w:ind w:left="552"/>
              <w:spacing w:after="0"/>
              <w:rPr>
                <w:sz w:val="20"/>
                <w:szCs w:val="20"/>
                <w:color w:val="auto"/>
              </w:rPr>
            </w:pPr>
            <w:r>
              <w:rPr>
                <w:rFonts w:ascii="Arial" w:cs="Arial" w:eastAsia="Arial" w:hAnsi="Arial"/>
                <w:sz w:val="18"/>
                <w:szCs w:val="18"/>
                <w:color w:val="auto"/>
                <w:w w:val="94"/>
              </w:rPr>
              <w:t>/s/ THOMAS T. NICHOLSON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4"/>
          </w:tcPr>
          <w:p>
            <w:pPr>
              <w:jc w:val="right"/>
              <w:ind w:right="537"/>
              <w:spacing w:after="0"/>
              <w:rPr>
                <w:sz w:val="20"/>
                <w:szCs w:val="20"/>
                <w:color w:val="auto"/>
              </w:rPr>
            </w:pPr>
            <w:r>
              <w:rPr>
                <w:rFonts w:ascii="Arial" w:cs="Arial" w:eastAsia="Arial" w:hAnsi="Arial"/>
                <w:sz w:val="18"/>
                <w:szCs w:val="18"/>
                <w:color w:val="auto"/>
              </w:rPr>
              <w:t>October 14, 2003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jc w:val="center"/>
              <w:ind w:left="812"/>
              <w:spacing w:after="0"/>
              <w:rPr>
                <w:sz w:val="20"/>
                <w:szCs w:val="20"/>
                <w:color w:val="auto"/>
              </w:rPr>
            </w:pPr>
            <w:r>
              <w:rPr>
                <w:rFonts w:ascii="Arial" w:cs="Arial" w:eastAsia="Arial" w:hAnsi="Arial"/>
                <w:sz w:val="18"/>
                <w:szCs w:val="18"/>
                <w:color w:val="auto"/>
                <w:w w:val="90"/>
              </w:rPr>
              <w:t>(Thomas T. Nicholson)</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40" w:type="dxa"/>
            <w:vAlign w:val="bottom"/>
          </w:tcPr>
          <w:p>
            <w:pPr>
              <w:jc w:val="center"/>
              <w:ind w:left="572"/>
              <w:spacing w:after="0"/>
              <w:rPr>
                <w:sz w:val="20"/>
                <w:szCs w:val="20"/>
                <w:color w:val="auto"/>
              </w:rPr>
            </w:pPr>
            <w:r>
              <w:rPr>
                <w:rFonts w:ascii="Arial" w:cs="Arial" w:eastAsia="Arial" w:hAnsi="Arial"/>
                <w:sz w:val="18"/>
                <w:szCs w:val="18"/>
                <w:color w:val="auto"/>
                <w:w w:val="95"/>
              </w:rPr>
              <w:t>/s/ GORDON C. SMITH</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4"/>
          </w:tcPr>
          <w:p>
            <w:pPr>
              <w:jc w:val="right"/>
              <w:ind w:right="537"/>
              <w:spacing w:after="0"/>
              <w:rPr>
                <w:sz w:val="20"/>
                <w:szCs w:val="20"/>
                <w:color w:val="auto"/>
              </w:rPr>
            </w:pPr>
            <w:r>
              <w:rPr>
                <w:rFonts w:ascii="Arial" w:cs="Arial" w:eastAsia="Arial" w:hAnsi="Arial"/>
                <w:sz w:val="18"/>
                <w:szCs w:val="18"/>
                <w:color w:val="auto"/>
              </w:rPr>
              <w:t>October 14, 2003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jc w:val="center"/>
              <w:ind w:left="812"/>
              <w:spacing w:after="0"/>
              <w:rPr>
                <w:sz w:val="20"/>
                <w:szCs w:val="20"/>
                <w:color w:val="auto"/>
              </w:rPr>
            </w:pPr>
            <w:r>
              <w:rPr>
                <w:rFonts w:ascii="Arial" w:cs="Arial" w:eastAsia="Arial" w:hAnsi="Arial"/>
                <w:sz w:val="18"/>
                <w:szCs w:val="18"/>
                <w:color w:val="auto"/>
                <w:w w:val="90"/>
              </w:rPr>
              <w:t>(Gordon C. Smith)</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40" w:type="dxa"/>
            <w:vAlign w:val="bottom"/>
          </w:tcPr>
          <w:p>
            <w:pPr>
              <w:jc w:val="center"/>
              <w:ind w:left="552"/>
              <w:spacing w:after="0"/>
              <w:rPr>
                <w:sz w:val="20"/>
                <w:szCs w:val="20"/>
                <w:color w:val="auto"/>
              </w:rPr>
            </w:pPr>
            <w:r>
              <w:rPr>
                <w:rFonts w:ascii="Arial" w:cs="Arial" w:eastAsia="Arial" w:hAnsi="Arial"/>
                <w:sz w:val="18"/>
                <w:szCs w:val="18"/>
                <w:color w:val="auto"/>
                <w:w w:val="97"/>
              </w:rPr>
              <w:t>/s/ WILLIAM P. WEBER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4"/>
          </w:tcPr>
          <w:p>
            <w:pPr>
              <w:jc w:val="right"/>
              <w:ind w:right="537"/>
              <w:spacing w:after="0"/>
              <w:rPr>
                <w:sz w:val="20"/>
                <w:szCs w:val="20"/>
                <w:color w:val="auto"/>
              </w:rPr>
            </w:pPr>
            <w:r>
              <w:rPr>
                <w:rFonts w:ascii="Arial" w:cs="Arial" w:eastAsia="Arial" w:hAnsi="Arial"/>
                <w:sz w:val="18"/>
                <w:szCs w:val="18"/>
                <w:color w:val="auto"/>
              </w:rPr>
              <w:t>October 14, 2003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40" w:type="dxa"/>
            <w:vAlign w:val="bottom"/>
          </w:tcPr>
          <w:p>
            <w:pPr>
              <w:jc w:val="center"/>
              <w:ind w:left="812"/>
              <w:spacing w:after="0"/>
              <w:rPr>
                <w:sz w:val="20"/>
                <w:szCs w:val="20"/>
                <w:color w:val="auto"/>
              </w:rPr>
            </w:pPr>
            <w:r>
              <w:rPr>
                <w:rFonts w:ascii="Arial" w:cs="Arial" w:eastAsia="Arial" w:hAnsi="Arial"/>
                <w:sz w:val="18"/>
                <w:szCs w:val="18"/>
                <w:color w:val="auto"/>
                <w:w w:val="90"/>
              </w:rPr>
              <w:t>(William P. Weber)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gridSpan w:val="2"/>
          </w:tcPr>
          <w:p>
            <w:pPr>
              <w:jc w:val="center"/>
              <w:ind w:right="267"/>
              <w:spacing w:after="0"/>
              <w:rPr>
                <w:sz w:val="20"/>
                <w:szCs w:val="20"/>
                <w:color w:val="auto"/>
              </w:rPr>
            </w:pPr>
            <w:r>
              <w:rPr>
                <w:rFonts w:ascii="Arial" w:cs="Arial" w:eastAsia="Arial" w:hAnsi="Arial"/>
                <w:sz w:val="18"/>
                <w:szCs w:val="18"/>
                <w:color w:val="auto"/>
                <w:w w:val="89"/>
              </w:rPr>
              <w:t>62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ind w:right="467"/>
              <w:spacing w:after="0"/>
              <w:rPr>
                <w:sz w:val="20"/>
                <w:szCs w:val="20"/>
                <w:color w:val="auto"/>
              </w:rPr>
            </w:pPr>
            <w:r>
              <w:rPr>
                <w:rFonts w:ascii="Arial" w:cs="Arial" w:eastAsia="Arial" w:hAnsi="Arial"/>
                <w:sz w:val="18"/>
                <w:szCs w:val="18"/>
                <w:color w:val="auto"/>
                <w:w w:val="88"/>
              </w:rPr>
              <w:t>Schedule II</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9"/>
              </w:rPr>
              <w:t>MICRON TECHNOLOGY, INC.</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0" w:type="dxa"/>
            <w:vAlign w:val="bottom"/>
            <w:gridSpan w:val="8"/>
          </w:tcPr>
          <w:p>
            <w:pPr>
              <w:jc w:val="center"/>
              <w:spacing w:after="0"/>
              <w:rPr>
                <w:sz w:val="20"/>
                <w:szCs w:val="20"/>
                <w:color w:val="auto"/>
              </w:rPr>
            </w:pPr>
            <w:r>
              <w:rPr>
                <w:rFonts w:ascii="Arial" w:cs="Arial" w:eastAsia="Arial" w:hAnsi="Arial"/>
                <w:sz w:val="18"/>
                <w:szCs w:val="18"/>
                <w:b w:val="1"/>
                <w:bCs w:val="1"/>
                <w:color w:val="auto"/>
                <w:w w:val="98"/>
              </w:rPr>
              <w:t>VALUATION AND QUALIFYING ACCOUNTS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0" w:type="dxa"/>
            <w:vAlign w:val="bottom"/>
            <w:gridSpan w:val="3"/>
          </w:tcPr>
          <w:p>
            <w:pPr>
              <w:jc w:val="center"/>
              <w:ind w:left="332"/>
              <w:spacing w:after="0"/>
              <w:rPr>
                <w:sz w:val="20"/>
                <w:szCs w:val="20"/>
                <w:color w:val="auto"/>
              </w:rPr>
            </w:pPr>
            <w:r>
              <w:rPr>
                <w:rFonts w:ascii="Arial" w:cs="Arial" w:eastAsia="Arial" w:hAnsi="Arial"/>
                <w:sz w:val="18"/>
                <w:szCs w:val="18"/>
                <w:b w:val="1"/>
                <w:bCs w:val="1"/>
                <w:color w:val="auto"/>
                <w:w w:val="88"/>
              </w:rPr>
              <w:t>(Amounts in millions)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Charged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Balance at</w:t>
            </w:r>
          </w:p>
        </w:tc>
        <w:tc>
          <w:tcPr>
            <w:tcW w:w="220" w:type="dxa"/>
            <w:vAlign w:val="bottom"/>
          </w:tcPr>
          <w:p>
            <w:pPr>
              <w:spacing w:after="0"/>
              <w:rPr>
                <w:sz w:val="12"/>
                <w:szCs w:val="12"/>
                <w:color w:val="auto"/>
              </w:rPr>
            </w:pPr>
          </w:p>
        </w:tc>
        <w:tc>
          <w:tcPr>
            <w:tcW w:w="138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87"/>
              </w:rPr>
              <w:t>Acquisition/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(Credited) to</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220" w:type="dxa"/>
            <w:vAlign w:val="bottom"/>
          </w:tcPr>
          <w:p>
            <w:pPr>
              <w:spacing w:after="0"/>
              <w:rPr>
                <w:sz w:val="12"/>
                <w:szCs w:val="12"/>
                <w:color w:val="auto"/>
              </w:rPr>
            </w:pPr>
          </w:p>
        </w:tc>
        <w:tc>
          <w:tcPr>
            <w:tcW w:w="138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84"/>
              </w:rPr>
              <w:t>Deconsolidation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Costs and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Deductions/</w:t>
            </w: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5"/>
              </w:rPr>
              <w:t>at 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5"/>
                <w:szCs w:val="15"/>
                <w:color w:val="auto"/>
              </w:rPr>
            </w:pPr>
          </w:p>
        </w:tc>
        <w:tc>
          <w:tcPr>
            <w:tcW w:w="1380" w:type="dxa"/>
            <w:vAlign w:val="bottom"/>
          </w:tcPr>
          <w:p>
            <w:pPr>
              <w:jc w:val="center"/>
              <w:ind w:left="287"/>
              <w:spacing w:after="0"/>
              <w:rPr>
                <w:sz w:val="20"/>
                <w:szCs w:val="20"/>
                <w:color w:val="auto"/>
              </w:rPr>
            </w:pPr>
            <w:r>
              <w:rPr>
                <w:rFonts w:ascii="Arial" w:cs="Arial" w:eastAsia="Arial" w:hAnsi="Arial"/>
                <w:sz w:val="14"/>
                <w:szCs w:val="14"/>
                <w:b w:val="1"/>
                <w:bCs w:val="1"/>
                <w:color w:val="auto"/>
                <w:w w:val="99"/>
              </w:rPr>
              <w:t>of MEI</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Expenses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Write-Offs</w:t>
            </w:r>
          </w:p>
        </w:tc>
        <w:tc>
          <w:tcPr>
            <w:tcW w:w="140" w:type="dxa"/>
            <w:vAlign w:val="bottom"/>
          </w:tcPr>
          <w:p>
            <w:pPr>
              <w:spacing w:after="0"/>
              <w:rPr>
                <w:sz w:val="15"/>
                <w:szCs w:val="15"/>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Year ended August 28, 2003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600" w:type="dxa"/>
            <w:vAlign w:val="bottom"/>
            <w:gridSpan w:val="2"/>
          </w:tcPr>
          <w:p>
            <w:pPr>
              <w:jc w:val="right"/>
              <w:ind w:right="1227"/>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 ended August 29, 2002</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Year ended August 30, 2001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Obsolete Inventory</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Year ended August 28, 2003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600" w:type="dxa"/>
            <w:vAlign w:val="bottom"/>
            <w:gridSpan w:val="2"/>
          </w:tcPr>
          <w:p>
            <w:pPr>
              <w:jc w:val="right"/>
              <w:ind w:right="1227"/>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 ended August 29, 2002</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Year ended August 30, 2001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Deferred Tax Asset Valuation Allowance</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Year ended August 28, 2003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431.5</w:t>
            </w:r>
          </w:p>
        </w:tc>
        <w:tc>
          <w:tcPr>
            <w:tcW w:w="1600" w:type="dxa"/>
            <w:vAlign w:val="bottom"/>
            <w:gridSpan w:val="2"/>
          </w:tcPr>
          <w:p>
            <w:pPr>
              <w:jc w:val="right"/>
              <w:ind w:right="1227"/>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558.8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993.1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 ended August 29, 2002</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Year ended August 30, 2001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39.6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-5516880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-5516880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-4950460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-4950460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-4384675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-4384675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-3750310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-3750310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-2189480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-2189480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-2189480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-2189480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-2189480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-2189480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-2189480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-2189480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-2189480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-2189480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allowance for obsolete inventory excludes any charges for write-downs of work in process and finished goods inventories to their estimated market values. See "Item 7. Management's Discussion and Analysis of Financial Condition and Results of Operations" and "Item 8. Financial Statements and Supplementary Data—Notes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Business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5. Market for Registrant's Common Equity and Related Stockholder Matters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6. Selected Financial Data</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MICRON TECHNOLOGY, INC. CONSOLIDATED STATEMENTS OF OPERATIONS (Amounts in millions except per share amounts)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MICRON TECHNOLOGY, INC. CONSOLIDATED BALANCE SHEETS (Amounts in millions except par value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MICRON TECHNOLOGY, INC. CONSOLIDATED STATEMENTS OF SHAREHOLDERS' EQUITY (Amounts in millions)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MICRON TECHNOLOGY, INC. CONSOLIDATED STATEMENTS OF CASH FLOWS (Amounts in millions)</w:t>
        </w:r>
      </w:hyperlink>
    </w:p>
    <w:p>
      <w:pPr>
        <w:sectPr>
          <w:pgSz w:w="11900" w:h="16838" w:orient="portrait"/>
          <w:cols w:equalWidth="0" w:num="1">
            <w:col w:w="11420"/>
          </w:cols>
          <w:pgMar w:left="240" w:top="131" w:right="239" w:bottom="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MICRON TECHNOLOGY, INC. NOTES TO CONSOLIDATED FINANCIAL STATEMENTS (All tabular amounts in millions except per share amounts)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Quarterly Financial Information (Unaudited) (Amounts in millions except per share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Report of Independent Accountants</w:t>
        </w:r>
      </w:hyperlink>
    </w:p>
    <w:p>
      <w:pPr>
        <w:spacing w:after="0" w:line="219" w:lineRule="exact"/>
        <w:rPr>
          <w:sz w:val="20"/>
          <w:szCs w:val="20"/>
          <w:color w:val="auto"/>
        </w:rPr>
      </w:pPr>
    </w:p>
    <w:p>
      <w:pPr>
        <w:ind w:left="540" w:right="3560"/>
        <w:spacing w:after="0" w:line="268"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9. Changes in and Disagreements with Accountants on Accounting and Financial Disclosure</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Item 9A. Controls and Procedures</w:t>
        </w:r>
      </w:hyperlink>
    </w:p>
    <w:p>
      <w:pPr>
        <w:spacing w:after="0" w:line="186"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10. Directors and Executive Officers of the Registrant</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11. Executive Compensation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12. Security Ownership of Certain Beneficial Owners and Management and Related Stockholder Matters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13. Certain Relationships and Related Transactions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PART IV</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15. Exhibits, Financial Statement Schedules and Reports on Form 8-K</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MICRON TECHNOLOGY, INC. VALUATION AND QUALIFYING ACCOUNTS (Amounts in millions)</w:t>
        </w:r>
      </w:hyperlink>
    </w:p>
    <w:p>
      <w:pPr>
        <w:sectPr>
          <w:pgSz w:w="11900" w:h="16838" w:orient="portrait"/>
          <w:cols w:equalWidth="0" w:num="1">
            <w:col w:w="10960"/>
          </w:cols>
          <w:pgMar w:left="240" w:top="131" w:right="699" w:bottom="1440" w:gutter="0" w:footer="0" w:header="0"/>
        </w:sectPr>
      </w:pPr>
    </w:p>
    <w:bookmarkStart w:id="40" w:name="page41"/>
    <w:bookmarkEnd w:id="40"/>
    <w:p>
      <w:pPr>
        <w:spacing w:after="0"/>
        <w:rPr>
          <w:rFonts w:ascii="Arial" w:cs="Arial" w:eastAsia="Arial" w:hAnsi="Arial"/>
          <w:sz w:val="22"/>
          <w:szCs w:val="22"/>
          <w:color w:val="0000EE"/>
        </w:rPr>
      </w:pPr>
      <w:hyperlink w:anchor="page4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EXHIBIT 10.112</w:t>
            </w:r>
          </w:p>
        </w:tc>
      </w:tr>
      <w:tr>
        <w:trPr>
          <w:trHeight w:val="648"/>
        </w:trPr>
        <w:tc>
          <w:tcPr>
            <w:tcW w:w="10040" w:type="dxa"/>
            <w:vAlign w:val="bottom"/>
            <w:gridSpan w:val="3"/>
          </w:tcPr>
          <w:p>
            <w:pPr>
              <w:jc w:val="right"/>
              <w:ind w:right="3200"/>
              <w:spacing w:after="0"/>
              <w:rPr>
                <w:sz w:val="20"/>
                <w:szCs w:val="20"/>
                <w:color w:val="auto"/>
              </w:rPr>
            </w:pPr>
            <w:r>
              <w:rPr>
                <w:rFonts w:ascii="Arial" w:cs="Arial" w:eastAsia="Arial" w:hAnsi="Arial"/>
                <w:sz w:val="18"/>
                <w:szCs w:val="18"/>
                <w:b w:val="1"/>
                <w:bCs w:val="1"/>
                <w:color w:val="auto"/>
              </w:rPr>
              <w:t>SEVERANCE AGREEMENT</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4"/>
        </w:trPr>
        <w:tc>
          <w:tcPr>
            <w:tcW w:w="1004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This Severance Agreement (the "Agreement") is by and between Micron Technology, Inc., a Delaware corporation (the "Company"), and</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w w:val="86"/>
              </w:rPr>
              <w:t>, an</w:t>
            </w:r>
          </w:p>
        </w:tc>
      </w:tr>
      <w:tr>
        <w:trPr>
          <w:trHeight w:val="196"/>
        </w:trPr>
        <w:tc>
          <w:tcPr>
            <w:tcW w:w="5420" w:type="dxa"/>
            <w:vAlign w:val="bottom"/>
          </w:tcPr>
          <w:p>
            <w:pPr>
              <w:spacing w:after="0" w:line="196" w:lineRule="exact"/>
              <w:rPr>
                <w:sz w:val="20"/>
                <w:szCs w:val="20"/>
                <w:color w:val="auto"/>
              </w:rPr>
            </w:pPr>
            <w:r>
              <w:rPr>
                <w:rFonts w:ascii="Arial" w:cs="Arial" w:eastAsia="Arial" w:hAnsi="Arial"/>
                <w:sz w:val="18"/>
                <w:szCs w:val="18"/>
                <w:color w:val="auto"/>
                <w:w w:val="91"/>
              </w:rPr>
              <w:t>individual and Officer of the Company, (the "Officer"), and is effective as of</w:t>
            </w:r>
          </w:p>
        </w:tc>
        <w:tc>
          <w:tcPr>
            <w:tcW w:w="4620" w:type="dxa"/>
            <w:vAlign w:val="bottom"/>
            <w:gridSpan w:val="2"/>
          </w:tcPr>
          <w:p>
            <w:pPr>
              <w:jc w:val="right"/>
              <w:ind w:right="352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40" w:firstLine="348"/>
        <w:spacing w:after="0" w:line="268" w:lineRule="auto"/>
        <w:rPr>
          <w:sz w:val="20"/>
          <w:szCs w:val="20"/>
          <w:color w:val="auto"/>
        </w:rPr>
      </w:pPr>
      <w:r>
        <w:rPr>
          <w:rFonts w:ascii="Arial" w:cs="Arial" w:eastAsia="Arial" w:hAnsi="Arial"/>
          <w:sz w:val="18"/>
          <w:szCs w:val="18"/>
          <w:color w:val="auto"/>
        </w:rPr>
        <w:t>WHEREAS, the parties recognize that it is in the best interest of the Company to provide for a smooth transition when there is a change in management, and wish to recognize the valued contributions of the Officer; and</w:t>
      </w:r>
    </w:p>
    <w:p>
      <w:pPr>
        <w:spacing w:after="0" w:line="186"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WHEREAS, the Company desires to provide the Officer with benefits in consideration for his execution of this Agreement and the instrument titled Agreement Not to Compete or Solicit (the "Noncompete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right="220" w:firstLine="359"/>
        <w:spacing w:after="0" w:line="298" w:lineRule="auto"/>
        <w:tabs>
          <w:tab w:leader="none" w:pos="69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TERMINATION OF THE OFFICER. Either the Company or the Officer may at any time terminate the Officer's active employment with the Company for any reason, voluntary or involuntary, with or without cause, by providing notice to that effect in writing. The date such notice is received by the other party or, if earlier, the date of the Officer's death, shall be deemed the "Termination Date." Upon receipt by the Officer of a notice of termination from the Company, or at any other time upon the Company's request, the Officer shall resign immediately as an officer and/or director of the Company.</w:t>
      </w:r>
    </w:p>
    <w:p>
      <w:pPr>
        <w:spacing w:after="0" w:line="166" w:lineRule="exact"/>
        <w:rPr>
          <w:rFonts w:ascii="Arial" w:cs="Arial" w:eastAsia="Arial" w:hAnsi="Arial"/>
          <w:sz w:val="16"/>
          <w:szCs w:val="16"/>
          <w:color w:val="auto"/>
        </w:rPr>
      </w:pPr>
    </w:p>
    <w:p>
      <w:pPr>
        <w:ind w:right="140" w:firstLine="359"/>
        <w:spacing w:after="0" w:line="259" w:lineRule="auto"/>
        <w:tabs>
          <w:tab w:leader="none" w:pos="7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 OF TERMINATION. Effective on the Termination Date, and for a period defined in paragraph 2(a) herein (the "Transition Period"), the Officer may act as a consultant to the Company or, in the case of paragraph 2(b) herein, continue as a non-officer employee with the Company, provided in each case the parties so agree in writing.</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2(a). TRANSITION PERIOD. For purposes of this agreement, the "Transition Period" shall be one hundred and eighty-four (184) days plus the amount, if any, of TOP time that the Officer has accrued as of the Termination Date.</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2(b). CHANGE OF OFFICER STATUS. In the event that the Officer or the Company terminates the Officer's status as an officer of the Company but not as an employee, both parties agree that such change in status will be treated as a termination for purposes of this Agreement, and that the date of such change in status will be deemed the Termination Date. Following the Transition Period, the Officer shall be entitled only to such compensation and benefits as the Company may then provide for his services as an employee. In no circumstance shall paragraph 3 herein be applicable to the Officer for a period longer than the Transition Period.</w:t>
      </w:r>
    </w:p>
    <w:p>
      <w:pPr>
        <w:spacing w:after="0" w:line="197" w:lineRule="exact"/>
        <w:rPr>
          <w:sz w:val="20"/>
          <w:szCs w:val="20"/>
          <w:color w:val="auto"/>
        </w:rPr>
      </w:pPr>
    </w:p>
    <w:p>
      <w:pPr>
        <w:ind w:firstLine="359"/>
        <w:spacing w:after="0" w:line="287" w:lineRule="auto"/>
        <w:tabs>
          <w:tab w:leader="none" w:pos="70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BENEFITS DURING THE TRANSITION PERIOD. Provided the Officer complies with the terms of this Agreement and the terms of the Noncompete Agreement, the Officer, or the Officer's estate in the event of the Officer's death, will receive during the Transition Period all compensation and benefits customarily provided to officers of the Company (or, in lieu of participation in such benefits, at the Company's election, cash in an amount designed to make the Officer reasonably whole), including, but not limited to, salary, bonuses, executive bonuses, and the continued vesting of any granted stock options, as if the Officer's employment as an officer had continued during the Transition Period. "Customarily provided" refers to Company practices and plans with respect to officer benefits and compensation in effect as of the Termination Date. For purposes of this provision only, however, it is understood that the Officer, during the Transition Period, is not entitled pursuant to this Agreement to any new grants of interest in future executive bonus pools, to any new grants of stock options or, except in the case where the Company terminates the Officer's status as an officer of the Company but not as an employee, to the accrual of TOP time. It is further understood that the Officer is not entitled to payment of any compensation that is deferred past the Transition Period due to payment criteria of an incentive program, as those criteria existed as of the Termination Date. No action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or the Company's Board of Directors may affect the Officer's receipt of the benefits set forth above, other than as provided herein.</w:t>
      </w:r>
    </w:p>
    <w:p>
      <w:pPr>
        <w:spacing w:after="0" w:line="225" w:lineRule="exact"/>
        <w:rPr>
          <w:sz w:val="20"/>
          <w:szCs w:val="20"/>
          <w:color w:val="auto"/>
        </w:rPr>
      </w:pPr>
    </w:p>
    <w:p>
      <w:pPr>
        <w:ind w:right="360" w:firstLine="359"/>
        <w:spacing w:after="0" w:line="259" w:lineRule="auto"/>
        <w:tabs>
          <w:tab w:leader="none" w:pos="7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CONFIDENTIALITY. The reasons for, and circumstances of, an Officer's termination of employment or change in officer status shall be kept confidential and shall not be disclosed; provided that the Company may disclose such information as the Company determines, in its sole discretion, is either required by law to be disclosed or necessary to be disclosed to serve a valid business purpose.</w:t>
      </w:r>
    </w:p>
    <w:p>
      <w:pPr>
        <w:spacing w:after="0" w:line="194" w:lineRule="exact"/>
        <w:rPr>
          <w:rFonts w:ascii="Arial" w:cs="Arial" w:eastAsia="Arial" w:hAnsi="Arial"/>
          <w:sz w:val="18"/>
          <w:szCs w:val="18"/>
          <w:color w:val="auto"/>
        </w:rPr>
      </w:pPr>
    </w:p>
    <w:p>
      <w:pPr>
        <w:ind w:right="40" w:firstLine="359"/>
        <w:spacing w:after="0" w:line="259" w:lineRule="auto"/>
        <w:tabs>
          <w:tab w:leader="none" w:pos="7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RELEASE. Upon receipt of all benefits under this Agreement, the Officer and Company settle, waive, and voluntarily release any and all claims each has or may have against the other, inclusive of any of the Company's affiliates, officers, directors, employees or agents, both individually and in their official capacities, which claims are accruing prior to the end of the Transition Period.</w:t>
      </w:r>
    </w:p>
    <w:p>
      <w:pPr>
        <w:spacing w:after="0" w:line="194" w:lineRule="exact"/>
        <w:rPr>
          <w:rFonts w:ascii="Arial" w:cs="Arial" w:eastAsia="Arial" w:hAnsi="Arial"/>
          <w:sz w:val="18"/>
          <w:szCs w:val="18"/>
          <w:color w:val="auto"/>
        </w:rPr>
      </w:pPr>
    </w:p>
    <w:p>
      <w:pPr>
        <w:ind w:right="80" w:firstLine="359"/>
        <w:spacing w:after="0" w:line="253" w:lineRule="auto"/>
        <w:tabs>
          <w:tab w:leader="none" w:pos="7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FINAL AGREEMENT. Except as set forth below, this Agreement supersedes all prior agreements, and is the entire and final understanding of the parties as to the subject matter hereof. This Agreement is in addition to, and does not supersede or modify in any fashion, the provisions of the Noncompete Agreement entered into by the parties hereto or the provisions of any Assignment of Rights &amp; Inventions and/or Confidential Information agreements previously executed by Officer in favor of Micron (collectively, "Additional Agreements"). The obligations contained in the Additional Agreements shall continue independent of the obligations of one another and of this Agreement. For avoidance of doubt, the "Period of Restriction" as defined in the Noncompete Agreement shall continue in full force and effect in accordance with the terms of the Noncompete Agreement and shall not be limited by the term of the Transition Period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60"/>
        <w:spacing w:after="0"/>
        <w:tabs>
          <w:tab w:leader="none" w:pos="7360" w:val="left"/>
        </w:tabs>
        <w:rPr>
          <w:sz w:val="20"/>
          <w:szCs w:val="20"/>
          <w:color w:val="auto"/>
        </w:rPr>
      </w:pPr>
      <w:r>
        <w:rPr>
          <w:rFonts w:ascii="Arial" w:cs="Arial" w:eastAsia="Arial" w:hAnsi="Arial"/>
          <w:sz w:val="18"/>
          <w:szCs w:val="18"/>
          <w:color w:val="auto"/>
        </w:rPr>
        <w:t>IN WITNESS WHEREOF, the parties have executed this Agreement, effective as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-13970</wp:posOffset>
            </wp:positionV>
            <wp:extent cx="6686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1">
            <w:col w:w="11400"/>
          </w:cols>
          <w:pgMar w:left="240" w:top="36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MICRON TECHNOLOGY, INC.</w:t>
      </w:r>
      <w:r>
        <w:rPr>
          <w:sz w:val="20"/>
          <w:szCs w:val="20"/>
          <w:color w:val="auto"/>
        </w:rPr>
        <w:tab/>
      </w:r>
      <w:r>
        <w:rPr>
          <w:rFonts w:ascii="Arial" w:cs="Arial" w:eastAsia="Arial" w:hAnsi="Arial"/>
          <w:sz w:val="16"/>
          <w:szCs w:val="16"/>
          <w:color w:val="auto"/>
        </w:rPr>
        <w:t>OFFICER</w:t>
      </w:r>
    </w:p>
    <w:p>
      <w:pPr>
        <w:sectPr>
          <w:pgSz w:w="11900" w:h="16838" w:orient="portrait"/>
          <w:cols w:equalWidth="0" w:num="1">
            <w:col w:w="11400"/>
          </w:cols>
          <w:pgMar w:left="240" w:top="361" w:right="259"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Pr>
          <w:p>
            <w:pPr>
              <w:ind w:left="280"/>
              <w:spacing w:after="0"/>
              <w:rPr>
                <w:sz w:val="20"/>
                <w:szCs w:val="20"/>
                <w:color w:val="auto"/>
              </w:rPr>
            </w:pPr>
            <w:r>
              <w:rPr>
                <w:rFonts w:ascii="Arial" w:cs="Arial" w:eastAsia="Arial" w:hAnsi="Arial"/>
                <w:sz w:val="18"/>
                <w:szCs w:val="18"/>
                <w:color w:val="auto"/>
              </w:rPr>
              <w:t>Steven R. Appleton</w:t>
            </w:r>
          </w:p>
        </w:tc>
        <w:tc>
          <w:tcPr>
            <w:tcW w:w="3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Name:</w:t>
            </w:r>
          </w:p>
        </w:tc>
      </w:tr>
      <w:tr>
        <w:trPr>
          <w:trHeight w:val="222"/>
        </w:trPr>
        <w:tc>
          <w:tcPr>
            <w:tcW w:w="640" w:type="dxa"/>
            <w:vAlign w:val="bottom"/>
          </w:tcPr>
          <w:p>
            <w:pPr>
              <w:spacing w:after="0"/>
              <w:rPr>
                <w:sz w:val="19"/>
                <w:szCs w:val="19"/>
                <w:color w:val="auto"/>
              </w:rPr>
            </w:pPr>
          </w:p>
        </w:tc>
        <w:tc>
          <w:tcPr>
            <w:tcW w:w="4860" w:type="dxa"/>
            <w:vAlign w:val="bottom"/>
          </w:tcPr>
          <w:p>
            <w:pPr>
              <w:ind w:left="280"/>
              <w:spacing w:after="0"/>
              <w:rPr>
                <w:sz w:val="20"/>
                <w:szCs w:val="20"/>
                <w:color w:val="auto"/>
              </w:rPr>
            </w:pPr>
            <w:r>
              <w:rPr>
                <w:rFonts w:ascii="Arial" w:cs="Arial" w:eastAsia="Arial" w:hAnsi="Arial"/>
                <w:sz w:val="18"/>
                <w:szCs w:val="18"/>
                <w:color w:val="auto"/>
              </w:rPr>
              <w:t>Chairman, CEO and President</w:t>
            </w:r>
          </w:p>
        </w:tc>
        <w:tc>
          <w:tcPr>
            <w:tcW w:w="3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Title:</w:t>
            </w:r>
          </w:p>
        </w:tc>
      </w:tr>
      <w:tr>
        <w:trPr>
          <w:trHeight w:val="552"/>
        </w:trPr>
        <w:tc>
          <w:tcPr>
            <w:tcW w:w="64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r>
      <w:tr>
        <w:trPr>
          <w:trHeight w:val="31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Date</w:t>
            </w:r>
          </w:p>
        </w:tc>
      </w:tr>
      <w:tr>
        <w:trPr>
          <w:trHeight w:val="120"/>
        </w:trPr>
        <w:tc>
          <w:tcPr>
            <w:tcW w:w="64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-306070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-306070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 10.112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SEVERANCE AGREEMENT</w:t>
        </w:r>
      </w:hyperlink>
    </w:p>
    <w:p>
      <w:pPr>
        <w:sectPr>
          <w:pgSz w:w="11900" w:h="16838" w:orient="portrait"/>
          <w:cols w:equalWidth="0" w:num="1">
            <w:col w:w="11420"/>
          </w:cols>
          <w:pgMar w:left="240" w:top="806" w:right="239" w:bottom="1440" w:gutter="0" w:footer="0" w:header="0"/>
        </w:sectPr>
      </w:pPr>
    </w:p>
    <w:bookmarkStart w:id="42" w:name="page43"/>
    <w:bookmarkEnd w:id="42"/>
    <w:p>
      <w:pPr>
        <w:spacing w:after="0"/>
        <w:rPr>
          <w:rFonts w:ascii="Arial" w:cs="Arial" w:eastAsia="Arial" w:hAnsi="Arial"/>
          <w:sz w:val="22"/>
          <w:szCs w:val="22"/>
          <w:color w:val="0000EE"/>
        </w:rPr>
      </w:pPr>
      <w:hyperlink w:anchor="page4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00" w:type="dxa"/>
            <w:vAlign w:val="bottom"/>
          </w:tcPr>
          <w:p>
            <w:pPr>
              <w:spacing w:after="0"/>
              <w:rPr>
                <w:sz w:val="19"/>
                <w:szCs w:val="19"/>
                <w:color w:val="auto"/>
              </w:rPr>
            </w:pPr>
          </w:p>
        </w:tc>
        <w:tc>
          <w:tcPr>
            <w:tcW w:w="5500" w:type="dxa"/>
            <w:vAlign w:val="bottom"/>
          </w:tcPr>
          <w:p>
            <w:pPr>
              <w:ind w:left="2560"/>
              <w:spacing w:after="0"/>
              <w:rPr>
                <w:sz w:val="20"/>
                <w:szCs w:val="20"/>
                <w:color w:val="auto"/>
              </w:rPr>
            </w:pPr>
            <w:r>
              <w:rPr>
                <w:rFonts w:ascii="Arial" w:cs="Arial" w:eastAsia="Arial" w:hAnsi="Arial"/>
                <w:sz w:val="18"/>
                <w:szCs w:val="18"/>
                <w:b w:val="1"/>
                <w:bCs w:val="1"/>
                <w:color w:val="auto"/>
              </w:rPr>
              <w:t>MICRON TECHNOLOGY, INC.</w:t>
            </w: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5500" w:type="dxa"/>
            <w:vAlign w:val="bottom"/>
          </w:tcPr>
          <w:p>
            <w:pPr>
              <w:ind w:left="2220"/>
              <w:spacing w:after="0"/>
              <w:rPr>
                <w:sz w:val="20"/>
                <w:szCs w:val="20"/>
                <w:color w:val="auto"/>
              </w:rPr>
            </w:pPr>
            <w:r>
              <w:rPr>
                <w:rFonts w:ascii="Arial" w:cs="Arial" w:eastAsia="Arial" w:hAnsi="Arial"/>
                <w:sz w:val="18"/>
                <w:szCs w:val="18"/>
                <w:b w:val="1"/>
                <w:bCs w:val="1"/>
                <w:color w:val="auto"/>
              </w:rPr>
              <w:t>SUBSIDIARIES OF THE REGISTRANT</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State (or jurisdiction)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0" w:type="dxa"/>
            <w:vAlign w:val="bottom"/>
            <w:gridSpan w:val="2"/>
          </w:tcPr>
          <w:p>
            <w:pPr>
              <w:ind w:left="190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in which Organized</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90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0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90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Micron Europe Limited</w:t>
            </w:r>
          </w:p>
        </w:tc>
        <w:tc>
          <w:tcPr>
            <w:tcW w:w="2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00" w:type="dxa"/>
            <w:vAlign w:val="bottom"/>
          </w:tcPr>
          <w:p>
            <w:pPr>
              <w:spacing w:after="0"/>
              <w:rPr>
                <w:sz w:val="19"/>
                <w:szCs w:val="19"/>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Also does business as Crucial Technology Europe</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Micron Japan, Ltd.</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Japan</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Asia Pte. Ltd.</w:t>
            </w:r>
          </w:p>
        </w:tc>
        <w:tc>
          <w:tcPr>
            <w:tcW w:w="2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Singapore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00" w:type="dxa"/>
            <w:vAlign w:val="bottom"/>
          </w:tcPr>
          <w:p>
            <w:pPr>
              <w:spacing w:after="0"/>
              <w:rPr>
                <w:sz w:val="19"/>
                <w:szCs w:val="19"/>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Also does business as Crucial Technology Asia</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Micron Semiconductor (Deutschland) GmbH</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Germany</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France, SAS</w:t>
            </w:r>
          </w:p>
        </w:tc>
        <w:tc>
          <w:tcPr>
            <w:tcW w:w="2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Micron Semiconductor India, Inc.</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Idaho</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Korea Co., Ltd.</w:t>
            </w:r>
          </w:p>
        </w:tc>
        <w:tc>
          <w:tcPr>
            <w:tcW w:w="2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South Korea</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Micron Semiconductor Products, Inc.</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Idaho</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Also does business as Crucial Technology</w:t>
            </w: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(Xiamen) Co., Ltd.</w:t>
            </w:r>
          </w:p>
        </w:tc>
        <w:tc>
          <w:tcPr>
            <w:tcW w:w="2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China</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Micron Technology Asia Pacific, Inc.</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Idaho</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Italia S.r.l.</w:t>
            </w:r>
          </w:p>
        </w:tc>
        <w:tc>
          <w:tcPr>
            <w:tcW w:w="2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Italy</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Micron Technology Puerto Rico, Inc.</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Puerto Rico</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Services, Inc.</w:t>
            </w:r>
          </w:p>
        </w:tc>
        <w:tc>
          <w:tcPr>
            <w:tcW w:w="2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Idaho</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Micron Technology Texas, LLC</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Idaho</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900" w:type="dxa"/>
            <w:vAlign w:val="bottom"/>
            <w:tcBorders>
              <w:bottom w:val="single" w:sz="8" w:color="808080"/>
            </w:tcBorders>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-2501265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-2501265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-2501265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-2501265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MICRON TECHNOLOGY, INC. SUBSIDIARIES OF THE REGISTRANT</w:t>
        </w:r>
      </w:hyperlink>
    </w:p>
    <w:p>
      <w:pPr>
        <w:sectPr>
          <w:pgSz w:w="11900" w:h="16838" w:orient="portrait"/>
          <w:cols w:equalWidth="0" w:num="1">
            <w:col w:w="11420"/>
          </w:cols>
          <w:pgMar w:left="240" w:top="361" w:right="239" w:bottom="1440" w:gutter="0" w:footer="0" w:header="0"/>
        </w:sectPr>
      </w:pPr>
    </w:p>
    <w:bookmarkStart w:id="43" w:name="page44"/>
    <w:bookmarkEnd w:id="43"/>
    <w:p>
      <w:pPr>
        <w:spacing w:after="0"/>
        <w:rPr>
          <w:rFonts w:ascii="Arial" w:cs="Arial" w:eastAsia="Arial" w:hAnsi="Arial"/>
          <w:sz w:val="22"/>
          <w:szCs w:val="22"/>
          <w:color w:val="0000EE"/>
        </w:rPr>
      </w:pPr>
      <w:hyperlink w:anchor="page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 on Forms S-3 as amended (File Nos. 333-33050, 333-104894) and Forms S-8 (File Nos. 33-3686, 33-16832, 33-27078, 33-38665, 33-38926, 33-65050, 33-52653, 33-57887, 333-07283, 333-17073, 333-50323, 333-65449, 333-71249, 333-82549, 333-99271, 333-102545, 333-103341) of Micron Technology, Inc. and subsidiaries of our report dated September 24, 2003 relating to the consolidated financial statements and financial statement schedule, which appear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CONSENT OF INDEPENDENT ACCOUNTANTS</w:t>
        </w:r>
      </w:hyperlink>
    </w:p>
    <w:p>
      <w:pPr>
        <w:sectPr>
          <w:pgSz w:w="11900" w:h="16838" w:orient="portrait"/>
          <w:cols w:equalWidth="0" w:num="1">
            <w:col w:w="11380"/>
          </w:cols>
          <w:pgMar w:left="240" w:top="361" w:right="279" w:bottom="1440" w:gutter="0" w:footer="0" w:header="0"/>
        </w:sectPr>
      </w:pPr>
    </w:p>
    <w:bookmarkStart w:id="44" w:name="page45"/>
    <w:bookmarkEnd w:id="44"/>
    <w:p>
      <w:pPr>
        <w:spacing w:after="0"/>
        <w:rPr>
          <w:rFonts w:ascii="Arial" w:cs="Arial" w:eastAsia="Arial" w:hAnsi="Arial"/>
          <w:sz w:val="22"/>
          <w:szCs w:val="22"/>
          <w:color w:val="0000EE"/>
        </w:rPr>
      </w:pPr>
      <w:hyperlink w:anchor="page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10-K of Micron Technology,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05735" cy="215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70573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Steven R. Appleton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Chief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CERTIFICATION</w:t>
        </w:r>
      </w:hyperlink>
    </w:p>
    <w:p>
      <w:pPr>
        <w:sectPr>
          <w:pgSz w:w="11900" w:h="16838" w:orient="portrait"/>
          <w:cols w:equalWidth="0" w:num="1">
            <w:col w:w="11400"/>
          </w:cols>
          <w:pgMar w:left="240" w:top="361" w:right="259" w:bottom="1440" w:gutter="0" w:footer="0" w:header="0"/>
        </w:sectPr>
      </w:pPr>
    </w:p>
    <w:bookmarkStart w:id="45" w:name="page46"/>
    <w:bookmarkEnd w:id="45"/>
    <w:p>
      <w:pPr>
        <w:spacing w:after="0"/>
        <w:rPr>
          <w:rFonts w:ascii="Arial" w:cs="Arial" w:eastAsia="Arial" w:hAnsi="Arial"/>
          <w:sz w:val="22"/>
          <w:szCs w:val="22"/>
          <w:color w:val="0000EE"/>
        </w:rPr>
      </w:pPr>
      <w:hyperlink w:anchor="page4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10-K of Micron Technology,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05735" cy="215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70573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 G. Stover,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CERTIFICATION</w:t>
        </w:r>
      </w:hyperlink>
    </w:p>
    <w:p>
      <w:pPr>
        <w:sectPr>
          <w:pgSz w:w="11900" w:h="16838" w:orient="portrait"/>
          <w:cols w:equalWidth="0" w:num="1">
            <w:col w:w="11400"/>
          </w:cols>
          <w:pgMar w:left="240" w:top="361" w:right="259" w:bottom="1440" w:gutter="0" w:footer="0" w:header="0"/>
        </w:sectPr>
      </w:pPr>
    </w:p>
    <w:bookmarkStart w:id="46" w:name="page47"/>
    <w:bookmarkEnd w:id="46"/>
    <w:p>
      <w:pPr>
        <w:spacing w:after="0"/>
        <w:rPr>
          <w:rFonts w:ascii="Arial" w:cs="Arial" w:eastAsia="Arial" w:hAnsi="Arial"/>
          <w:sz w:val="22"/>
          <w:szCs w:val="22"/>
          <w:color w:val="0000EE"/>
        </w:rPr>
      </w:pPr>
      <w:hyperlink w:anchor="page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 Steven R. Appleton, certify, pursuant to 18 U.S.C. Section 1350, as adopted pursuant to Section 906 of the Sarbanes-Oxley Act of 2002, that the Annual Report of Micron Technology, Inc. on Form 10-K for the fiscal year ended August 28, 2003, fully complies with the requirements of Section 13(a) or 15(d) of the Securities Exchange Act of 1934 and that information contained in such Annual Report on Form 10-K fairly presents, in all material respects, the financial condition and results of operations of Micron Technology, Inc.</w:t>
      </w:r>
    </w:p>
    <w:p>
      <w:pPr>
        <w:spacing w:after="0" w:line="200" w:lineRule="exact"/>
        <w:rPr>
          <w:sz w:val="20"/>
          <w:szCs w:val="20"/>
          <w:color w:val="auto"/>
        </w:rPr>
      </w:pPr>
    </w:p>
    <w:p>
      <w:pPr>
        <w:spacing w:after="0" w:line="213" w:lineRule="exact"/>
        <w:rPr>
          <w:sz w:val="20"/>
          <w:szCs w:val="20"/>
          <w:color w:val="auto"/>
        </w:rPr>
      </w:pPr>
    </w:p>
    <w:p>
      <w:pPr>
        <w:spacing w:after="0"/>
        <w:tabs>
          <w:tab w:leader="none" w:pos="3760" w:val="left"/>
          <w:tab w:leader="none" w:pos="4660" w:val="left"/>
        </w:tabs>
        <w:rPr>
          <w:sz w:val="20"/>
          <w:szCs w:val="20"/>
          <w:color w:val="auto"/>
        </w:rPr>
      </w:pPr>
      <w:r>
        <w:rPr>
          <w:rFonts w:ascii="Arial" w:cs="Arial" w:eastAsia="Arial" w:hAnsi="Arial"/>
          <w:sz w:val="18"/>
          <w:szCs w:val="18"/>
          <w:color w:val="auto"/>
        </w:rPr>
        <w:t>Date: October 13,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77470</wp:posOffset>
            </wp:positionV>
            <wp:extent cx="4283710"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283710" cy="21590"/>
                    </a:xfrm>
                    <a:prstGeom prst="rect">
                      <a:avLst/>
                    </a:prstGeom>
                    <a:noFill/>
                  </pic:spPr>
                </pic:pic>
              </a:graphicData>
            </a:graphic>
          </wp:anchor>
        </w:drawing>
      </w:r>
    </w:p>
    <w:p>
      <w:pPr>
        <w:spacing w:after="0" w:line="23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Steven R. Appleton</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Chairman of the Board,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 W. G. Stover, Jr., certify, pursuant to 18 U.S.C. Section 1350, as adopted pursuant to Section 906 of the Sarbanes-Oxley Act of 2002, that the Annual Report of Micron Technology, Inc. on Form 10-K for the fiscal year ended August 28, 2003, fully complies with the requirements of Section 13(a) or 15(d) of the Securities Exchange Act of 1934 and that information contained in such Annual Report on Form 10-K fairly presents, in all material respects, the financial condition and results of operations of Micron Technology,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760" w:val="left"/>
          <w:tab w:leader="none" w:pos="4660" w:val="left"/>
        </w:tabs>
        <w:rPr>
          <w:sz w:val="20"/>
          <w:szCs w:val="20"/>
          <w:color w:val="auto"/>
        </w:rPr>
      </w:pPr>
      <w:r>
        <w:rPr>
          <w:rFonts w:ascii="Arial" w:cs="Arial" w:eastAsia="Arial" w:hAnsi="Arial"/>
          <w:sz w:val="18"/>
          <w:szCs w:val="18"/>
          <w:color w:val="auto"/>
        </w:rPr>
        <w:t>Date: October 13,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77470</wp:posOffset>
            </wp:positionV>
            <wp:extent cx="428371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283710" cy="21590"/>
                    </a:xfrm>
                    <a:prstGeom prst="rect">
                      <a:avLst/>
                    </a:prstGeom>
                    <a:noFill/>
                  </pic:spPr>
                </pic:pic>
              </a:graphicData>
            </a:graphic>
          </wp:anchor>
        </w:drawing>
      </w:r>
    </w:p>
    <w:p>
      <w:pPr>
        <w:spacing w:after="0" w:line="23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W. G. Stover, Jr.</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upperLetter"/>
      <w:start w:val="1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8"/>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3"/>
    </w:lvl>
  </w:abstractNum>
  <w:abstractNum w:abstractNumId="14">
    <w:nsid w:val="6B68079A"/>
    <w:multiLevelType w:val="hybridMultilevel"/>
    <w:lvl w:ilvl="0">
      <w:lvlJc w:val="left"/>
      <w:lvlText w:val="%1."/>
      <w:numFmt w:val="decimal"/>
      <w:start w:val="4"/>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2019-12-13T13:18:43Z</dcterms:created>
  <dcterms:modified xsi:type="dcterms:W3CDTF">2019-12-13T13:18:43Z</dcterms:modified>
</cp:coreProperties>
</file>