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MEHROTRA SANJAY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838"/>
        <w:gridCol w:w="1158"/>
        <w:gridCol w:w="993"/>
        <w:gridCol w:w="95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9,527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118.61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370,148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675,000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GRAT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common stock shares to satisfy tax withholding obligations in connection with the vesting of previously granted awards.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Grantor retained annuity trusts are for the benefit of the Reporting Person and his family.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 Lan Bui,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2654" TargetMode="External"/><Relationship Id="rId5" Type="http://schemas.openxmlformats.org/officeDocument/2006/relationships/hyperlink" Target="http://www.sec.gov/cgi-bin/browse-edgar?action=getcompany&amp;CIK=0000723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3268</Characters>
  <CharactersWithSpaces>3806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