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00"/>
          </w:cols>
          <w:pgMar w:left="460" w:top="219" w:right="4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5" w:right="4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360" w:space="455"/>
            <w:col w:w="3245"/>
          </w:cols>
          <w:pgMar w:left="460" w:top="219" w:right="4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40" w:type="dxa"/>
            <w:vAlign w:val="bottom"/>
            <w:gridSpan w:val="5"/>
            <w:vMerge w:val="continue"/>
          </w:tcPr>
          <w:p>
            <w:pPr>
              <w:spacing w:after="0"/>
              <w:rPr>
                <w:sz w:val="10"/>
                <w:szCs w:val="10"/>
                <w:color w:val="auto"/>
              </w:rPr>
            </w:pPr>
          </w:p>
        </w:tc>
        <w:tc>
          <w:tcPr>
            <w:tcW w:w="36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ID</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83716</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300" w:type="dxa"/>
            <w:vAlign w:val="bottom"/>
            <w:vMerge w:val="restart"/>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2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8"/>
          </w:tcPr>
          <w:p>
            <w:pPr>
              <w:jc w:val="right"/>
              <w:ind w:righ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2"/>
          </w:tcPr>
          <w:p>
            <w:pPr>
              <w:ind w:left="10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6"/>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jc w:val="center"/>
              <w:ind w:left="87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105</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942.14</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424,398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175</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943.09</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424,223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349</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944.17</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423,874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945.15</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423,692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946.76</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423,342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947.56</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422,942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1,026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948.53</w:t>
            </w:r>
            <w:r>
              <w:rPr>
                <w:rFonts w:ascii="Times New Roman" w:cs="Times New Roman" w:eastAsia="Times New Roman" w:hAnsi="Times New Roman"/>
                <w:sz w:val="22"/>
                <w:szCs w:val="22"/>
                <w:color w:val="008000"/>
                <w:w w:val="95"/>
                <w:vertAlign w:val="superscript"/>
              </w:rPr>
              <w:t>(8)</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421,916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679</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949.78</w:t>
            </w:r>
            <w:r>
              <w:rPr>
                <w:rFonts w:ascii="Times New Roman" w:cs="Times New Roman" w:eastAsia="Times New Roman" w:hAnsi="Times New Roman"/>
                <w:sz w:val="22"/>
                <w:szCs w:val="22"/>
                <w:color w:val="008000"/>
                <w:w w:val="95"/>
                <w:vertAlign w:val="superscript"/>
              </w:rPr>
              <w:t>(9)</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421,237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789</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951.2</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420,448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887</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952.16</w:t>
            </w:r>
            <w:r>
              <w:rPr>
                <w:rFonts w:ascii="Times New Roman" w:cs="Times New Roman" w:eastAsia="Times New Roman" w:hAnsi="Times New Roman"/>
                <w:sz w:val="22"/>
                <w:szCs w:val="22"/>
                <w:color w:val="008000"/>
                <w:w w:val="94"/>
                <w:vertAlign w:val="superscript"/>
              </w:rPr>
              <w:t>(11)</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419,561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2,268</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953.23</w:t>
            </w:r>
            <w:r>
              <w:rPr>
                <w:rFonts w:ascii="Times New Roman" w:cs="Times New Roman" w:eastAsia="Times New Roman" w:hAnsi="Times New Roman"/>
                <w:sz w:val="22"/>
                <w:szCs w:val="22"/>
                <w:color w:val="008000"/>
                <w:w w:val="94"/>
                <w:vertAlign w:val="superscript"/>
              </w:rPr>
              <w:t>(12)</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417,293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1,196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954.28</w:t>
            </w:r>
            <w:r>
              <w:rPr>
                <w:rFonts w:ascii="Times New Roman" w:cs="Times New Roman" w:eastAsia="Times New Roman" w:hAnsi="Times New Roman"/>
                <w:sz w:val="22"/>
                <w:szCs w:val="22"/>
                <w:color w:val="008000"/>
                <w:w w:val="94"/>
                <w:vertAlign w:val="superscript"/>
              </w:rPr>
              <w:t>(13)</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416,097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2,382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955.24</w:t>
            </w:r>
            <w:r>
              <w:rPr>
                <w:rFonts w:ascii="Times New Roman" w:cs="Times New Roman" w:eastAsia="Times New Roman" w:hAnsi="Times New Roman"/>
                <w:sz w:val="22"/>
                <w:szCs w:val="22"/>
                <w:color w:val="008000"/>
                <w:w w:val="94"/>
                <w:vertAlign w:val="superscript"/>
              </w:rPr>
              <w:t>(14)</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413,715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2,099</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956.12</w:t>
            </w:r>
            <w:r>
              <w:rPr>
                <w:rFonts w:ascii="Times New Roman" w:cs="Times New Roman" w:eastAsia="Times New Roman" w:hAnsi="Times New Roman"/>
                <w:sz w:val="22"/>
                <w:szCs w:val="22"/>
                <w:color w:val="008000"/>
                <w:w w:val="94"/>
                <w:vertAlign w:val="superscript"/>
              </w:rPr>
              <w:t>(15)</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411,616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1,627</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957.12</w:t>
            </w:r>
            <w:r>
              <w:rPr>
                <w:rFonts w:ascii="Times New Roman" w:cs="Times New Roman" w:eastAsia="Times New Roman" w:hAnsi="Times New Roman"/>
                <w:sz w:val="22"/>
                <w:szCs w:val="22"/>
                <w:color w:val="008000"/>
                <w:w w:val="94"/>
                <w:vertAlign w:val="superscript"/>
              </w:rPr>
              <w:t>(16)</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409,989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1,529</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958.23</w:t>
            </w:r>
            <w:r>
              <w:rPr>
                <w:rFonts w:ascii="Times New Roman" w:cs="Times New Roman" w:eastAsia="Times New Roman" w:hAnsi="Times New Roman"/>
                <w:sz w:val="22"/>
                <w:szCs w:val="22"/>
                <w:color w:val="008000"/>
                <w:w w:val="94"/>
                <w:vertAlign w:val="superscript"/>
              </w:rPr>
              <w:t>(17)</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408,460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1,843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959.22</w:t>
            </w:r>
            <w:r>
              <w:rPr>
                <w:rFonts w:ascii="Times New Roman" w:cs="Times New Roman" w:eastAsia="Times New Roman" w:hAnsi="Times New Roman"/>
                <w:sz w:val="22"/>
                <w:szCs w:val="22"/>
                <w:color w:val="008000"/>
                <w:w w:val="94"/>
                <w:vertAlign w:val="superscript"/>
              </w:rPr>
              <w:t>(18)</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406,617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960.55</w:t>
            </w:r>
            <w:r>
              <w:rPr>
                <w:rFonts w:ascii="Times New Roman" w:cs="Times New Roman" w:eastAsia="Times New Roman" w:hAnsi="Times New Roman"/>
                <w:sz w:val="22"/>
                <w:szCs w:val="22"/>
                <w:color w:val="008000"/>
                <w:w w:val="94"/>
                <w:vertAlign w:val="superscript"/>
              </w:rPr>
              <w:t>(19)</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405,931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1,975</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961.27</w:t>
            </w:r>
            <w:r>
              <w:rPr>
                <w:rFonts w:ascii="Times New Roman" w:cs="Times New Roman" w:eastAsia="Times New Roman" w:hAnsi="Times New Roman"/>
                <w:sz w:val="22"/>
                <w:szCs w:val="22"/>
                <w:color w:val="008000"/>
                <w:w w:val="94"/>
                <w:vertAlign w:val="superscript"/>
              </w:rPr>
              <w:t>(20)</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403,956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3,113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962.23</w:t>
            </w:r>
            <w:r>
              <w:rPr>
                <w:rFonts w:ascii="Times New Roman" w:cs="Times New Roman" w:eastAsia="Times New Roman" w:hAnsi="Times New Roman"/>
                <w:sz w:val="22"/>
                <w:szCs w:val="22"/>
                <w:color w:val="008000"/>
                <w:w w:val="94"/>
                <w:vertAlign w:val="superscript"/>
              </w:rPr>
              <w:t>(21)</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400,843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319</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963.1</w:t>
            </w:r>
            <w:r>
              <w:rPr>
                <w:rFonts w:ascii="Times New Roman" w:cs="Times New Roman" w:eastAsia="Times New Roman" w:hAnsi="Times New Roman"/>
                <w:sz w:val="22"/>
                <w:szCs w:val="22"/>
                <w:color w:val="008000"/>
                <w:w w:val="94"/>
                <w:vertAlign w:val="superscript"/>
              </w:rPr>
              <w:t>(22)</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400,524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884</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964.74</w:t>
            </w:r>
            <w:r>
              <w:rPr>
                <w:rFonts w:ascii="Times New Roman" w:cs="Times New Roman" w:eastAsia="Times New Roman" w:hAnsi="Times New Roman"/>
                <w:sz w:val="22"/>
                <w:szCs w:val="22"/>
                <w:color w:val="008000"/>
                <w:w w:val="94"/>
                <w:vertAlign w:val="superscript"/>
              </w:rPr>
              <w:t>(23)</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399,640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2,765</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965.63</w:t>
            </w:r>
            <w:r>
              <w:rPr>
                <w:rFonts w:ascii="Times New Roman" w:cs="Times New Roman" w:eastAsia="Times New Roman" w:hAnsi="Times New Roman"/>
                <w:sz w:val="22"/>
                <w:szCs w:val="22"/>
                <w:color w:val="008000"/>
                <w:w w:val="94"/>
                <w:vertAlign w:val="superscript"/>
              </w:rPr>
              <w:t>(24)</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396,875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2,267</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966.65</w:t>
            </w:r>
            <w:r>
              <w:rPr>
                <w:rFonts w:ascii="Times New Roman" w:cs="Times New Roman" w:eastAsia="Times New Roman" w:hAnsi="Times New Roman"/>
                <w:sz w:val="22"/>
                <w:szCs w:val="22"/>
                <w:color w:val="008000"/>
                <w:w w:val="94"/>
                <w:vertAlign w:val="superscript"/>
              </w:rPr>
              <w:t>(25)</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394,608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2,306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967.65</w:t>
            </w:r>
            <w:r>
              <w:rPr>
                <w:rFonts w:ascii="Times New Roman" w:cs="Times New Roman" w:eastAsia="Times New Roman" w:hAnsi="Times New Roman"/>
                <w:sz w:val="22"/>
                <w:szCs w:val="22"/>
                <w:color w:val="008000"/>
                <w:w w:val="94"/>
                <w:vertAlign w:val="superscript"/>
              </w:rPr>
              <w:t>(26)</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392,302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968.88</w:t>
            </w:r>
            <w:r>
              <w:rPr>
                <w:rFonts w:ascii="Times New Roman" w:cs="Times New Roman" w:eastAsia="Times New Roman" w:hAnsi="Times New Roman"/>
                <w:sz w:val="22"/>
                <w:szCs w:val="22"/>
                <w:color w:val="008000"/>
                <w:w w:val="94"/>
                <w:vertAlign w:val="superscript"/>
              </w:rPr>
              <w:t>(27)</w:t>
            </w:r>
          </w:p>
        </w:tc>
        <w:tc>
          <w:tcPr>
            <w:tcW w:w="1140" w:type="dxa"/>
            <w:vAlign w:val="bottom"/>
            <w:tcBorders>
              <w:bottom w:val="single" w:sz="8" w:color="2C2C2C"/>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391,502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240" w:type="dxa"/>
            <w:vAlign w:val="bottom"/>
            <w:tcBorders>
              <w:bottom w:val="single" w:sz="8" w:color="808080"/>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gridSpan w:val="2"/>
          </w:tcPr>
          <w:p>
            <w:pPr>
              <w:jc w:val="center"/>
              <w:ind w:left="876"/>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rPr>
              <w:t>626</w:t>
            </w:r>
          </w:p>
        </w:tc>
        <w:tc>
          <w:tcPr>
            <w:tcW w:w="58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808080"/>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969.78</w:t>
            </w:r>
            <w:r>
              <w:rPr>
                <w:rFonts w:ascii="Times New Roman" w:cs="Times New Roman" w:eastAsia="Times New Roman" w:hAnsi="Times New Roman"/>
                <w:sz w:val="22"/>
                <w:szCs w:val="22"/>
                <w:color w:val="008000"/>
                <w:w w:val="94"/>
                <w:vertAlign w:val="superscript"/>
              </w:rPr>
              <w:t>(28)</w:t>
            </w:r>
          </w:p>
        </w:tc>
        <w:tc>
          <w:tcPr>
            <w:tcW w:w="1140" w:type="dxa"/>
            <w:vAlign w:val="bottom"/>
            <w:tcBorders>
              <w:bottom w:val="single" w:sz="8" w:color="808080"/>
            </w:tcBorders>
          </w:tcPr>
          <w:p>
            <w:pPr>
              <w:jc w:val="right"/>
              <w:ind w:right="200"/>
              <w:spacing w:after="0"/>
              <w:rPr>
                <w:sz w:val="20"/>
                <w:szCs w:val="20"/>
                <w:color w:val="auto"/>
              </w:rPr>
            </w:pPr>
            <w:r>
              <w:rPr>
                <w:rFonts w:ascii="Times New Roman" w:cs="Times New Roman" w:eastAsia="Times New Roman" w:hAnsi="Times New Roman"/>
                <w:sz w:val="17"/>
                <w:szCs w:val="17"/>
                <w:color w:val="0000FF"/>
              </w:rPr>
              <w:t>390,876</w:t>
            </w:r>
          </w:p>
        </w:tc>
        <w:tc>
          <w:tcPr>
            <w:tcW w:w="920" w:type="dxa"/>
            <w:vAlign w:val="bottom"/>
            <w:tcBorders>
              <w:bottom w:val="single" w:sz="8" w:color="808080"/>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0" w:gutter="0" w:footer="0" w:header="0"/>
          <w:type w:val="continuous"/>
        </w:sectPr>
      </w:pPr>
    </w:p>
    <w:bookmarkStart w:id="1" w:name="page2"/>
    <w:bookmarkEnd w:id="1"/>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336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336359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1,810</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970.59</w:t>
            </w:r>
            <w:r>
              <w:rPr>
                <w:rFonts w:ascii="Times New Roman" w:cs="Times New Roman" w:eastAsia="Times New Roman" w:hAnsi="Times New Roman"/>
                <w:sz w:val="22"/>
                <w:szCs w:val="22"/>
                <w:color w:val="008000"/>
                <w:w w:val="99"/>
                <w:vertAlign w:val="superscript"/>
              </w:rPr>
              <w:t>(29)</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389,066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1,374</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971.84</w:t>
            </w:r>
            <w:r>
              <w:rPr>
                <w:rFonts w:ascii="Times New Roman" w:cs="Times New Roman" w:eastAsia="Times New Roman" w:hAnsi="Times New Roman"/>
                <w:sz w:val="22"/>
                <w:szCs w:val="22"/>
                <w:color w:val="008000"/>
                <w:w w:val="99"/>
                <w:vertAlign w:val="superscript"/>
              </w:rPr>
              <w:t>(30)</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387,692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05/29/2026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628</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972.61</w:t>
            </w:r>
            <w:r>
              <w:rPr>
                <w:rFonts w:ascii="Times New Roman" w:cs="Times New Roman" w:eastAsia="Times New Roman" w:hAnsi="Times New Roman"/>
                <w:sz w:val="22"/>
                <w:szCs w:val="22"/>
                <w:color w:val="008000"/>
                <w:w w:val="99"/>
                <w:vertAlign w:val="superscript"/>
              </w:rPr>
              <w:t>(31)</w:t>
            </w: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387,064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January 30, 2026.</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$941.47 to $942.36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$942.655 to $943.595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$943.785 to $944.395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$944.915 to $945.715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$946.12 to $946.955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$947.155 to $947.91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$948.17 to $948.97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$949.26 to $950.165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$950.40 to $951.365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$951.65 to $952.585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$952.70 to $953.675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$953.725 to $954.71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$954.74 to $955.68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$955.74 to $956.72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$956.755 to $957.70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$957.775 to $958.68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$958.795 to $959.78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$959.825 to $960.77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$960.84 to $961.79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$961.84 to $962.80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$962.835 to $963.675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$964.035 to $964.99 per share, inclusive. The Reporting Person</w:t>
      </w:r>
    </w:p>
    <w:p>
      <w:pPr>
        <w:spacing w:after="0" w:line="1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ectPr>
          <w:pgSz w:w="11900" w:h="16870" w:orient="portrait"/>
          <w:cols w:equalWidth="0" w:num="1">
            <w:col w:w="11000"/>
          </w:cols>
          <w:pgMar w:left="460" w:top="191" w:right="439" w:bottom="0" w:gutter="0" w:footer="0" w:header="0"/>
        </w:sectPr>
      </w:pPr>
    </w:p>
    <w:bookmarkStart w:id="2" w:name="page3"/>
    <w:bookmarkEnd w:id="2"/>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$965.035 to $966.02 per share, inclusive. The Reporting Person</w:t>
      </w:r>
    </w:p>
    <w:p>
      <w:pPr>
        <w:spacing w:after="0" w:line="11" w:lineRule="exact"/>
        <w:rPr>
          <w:rFonts w:ascii="Times New Roman" w:cs="Times New Roman" w:eastAsia="Times New Roman" w:hAnsi="Times New Roman"/>
          <w:sz w:val="13"/>
          <w:szCs w:val="13"/>
          <w:color w:val="008000"/>
        </w:rPr>
      </w:pPr>
    </w:p>
    <w:p>
      <w:pPr>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$966.13 to $967.07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$967.16 to $968.05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$968.25 to $969.24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$969.255 to $970.215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$970.27 to $971.255 per share, inclusive. The Reporting Person</w:t>
      </w:r>
    </w:p>
    <w:p>
      <w:pPr>
        <w:spacing w:after="0" w:line="11" w:lineRule="exact"/>
        <w:rPr>
          <w:rFonts w:ascii="Times New Roman" w:cs="Times New Roman" w:eastAsia="Times New Roman" w:hAnsi="Times New Roman"/>
          <w:sz w:val="13"/>
          <w:szCs w:val="13"/>
          <w:color w:val="008000"/>
        </w:rPr>
      </w:pPr>
    </w:p>
    <w:p>
      <w:pPr>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$971.30 to $972.14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$972.36 to $973.17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a 30 line-item limitation in Table 1, this is the first of two Forms 4 filed by the Reporting Person.</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Mai Lan Bui, Attorney-in-fact 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2026-06-02T16:37:01Z</dcterms:created>
  <dcterms:modified xsi:type="dcterms:W3CDTF">2026-06-02T16:37:01Z</dcterms:modified>
</cp:coreProperties>
</file>