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142875</wp:posOffset>
            </wp:positionV>
            <wp:extent cx="20574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38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28"/>
        </w:trPr>
        <w:tc>
          <w:tcPr>
            <w:tcW w:w="3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3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3560" w:type="dxa"/>
            <w:vAlign w:val="bottom"/>
          </w:tcPr>
          <w:p>
            <w:pPr>
              <w:spacing w:after="0"/>
              <w:rPr>
                <w:sz w:val="24"/>
                <w:szCs w:val="24"/>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380" w:type="dxa"/>
            <w:vAlign w:val="bottom"/>
          </w:tcPr>
          <w:p>
            <w:pPr>
              <w:spacing w:after="0"/>
              <w:rPr>
                <w:sz w:val="24"/>
                <w:szCs w:val="24"/>
                <w:color w:val="auto"/>
              </w:rPr>
            </w:pPr>
          </w:p>
        </w:tc>
      </w:tr>
      <w:tr>
        <w:trPr>
          <w:trHeight w:val="238"/>
        </w:trPr>
        <w:tc>
          <w:tcPr>
            <w:tcW w:w="35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380" w:type="dxa"/>
            <w:vAlign w:val="bottom"/>
            <w:tcBorders>
              <w:bottom w:val="single" w:sz="8" w:color="auto"/>
            </w:tcBorders>
          </w:tcPr>
          <w:p>
            <w:pPr>
              <w:spacing w:after="0"/>
              <w:rPr>
                <w:sz w:val="20"/>
                <w:szCs w:val="20"/>
                <w:color w:val="auto"/>
              </w:rPr>
            </w:pPr>
          </w:p>
        </w:tc>
      </w:tr>
      <w:tr>
        <w:trPr>
          <w:trHeight w:val="228"/>
        </w:trPr>
        <w:tc>
          <w:tcPr>
            <w:tcW w:w="356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38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(208) 368-4000</w:t>
            </w:r>
          </w:p>
        </w:tc>
        <w:tc>
          <w:tcPr>
            <w:tcW w:w="3380" w:type="dxa"/>
            <w:vAlign w:val="bottom"/>
            <w:tcBorders>
              <w:bottom w:val="single" w:sz="8" w:color="auto"/>
            </w:tcBorders>
          </w:tcPr>
          <w:p>
            <w:pPr>
              <w:spacing w:after="0"/>
              <w:rPr>
                <w:sz w:val="24"/>
                <w:szCs w:val="24"/>
                <w:color w:val="auto"/>
              </w:rPr>
            </w:pPr>
          </w:p>
        </w:tc>
      </w:tr>
      <w:tr>
        <w:trPr>
          <w:trHeight w:val="228"/>
        </w:trPr>
        <w:tc>
          <w:tcPr>
            <w:tcW w:w="3560" w:type="dxa"/>
            <w:vAlign w:val="bottom"/>
          </w:tcPr>
          <w:p>
            <w:pPr>
              <w:spacing w:after="0"/>
              <w:rPr>
                <w:sz w:val="19"/>
                <w:szCs w:val="19"/>
                <w:color w:val="auto"/>
              </w:rPr>
            </w:pPr>
          </w:p>
        </w:tc>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380" w:type="dxa"/>
            <w:vAlign w:val="bottom"/>
          </w:tcPr>
          <w:p>
            <w:pPr>
              <w:spacing w:after="0"/>
              <w:rPr>
                <w:sz w:val="19"/>
                <w:szCs w:val="19"/>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31, 2026, Micron Technology, Inc. (the “Company”) issued a press release announcing the pricing of its cash tender offers for any and all of its outstanding 5.300% Senior Notes due 2031 (the “2031 Notes”), 5.650% Senior Notes due 2032 (the “2032 Notes”), 5.875% Senior Notes due 2033 (the “2033A Notes”), 5.875% Senior Notes due 2033 (the “2033B Notes”), 5.800% Senior Notes due 2035 (the “2035A Notes”), and 6.050% Senior Notes due 2035 (the “2023B Notes”, and, together with the 2031 Notes, the 2032 Notes, the 2033A Notes, the 2033B Notes and the 2035A Notes, the “Notes”), in connection with the Company’s previously announced cash tender offers commenced on March 25, 2026.</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April 1, 2026, the Company issued a press release announcing the expiration of its previously announced cash tender offers to purchase any and all of the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of the press releases are attached hereto as Exhibit 99.1 and Exhibit 99.2, respectively, and incorporated herein by reference.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March 31, 2026.</w:t>
      </w:r>
    </w:p>
    <w:p>
      <w:pPr>
        <w:spacing w:after="0" w:line="23"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Press Release issued on April 1, 2026.</w:t>
      </w:r>
    </w:p>
    <w:p>
      <w:pPr>
        <w:spacing w:after="0" w:line="9"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Murphy</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Murphy</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95453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45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Announces the Pricing of the Cash Tender Offers for Any and All of Certain Outstanding Senior Notes</w:t>
      </w:r>
    </w:p>
    <w:p>
      <w:pPr>
        <w:spacing w:after="0" w:line="2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BOISE, Idaho, March 31, 2026 (GLOBE NEWSWIRE) -- Micron Technology, Inc. (Nasdaq:MU), (the "Company" or "Micron") announced today the Reference Yield and Notes Consideration (as summarized in the table below) to be paid in connection with the previously announced cash tender offers. The offers to purchase with respect to each series of notes listed in the table below (collectively, the “notes”) are being referred to herein as the “Tender Offers” and each, a “Tender Offer.”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Per $1,000</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 U.S.</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7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CUSIP/ISIN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2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100" w:type="dxa"/>
            <w:vAlign w:val="bottom"/>
            <w:gridSpan w:val="2"/>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100" w:type="dxa"/>
            <w:vAlign w:val="bottom"/>
            <w:vMerge w:val="restart"/>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Notes Validly</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0" w:type="dxa"/>
            <w:vAlign w:val="bottom"/>
          </w:tcPr>
          <w:p>
            <w:pPr>
              <w:spacing w:after="0"/>
              <w:rPr>
                <w:sz w:val="1"/>
                <w:szCs w:val="1"/>
                <w:color w:val="auto"/>
              </w:rPr>
            </w:pPr>
          </w:p>
        </w:tc>
      </w:tr>
      <w:tr>
        <w:trPr>
          <w:trHeight w:val="119"/>
        </w:trPr>
        <w:tc>
          <w:tcPr>
            <w:tcW w:w="136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5.300% Senior Notes</w:t>
            </w: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595112CD3 /</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1,000,000,000</w:t>
            </w:r>
          </w:p>
        </w:tc>
        <w:tc>
          <w:tcPr>
            <w:tcW w:w="170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0.875% UST due November</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FIT 6</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3.944%</w:t>
            </w:r>
          </w:p>
        </w:tc>
        <w:tc>
          <w:tcPr>
            <w:tcW w:w="2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November 15, 2030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1,048.11</w:t>
            </w:r>
          </w:p>
        </w:tc>
        <w:tc>
          <w:tcPr>
            <w:tcW w:w="0" w:type="dxa"/>
            <w:vAlign w:val="bottom"/>
          </w:tcPr>
          <w:p>
            <w:pPr>
              <w:spacing w:after="0"/>
              <w:rPr>
                <w:sz w:val="1"/>
                <w:szCs w:val="1"/>
                <w:color w:val="auto"/>
              </w:rPr>
            </w:pPr>
          </w:p>
        </w:tc>
      </w:tr>
      <w:tr>
        <w:trPr>
          <w:trHeight w:val="171"/>
        </w:trPr>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due 2031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US595112CD31</w:t>
            </w:r>
          </w:p>
        </w:tc>
        <w:tc>
          <w:tcPr>
            <w:tcW w:w="2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15, 2030</w:t>
            </w: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5.650% Senior Notes</w:t>
            </w: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595112CG6 /</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500,000,000</w:t>
            </w:r>
          </w:p>
        </w:tc>
        <w:tc>
          <w:tcPr>
            <w:tcW w:w="18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3.500% UST due February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FIT 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3.939%</w:t>
            </w:r>
          </w:p>
        </w:tc>
        <w:tc>
          <w:tcPr>
            <w:tcW w:w="220" w:type="dxa"/>
            <w:vAlign w:val="bottom"/>
          </w:tcPr>
          <w:p>
            <w:pPr>
              <w:spacing w:after="0"/>
              <w:rPr>
                <w:sz w:val="10"/>
                <w:szCs w:val="10"/>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September 1, 2032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1,061.22</w:t>
            </w:r>
          </w:p>
        </w:tc>
        <w:tc>
          <w:tcPr>
            <w:tcW w:w="0" w:type="dxa"/>
            <w:vAlign w:val="bottom"/>
          </w:tcPr>
          <w:p>
            <w:pPr>
              <w:spacing w:after="0"/>
              <w:rPr>
                <w:sz w:val="1"/>
                <w:szCs w:val="1"/>
                <w:color w:val="auto"/>
              </w:rPr>
            </w:pPr>
          </w:p>
        </w:tc>
      </w:tr>
      <w:tr>
        <w:trPr>
          <w:trHeight w:val="171"/>
        </w:trPr>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due 2032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US595112CG61</w:t>
            </w:r>
          </w:p>
        </w:tc>
        <w:tc>
          <w:tcPr>
            <w:tcW w:w="2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28, 2031</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gridSpan w:val="2"/>
            <w:shd w:val="clear" w:color="auto" w:fill="CCEEFF"/>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5.875% Senior Notes</w:t>
            </w:r>
          </w:p>
        </w:tc>
        <w:tc>
          <w:tcPr>
            <w:tcW w:w="14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595112BZ5 /</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750,000,000</w:t>
            </w:r>
          </w:p>
        </w:tc>
        <w:tc>
          <w:tcPr>
            <w:tcW w:w="1820" w:type="dxa"/>
            <w:vAlign w:val="bottom"/>
            <w:gridSpan w:val="2"/>
            <w:shd w:val="clear" w:color="auto" w:fill="CCEEFF"/>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4.125% UST due February</w:t>
            </w:r>
          </w:p>
        </w:tc>
        <w:tc>
          <w:tcPr>
            <w:tcW w:w="8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FIT 1</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4.319%</w:t>
            </w:r>
          </w:p>
        </w:tc>
        <w:tc>
          <w:tcPr>
            <w:tcW w:w="2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November 9, 2032</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1,070.75</w:t>
            </w:r>
          </w:p>
        </w:tc>
        <w:tc>
          <w:tcPr>
            <w:tcW w:w="0" w:type="dxa"/>
            <w:vAlign w:val="bottom"/>
          </w:tcPr>
          <w:p>
            <w:pPr>
              <w:spacing w:after="0"/>
              <w:rPr>
                <w:sz w:val="1"/>
                <w:szCs w:val="1"/>
                <w:color w:val="auto"/>
              </w:rPr>
            </w:pPr>
          </w:p>
        </w:tc>
      </w:tr>
      <w:tr>
        <w:trPr>
          <w:trHeight w:val="171"/>
        </w:trPr>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due 2033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US595112BZ51</w:t>
            </w:r>
          </w:p>
        </w:tc>
        <w:tc>
          <w:tcPr>
            <w:tcW w:w="2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15, 2036</w:t>
            </w: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5.875% Senior Notes</w:t>
            </w: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595112CB7 /</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900,000,000</w:t>
            </w:r>
          </w:p>
        </w:tc>
        <w:tc>
          <w:tcPr>
            <w:tcW w:w="18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4.125% UST due February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FIT 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4.319%</w:t>
            </w:r>
          </w:p>
        </w:tc>
        <w:tc>
          <w:tcPr>
            <w:tcW w:w="220" w:type="dxa"/>
            <w:vAlign w:val="bottom"/>
          </w:tcPr>
          <w:p>
            <w:pPr>
              <w:spacing w:after="0"/>
              <w:rPr>
                <w:sz w:val="10"/>
                <w:szCs w:val="10"/>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June 15, 2033</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1,069.91</w:t>
            </w:r>
          </w:p>
        </w:tc>
        <w:tc>
          <w:tcPr>
            <w:tcW w:w="0" w:type="dxa"/>
            <w:vAlign w:val="bottom"/>
          </w:tcPr>
          <w:p>
            <w:pPr>
              <w:spacing w:after="0"/>
              <w:rPr>
                <w:sz w:val="1"/>
                <w:szCs w:val="1"/>
                <w:color w:val="auto"/>
              </w:rPr>
            </w:pPr>
          </w:p>
        </w:tc>
      </w:tr>
      <w:tr>
        <w:trPr>
          <w:trHeight w:val="171"/>
        </w:trPr>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due 2033</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US595112CB74</w:t>
            </w:r>
          </w:p>
        </w:tc>
        <w:tc>
          <w:tcPr>
            <w:tcW w:w="2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15, 2036</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gridSpan w:val="2"/>
            <w:shd w:val="clear" w:color="auto" w:fill="CCEEFF"/>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5.800% Senior Notes</w:t>
            </w:r>
          </w:p>
        </w:tc>
        <w:tc>
          <w:tcPr>
            <w:tcW w:w="14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595112CE1 /</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1,000,000,000</w:t>
            </w:r>
          </w:p>
        </w:tc>
        <w:tc>
          <w:tcPr>
            <w:tcW w:w="1820" w:type="dxa"/>
            <w:vAlign w:val="bottom"/>
            <w:gridSpan w:val="2"/>
            <w:shd w:val="clear" w:color="auto" w:fill="CCEEFF"/>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4.125% UST due February</w:t>
            </w:r>
          </w:p>
        </w:tc>
        <w:tc>
          <w:tcPr>
            <w:tcW w:w="8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FIT 1</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4.319%</w:t>
            </w:r>
          </w:p>
        </w:tc>
        <w:tc>
          <w:tcPr>
            <w:tcW w:w="2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15, 2034</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1,064.35</w:t>
            </w:r>
          </w:p>
        </w:tc>
        <w:tc>
          <w:tcPr>
            <w:tcW w:w="0" w:type="dxa"/>
            <w:vAlign w:val="bottom"/>
          </w:tcPr>
          <w:p>
            <w:pPr>
              <w:spacing w:after="0"/>
              <w:rPr>
                <w:sz w:val="1"/>
                <w:szCs w:val="1"/>
                <w:color w:val="auto"/>
              </w:rPr>
            </w:pPr>
          </w:p>
        </w:tc>
      </w:tr>
      <w:tr>
        <w:trPr>
          <w:trHeight w:val="171"/>
        </w:trPr>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due 2035</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US595112CE14</w:t>
            </w:r>
          </w:p>
        </w:tc>
        <w:tc>
          <w:tcPr>
            <w:tcW w:w="2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15, 2036</w:t>
            </w: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8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6.050% Senior Notes</w:t>
            </w:r>
          </w:p>
        </w:tc>
        <w:tc>
          <w:tcPr>
            <w:tcW w:w="14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595112CH4 /</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1,250,000,000</w:t>
            </w:r>
          </w:p>
        </w:tc>
        <w:tc>
          <w:tcPr>
            <w:tcW w:w="18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4.125% UST due February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FIT 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4.319%</w:t>
            </w:r>
          </w:p>
        </w:tc>
        <w:tc>
          <w:tcPr>
            <w:tcW w:w="220" w:type="dxa"/>
            <w:vAlign w:val="bottom"/>
          </w:tcPr>
          <w:p>
            <w:pPr>
              <w:spacing w:after="0"/>
              <w:rPr>
                <w:sz w:val="10"/>
                <w:szCs w:val="10"/>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August 1, 2035</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1,079.93</w:t>
            </w:r>
          </w:p>
        </w:tc>
        <w:tc>
          <w:tcPr>
            <w:tcW w:w="0" w:type="dxa"/>
            <w:vAlign w:val="bottom"/>
          </w:tcPr>
          <w:p>
            <w:pPr>
              <w:spacing w:after="0"/>
              <w:rPr>
                <w:sz w:val="1"/>
                <w:szCs w:val="1"/>
                <w:color w:val="auto"/>
              </w:rPr>
            </w:pPr>
          </w:p>
        </w:tc>
      </w:tr>
      <w:tr>
        <w:trPr>
          <w:trHeight w:val="188"/>
        </w:trPr>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due 2035</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US595112CH45</w:t>
            </w:r>
          </w:p>
        </w:tc>
        <w:tc>
          <w:tcPr>
            <w:tcW w:w="2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15, 2036</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Tender Offers are being made pursuant to an offer to purchase dated as of March 25, 2026, and notice of guaranteed delivery. The Tender Offers will expire at 5:00 p.m., New York City time, on March 31, 2026, unless extended or earlier terminated as described in the offer to purchase (such time and date, as they may be extended, the “Expiration Time”).</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Notes Consideration for each $1,000 principal amount of each series of the notes was determined in the manner described in the offer to purchase by reference to the fixed spread set forth in the table above plus the yield to maturity of the applicable Reference U.S. Treasury Security set forth in the table above on the bid-side price of such Reference U.S. Treasury Security as of 2:00 p.m., New York City time, on March 31, 2026.</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Holders of the notes who validly tender (and do not validly withdraw) their notes prior to the Expiration Time, or who deliver to the tender agent and information agent a properly completed and duly executed notice of guaranteed delivery in accordance with the instructions described in the offer to purchase, will be eligible to receive the Notes Consideration, plus any accrued and unpaid interest up to, but not including, the settlement date, which is expected to occur on April 3, 2026. Tendered notes may be withdrawn at any time at or prior to the Expiration Time. Micron reserves the right to terminate, withdraw or amend the Tender Offers at any time, subject to applicable law. The Tender Offers are subject to the satisfaction or waiver of certain conditions but are not conditioned on any minimum amount of any series of the notes being tendered.</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Tender Offers are being made pursuant to the terms and conditions contained in the offer to purchase and notice of guaranteed delivery, copies of which may be obtained from D.F. King &amp; Co., Inc., the information agent for the Tender Offers, by telephone at (212) 229-2634 (banks and brokers only), (800) 848-3409 (toll free), by email at </w:t>
      </w:r>
      <w:r>
        <w:rPr>
          <w:rFonts w:ascii="Times New Roman" w:cs="Times New Roman" w:eastAsia="Times New Roman" w:hAnsi="Times New Roman"/>
          <w:sz w:val="18"/>
          <w:szCs w:val="18"/>
          <w:u w:val="single" w:color="auto"/>
          <w:color w:val="auto"/>
        </w:rPr>
        <w:t>MU@dfking.com</w:t>
      </w:r>
      <w:r>
        <w:rPr>
          <w:rFonts w:ascii="Times New Roman" w:cs="Times New Roman" w:eastAsia="Times New Roman" w:hAnsi="Times New Roman"/>
          <w:sz w:val="18"/>
          <w:szCs w:val="18"/>
          <w:color w:val="auto"/>
        </w:rPr>
        <w:t xml:space="preserve"> or at the following web address: </w:t>
      </w:r>
      <w:r>
        <w:rPr>
          <w:rFonts w:ascii="Times New Roman" w:cs="Times New Roman" w:eastAsia="Times New Roman" w:hAnsi="Times New Roman"/>
          <w:sz w:val="18"/>
          <w:szCs w:val="18"/>
          <w:u w:val="single" w:color="auto"/>
          <w:color w:val="auto"/>
        </w:rPr>
        <w:t>www.dfking.com/MU</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with questions regarding the Tender Offers should contact the lead dealer managers: BofA Securities at (888) 292-0070, Morgan Stanley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at (800) 624-1808 (toll free), and Wells Fargo Securities, LLC at (866) 309-6316 (toll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140"/>
        <w:spacing w:after="0" w:line="266" w:lineRule="auto"/>
        <w:rPr>
          <w:sz w:val="20"/>
          <w:szCs w:val="20"/>
          <w:color w:val="auto"/>
        </w:rPr>
      </w:pPr>
      <w:r>
        <w:rPr>
          <w:rFonts w:ascii="Times New Roman" w:cs="Times New Roman" w:eastAsia="Times New Roman" w:hAnsi="Times New Roman"/>
          <w:sz w:val="18"/>
          <w:szCs w:val="18"/>
          <w:color w:val="auto"/>
        </w:rPr>
        <w:t>None of Micron or its board of directors, the dealer managers, the tender offer agent, the information agent or the trustee for the notes, or any of their respective affiliates, is making any recommendation as to whether holders should tender or refrain from tendering any notes in response to Tender Offers. Holders must make their own decision as to whether to tender any of their notes and, if so, the principal amount of notes to tender.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is not an offer to purchase or a solicitation of an offer to sell any securities and does not constitute a redemption notice for any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Offers are being made solely by means of the offer to purchase.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Micron Technology, Inc. is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Every day, the innovations that our people create fuel the data economy, enabling advances in artificial intelligence and compute-intensive applications that unleash opportunities - from the data center to the intelligent edge and across the client and mobile user experience.</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Micron®, any associated logos, and all other Micron trademarks are the property of Micron. Other product names or trademarks that are not owned by Micron are for identification purposes only and may be the trademarks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Securities Act of 1933, as amended, and Section 21E of the Securities Exchange Act of 1934, as amended. These forward-looking statements are subject to a number of risks and uncertainties that could cause actual results to differ materially, including the risks related to the acceptance of any tendered notes, Micron’s expectations regarding purchasing notes subject to guaranteed delivery procedures, the Expiration Time and settlement of the Tender Offers, the satisfaction of conditions to the Tender Offers, whether the Tender Offers will be consummated in accordance with the terms set forth in the offer to purchase or at all and the timing of any of the foregoing as well as other risks and uncertainties identified in our most recent Form 10-K and Form 10-Qs filed with the Securities and Exchange Commission. You can identify forward-looking statements by the use of forward-looking terminology such as “believes,” “expects,” “may,” “can,” “will,” “should,” “seeks,” “intends,” “plans,” “projects,” “pro forma,” “estimates,” “forecasts,” “targets,” “anticipates,” or the negative of these words and phrases, other variations of these words and phrases or comparable terminology. The forward-looking statements speak only as of the date of this press release and undue reliance should not be placed on these statements. Micron disclaims any obligation to update any forward-looking statements as a result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 Kumar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satyakumar@micron.com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450-6199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Plungy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mplungy@micron.com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203-2910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5453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Announces the Expiration of the Cash Tender Offers for Any and All of Certain Outstanding Senior Notes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BOISE, Idaho, April 1, 2026 (GLOBE NEWSWIRE) -- Micron Technology, Inc. (Nasdaq:MU), (the "Company" or "Micron") announced today that the previously announced cash tender offers (each, a “Tender Offer” and, collectively, the “Tender Offers”) to purchase any and all of Micron’s senior notes listed in the table below (collectively, the “notes”) expired at 5:00 p.m., New York City time, on March 31, 2026 (the “Expiration Time”). As of the Expiration Time, the aggregate principal amount of each series of notes set forth in the table below has been validly tendered in the Tender Offers. Micron expects to accept for payment all notes validly tendered and not withdrawn and expects to make payment for such notes on April 3,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tc>
        <w:tc>
          <w:tcPr>
            <w:tcW w:w="100" w:type="dxa"/>
            <w:vAlign w:val="bottom"/>
          </w:tcPr>
          <w:p>
            <w:pPr>
              <w:spacing w:after="0"/>
              <w:rPr>
                <w:sz w:val="18"/>
                <w:szCs w:val="18"/>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Aggregate Principal Amount</w:t>
            </w: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CUSIP/ISIN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18"/>
                <w:szCs w:val="18"/>
                <w:color w:val="auto"/>
              </w:rPr>
            </w:pPr>
          </w:p>
        </w:tc>
        <w:tc>
          <w:tcPr>
            <w:tcW w:w="2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Tendered as of the</w:t>
            </w:r>
          </w:p>
        </w:tc>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Subject to Guaranteed Delivery</w:t>
            </w:r>
          </w:p>
        </w:tc>
      </w:tr>
      <w:tr>
        <w:trPr>
          <w:trHeight w:val="238"/>
        </w:trPr>
        <w:tc>
          <w:tcPr>
            <w:tcW w:w="25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Numbers</w:t>
            </w:r>
          </w:p>
        </w:tc>
        <w:tc>
          <w:tcPr>
            <w:tcW w:w="2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Prior to the Tender Offers</w:t>
            </w:r>
          </w:p>
        </w:tc>
        <w:tc>
          <w:tcPr>
            <w:tcW w:w="240" w:type="dxa"/>
            <w:vAlign w:val="bottom"/>
          </w:tcPr>
          <w:p>
            <w:pPr>
              <w:spacing w:after="0"/>
              <w:rPr>
                <w:sz w:val="20"/>
                <w:szCs w:val="20"/>
                <w:color w:val="auto"/>
              </w:rPr>
            </w:pPr>
          </w:p>
        </w:tc>
        <w:tc>
          <w:tcPr>
            <w:tcW w:w="2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Expiration Time</w:t>
            </w:r>
          </w:p>
        </w:tc>
        <w:tc>
          <w:tcPr>
            <w:tcW w:w="100" w:type="dxa"/>
            <w:vAlign w:val="bottom"/>
          </w:tcPr>
          <w:p>
            <w:pPr>
              <w:spacing w:after="0"/>
              <w:rPr>
                <w:sz w:val="20"/>
                <w:szCs w:val="20"/>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r>
      <w:tr>
        <w:trPr>
          <w:trHeight w:val="191"/>
        </w:trPr>
        <w:tc>
          <w:tcPr>
            <w:tcW w:w="2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5.300% Senior Notes due 2031</w:t>
            </w:r>
          </w:p>
        </w:tc>
        <w:tc>
          <w:tcPr>
            <w:tcW w:w="2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595112CD3 /</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US595112CD31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737,097,000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47,229,000</w:t>
            </w:r>
          </w:p>
        </w:tc>
      </w:tr>
      <w:tr>
        <w:trPr>
          <w:trHeight w:val="198"/>
        </w:trPr>
        <w:tc>
          <w:tcPr>
            <w:tcW w:w="2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5.650% Senior Notes due 2032</w:t>
            </w: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595112CG6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US595112CG61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427,022,000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8,307,000</w:t>
            </w:r>
          </w:p>
        </w:tc>
      </w:tr>
      <w:tr>
        <w:trPr>
          <w:trHeight w:val="198"/>
        </w:trPr>
        <w:tc>
          <w:tcPr>
            <w:tcW w:w="2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5.875% Senior Notes due 2033</w:t>
            </w:r>
          </w:p>
        </w:tc>
        <w:tc>
          <w:tcPr>
            <w:tcW w:w="14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595112BZ5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US595112BZ51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574,035,000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6,577,000</w:t>
            </w:r>
          </w:p>
        </w:tc>
      </w:tr>
      <w:tr>
        <w:trPr>
          <w:trHeight w:val="198"/>
        </w:trPr>
        <w:tc>
          <w:tcPr>
            <w:tcW w:w="2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5.875% Senior Notes due 2033</w:t>
            </w: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595112CB7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US595112CB74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900,000,000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684,841,000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45,516,000</w:t>
            </w:r>
          </w:p>
        </w:tc>
      </w:tr>
      <w:tr>
        <w:trPr>
          <w:trHeight w:val="198"/>
        </w:trPr>
        <w:tc>
          <w:tcPr>
            <w:tcW w:w="2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5.800% Senior Notes due 2035</w:t>
            </w:r>
          </w:p>
        </w:tc>
        <w:tc>
          <w:tcPr>
            <w:tcW w:w="14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595112CE1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US595112CE14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1,000,000,000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862,833,000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17,724,000</w:t>
            </w:r>
          </w:p>
        </w:tc>
      </w:tr>
      <w:tr>
        <w:trPr>
          <w:trHeight w:val="198"/>
        </w:trPr>
        <w:tc>
          <w:tcPr>
            <w:tcW w:w="2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6.050% Senior Notes due 2035</w:t>
            </w: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595112CH4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US595112CH45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1,250,000,000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1,029,483,000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14,732,000</w:t>
            </w:r>
          </w:p>
        </w:tc>
      </w:tr>
    </w:tbl>
    <w:p>
      <w:pPr>
        <w:spacing w:after="0" w:line="19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BofA Securities, Morgan Stanley &amp; Co. LLC, and Wells Fargo Securities, LLC acted as lead dealer managers. Persons with questions regarding the Tender Offers should contact BofA Securities at (888) 292-0070, Morgan Stanley &amp; Co. LLC at (800) 624-1808 (toll free), and Wells Fargo Securities, LLC at</w:t>
      </w:r>
    </w:p>
    <w:p>
      <w:pPr>
        <w:spacing w:after="0" w:line="1"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309-6316 (toll free), or the information agent and tender agent, D.F. King &amp; Co., Inc., by telephone at (212) 229-2634 (banks and brokers only),</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848-3409 (toll free), or by email at MU@dfking.com or at the following web address: </w:t>
      </w:r>
      <w:r>
        <w:rPr>
          <w:rFonts w:ascii="Times New Roman" w:cs="Times New Roman" w:eastAsia="Times New Roman" w:hAnsi="Times New Roman"/>
          <w:sz w:val="18"/>
          <w:szCs w:val="18"/>
          <w:u w:val="single" w:color="auto"/>
          <w:color w:val="auto"/>
        </w:rPr>
        <w:t>www.dfking.com/MU</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is not an offer to purchase or a solicitation of an offer to sell any securities and does not constitute a redemption notice for any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Micron Technology, Inc. is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Every day, the innovations that our people create fuel the data economy, enabling advances in artificial intelligence and compute-intensive applications that unleash opportunities - from the data center to the intelligent edge and across the client and mobile user experience.</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Micron®, any associated logos, and all other Micron trademarks are the property of Micron. Other product names or trademarks that are not owned by Micron are for identification purposes only and may be the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Section 27A of the Securities Act of 1933, as amended, and Section 21E of the Securities Exchange Act of 1934, as amended. These forward-looking statements are subject to a number of risks and uncertainties that could cause actual results to differ materially, including the risks related to the acceptance of any tendered notes, Micron’s expectations regarding purchasing notes subject to guaranteed delivery procedures, the Expiration Time and settlement of the Tender Offers, the satisfaction of conditions to the Tender Offers, whether the Tender Offers will be consummated in accordance with the terms set forth in the offer to purchase or at all and the timing of any of the foregoing as well as other risks and uncertainties identified in our most recent Form 10-K and Form 10-Qs filed with the Securities and Exchange Commission. You can identify forward-looking statements by the use of forward-looking terminology such as “believes,” “expects,” “may,” “can,” “will,” “should,” “seeks,” “intends,” “plans,” “projects,” “pro forma,” “estimates,” “forecasts,” “targets,” “anticipates,” or the negative of these words and phrases, other variations of these words and phrases or comparable terminology. The forward-looking statements speak only as of the date of this press release and undue reliance should not be placed on these statements. Micron disclaims any obligation to update any forward-looking statements as a result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 Kumar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satyakumar@micron.com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450-6199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Plungy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mplungy@micron.com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203-2910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66"/>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2026-04-01T07:35:35Z</dcterms:created>
  <dcterms:modified xsi:type="dcterms:W3CDTF">2026-04-01T07:35:35Z</dcterms:modified>
</cp:coreProperties>
</file>