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1"/>
        <w:spacing w:after="0"/>
        <w:rPr>
          <w:sz w:val="20"/>
          <w:szCs w:val="20"/>
          <w:color w:val="auto"/>
        </w:rPr>
      </w:pPr>
      <w:r>
        <w:rPr>
          <w:rFonts w:ascii="Arial" w:cs="Arial" w:eastAsia="Arial" w:hAnsi="Arial"/>
          <w:sz w:val="32"/>
          <w:szCs w:val="32"/>
          <w:b w:val="1"/>
          <w:bCs w:val="1"/>
          <w:color w:val="auto"/>
        </w:rPr>
        <w:t>UNITED STATES</w:t>
      </w:r>
    </w:p>
    <w:p>
      <w:pPr>
        <w:spacing w:after="0" w:line="54" w:lineRule="exact"/>
        <w:rPr>
          <w:sz w:val="24"/>
          <w:szCs w:val="24"/>
          <w:color w:val="auto"/>
        </w:rPr>
      </w:pPr>
    </w:p>
    <w:p>
      <w:pPr>
        <w:jc w:val="center"/>
        <w:ind w:right="-1021"/>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021"/>
        <w:spacing w:after="0"/>
        <w:rPr>
          <w:sz w:val="20"/>
          <w:szCs w:val="20"/>
          <w:color w:val="auto"/>
        </w:rPr>
      </w:pPr>
      <w:r>
        <w:rPr>
          <w:rFonts w:ascii="Arial" w:cs="Arial" w:eastAsia="Arial" w:hAnsi="Arial"/>
          <w:sz w:val="18"/>
          <w:szCs w:val="18"/>
          <w:b w:val="1"/>
          <w:bCs w:val="1"/>
          <w:color w:val="auto"/>
        </w:rPr>
        <w:t>Washington, D.C. 20549</w:t>
      </w:r>
    </w:p>
    <w:p>
      <w:pPr>
        <w:spacing w:after="0" w:line="113" w:lineRule="exact"/>
        <w:rPr>
          <w:sz w:val="24"/>
          <w:szCs w:val="24"/>
          <w:color w:val="auto"/>
        </w:rPr>
      </w:pPr>
    </w:p>
    <w:p>
      <w:pPr>
        <w:jc w:val="center"/>
        <w:ind w:right="-1021"/>
        <w:spacing w:after="0"/>
        <w:rPr>
          <w:sz w:val="20"/>
          <w:szCs w:val="20"/>
          <w:color w:val="auto"/>
        </w:rPr>
      </w:pPr>
      <w:r>
        <w:rPr>
          <w:rFonts w:ascii="Arial" w:cs="Arial" w:eastAsia="Arial" w:hAnsi="Arial"/>
          <w:sz w:val="43"/>
          <w:szCs w:val="43"/>
          <w:b w:val="1"/>
          <w:bCs w:val="1"/>
          <w:color w:val="auto"/>
        </w:rPr>
        <w:t>SCHEDULE 14A</w:t>
      </w:r>
    </w:p>
    <w:p>
      <w:pPr>
        <w:spacing w:after="0" w:line="175" w:lineRule="exact"/>
        <w:rPr>
          <w:sz w:val="24"/>
          <w:szCs w:val="24"/>
          <w:color w:val="auto"/>
        </w:rPr>
      </w:pPr>
    </w:p>
    <w:p>
      <w:pPr>
        <w:jc w:val="center"/>
        <w:ind w:right="-1021"/>
        <w:spacing w:after="0"/>
        <w:rPr>
          <w:sz w:val="20"/>
          <w:szCs w:val="20"/>
          <w:color w:val="auto"/>
        </w:rPr>
      </w:pPr>
      <w:r>
        <w:rPr>
          <w:rFonts w:ascii="Arial" w:cs="Arial" w:eastAsia="Arial" w:hAnsi="Arial"/>
          <w:sz w:val="18"/>
          <w:szCs w:val="18"/>
          <w:color w:val="auto"/>
        </w:rPr>
        <w:t>Proxy Statement Pursuant to Section 14(a) of</w:t>
      </w:r>
    </w:p>
    <w:p>
      <w:pPr>
        <w:spacing w:after="0" w:line="26" w:lineRule="exact"/>
        <w:rPr>
          <w:sz w:val="24"/>
          <w:szCs w:val="24"/>
          <w:color w:val="auto"/>
        </w:rPr>
      </w:pPr>
    </w:p>
    <w:p>
      <w:pPr>
        <w:jc w:val="center"/>
        <w:ind w:right="-1021"/>
        <w:spacing w:after="0"/>
        <w:tabs>
          <w:tab w:leader="none" w:pos="18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13"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3"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 w:lineRule="exact"/>
        <w:rPr>
          <w:sz w:val="24"/>
          <w:szCs w:val="24"/>
          <w:color w:val="auto"/>
        </w:rPr>
      </w:pPr>
    </w:p>
    <w:p>
      <w:pPr>
        <w:ind w:left="1"/>
        <w:spacing w:after="0"/>
        <w:rPr>
          <w:sz w:val="20"/>
          <w:szCs w:val="20"/>
          <w:color w:val="auto"/>
        </w:rPr>
      </w:pPr>
      <w:r>
        <w:rPr>
          <w:rFonts w:ascii="Arial" w:cs="Arial" w:eastAsia="Arial" w:hAnsi="Arial"/>
          <w:sz w:val="18"/>
          <w:szCs w:val="18"/>
          <w:color w:val="auto"/>
        </w:rPr>
        <w:t>Check the appropriate box:</w:t>
      </w:r>
    </w:p>
    <w:p>
      <w:pPr>
        <w:spacing w:after="0" w:line="13" w:lineRule="exact"/>
        <w:rPr>
          <w:sz w:val="24"/>
          <w:szCs w:val="24"/>
          <w:color w:val="auto"/>
        </w:rPr>
      </w:pPr>
    </w:p>
    <w:p>
      <w:pPr>
        <w:ind w:left="1061" w:hanging="1061"/>
        <w:spacing w:after="0"/>
        <w:tabs>
          <w:tab w:leader="none" w:pos="10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1061" w:hanging="1061"/>
        <w:spacing w:after="0"/>
        <w:tabs>
          <w:tab w:leader="none" w:pos="10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7" w:lineRule="exact"/>
        <w:rPr>
          <w:sz w:val="24"/>
          <w:szCs w:val="24"/>
          <w:color w:val="auto"/>
        </w:rPr>
      </w:pPr>
    </w:p>
    <w:p>
      <w:pPr>
        <w:ind w:left="1061" w:hanging="1061"/>
        <w:spacing w:after="0"/>
        <w:tabs>
          <w:tab w:leader="none" w:pos="106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 w:lineRule="exact"/>
        <w:rPr>
          <w:sz w:val="24"/>
          <w:szCs w:val="24"/>
          <w:color w:val="auto"/>
        </w:rPr>
      </w:pPr>
    </w:p>
    <w:p>
      <w:pPr>
        <w:ind w:left="1061" w:hanging="1061"/>
        <w:spacing w:after="0"/>
        <w:tabs>
          <w:tab w:leader="none" w:pos="1061"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 w:lineRule="exact"/>
        <w:rPr>
          <w:rFonts w:ascii="MS PGothic" w:cs="MS PGothic" w:eastAsia="MS PGothic" w:hAnsi="MS PGothic"/>
          <w:sz w:val="18"/>
          <w:szCs w:val="18"/>
          <w:color w:val="auto"/>
        </w:rPr>
      </w:pPr>
    </w:p>
    <w:p>
      <w:pPr>
        <w:ind w:left="1061" w:hanging="1061"/>
        <w:spacing w:after="0"/>
        <w:tabs>
          <w:tab w:leader="none" w:pos="1061"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65405</wp:posOffset>
            </wp:positionV>
            <wp:extent cx="1638300" cy="409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8300" cy="409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3721"/>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70650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43" w:lineRule="exact"/>
        <w:rPr>
          <w:sz w:val="24"/>
          <w:szCs w:val="24"/>
          <w:color w:val="auto"/>
        </w:rPr>
      </w:pPr>
    </w:p>
    <w:p>
      <w:pPr>
        <w:jc w:val="center"/>
        <w:ind w:right="-1021"/>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142240</wp:posOffset>
            </wp:positionV>
            <wp:extent cx="70650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12" w:lineRule="exact"/>
        <w:rPr>
          <w:sz w:val="24"/>
          <w:szCs w:val="24"/>
          <w:color w:val="auto"/>
        </w:rPr>
      </w:pPr>
    </w:p>
    <w:p>
      <w:pPr>
        <w:ind w:left="2701"/>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7" w:lineRule="exact"/>
        <w:rPr>
          <w:sz w:val="24"/>
          <w:szCs w:val="24"/>
          <w:color w:val="auto"/>
        </w:rPr>
      </w:pPr>
    </w:p>
    <w:p>
      <w:pPr>
        <w:ind w:left="1"/>
        <w:spacing w:after="0"/>
        <w:rPr>
          <w:sz w:val="20"/>
          <w:szCs w:val="20"/>
          <w:color w:val="auto"/>
        </w:rPr>
      </w:pPr>
      <w:r>
        <w:rPr>
          <w:rFonts w:ascii="Arial" w:cs="Arial" w:eastAsia="Arial" w:hAnsi="Arial"/>
          <w:sz w:val="18"/>
          <w:szCs w:val="18"/>
          <w:color w:val="auto"/>
        </w:rPr>
        <w:t>Payment of Filing Fee (Check all boxes that apply):</w:t>
      </w:r>
    </w:p>
    <w:p>
      <w:pPr>
        <w:spacing w:after="0" w:line="31" w:lineRule="exact"/>
        <w:rPr>
          <w:sz w:val="24"/>
          <w:szCs w:val="24"/>
          <w:color w:val="auto"/>
        </w:rPr>
      </w:pPr>
    </w:p>
    <w:p>
      <w:pPr>
        <w:ind w:left="581" w:hanging="581"/>
        <w:spacing w:after="0"/>
        <w:tabs>
          <w:tab w:leader="none" w:pos="581"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6" w:lineRule="exact"/>
        <w:rPr>
          <w:sz w:val="24"/>
          <w:szCs w:val="24"/>
          <w:color w:val="auto"/>
        </w:rPr>
      </w:pPr>
    </w:p>
    <w:p>
      <w:pPr>
        <w:ind w:left="581" w:hanging="581"/>
        <w:spacing w:after="0"/>
        <w:tabs>
          <w:tab w:leader="none" w:pos="58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81" w:hanging="581"/>
        <w:spacing w:after="0"/>
        <w:tabs>
          <w:tab w:leader="none" w:pos="58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777875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060"/>
          </w:cols>
          <w:pgMar w:left="399" w:top="102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242570</wp:posOffset>
            </wp:positionV>
            <wp:extent cx="7158355" cy="9133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242570</wp:posOffset>
            </wp:positionV>
            <wp:extent cx="7158355" cy="9074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9074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702945</wp:posOffset>
            </wp:positionV>
            <wp:extent cx="7158355" cy="81864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702945</wp:posOffset>
            </wp:positionV>
            <wp:extent cx="7158355" cy="8553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8553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ind w:left="400" w:right="980"/>
        <w:spacing w:after="0" w:line="298" w:lineRule="auto"/>
        <w:rPr>
          <w:sz w:val="20"/>
          <w:szCs w:val="20"/>
          <w:color w:val="auto"/>
        </w:rPr>
      </w:pPr>
      <w:r>
        <w:rPr>
          <w:rFonts w:ascii="Arial" w:cs="Arial" w:eastAsia="Arial" w:hAnsi="Arial"/>
          <w:sz w:val="36"/>
          <w:szCs w:val="36"/>
          <w:b w:val="1"/>
          <w:bCs w:val="1"/>
          <w:color w:val="auto"/>
        </w:rPr>
        <w:t>Notice of Fiscal 2025 Annual Meeting of Shareholders January 15, 2026</w:t>
      </w:r>
    </w:p>
    <w:p>
      <w:pPr>
        <w:spacing w:after="0"/>
        <w:rPr>
          <w:sz w:val="20"/>
          <w:szCs w:val="20"/>
          <w:color w:val="auto"/>
        </w:rPr>
      </w:pPr>
      <w:r>
        <w:rPr>
          <w:rFonts w:ascii="Arial" w:cs="Arial" w:eastAsia="Arial" w:hAnsi="Arial"/>
          <w:sz w:val="20"/>
          <w:szCs w:val="20"/>
          <w:b w:val="1"/>
          <w:bCs w:val="1"/>
          <w:color w:val="auto"/>
        </w:rPr>
        <w:t>To the Shareholders of Micron Technology, Inc.:</w:t>
      </w:r>
    </w:p>
    <w:p>
      <w:pPr>
        <w:spacing w:after="0" w:line="23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NOTICE IS HEREBY GIVEN that the Annual Meeting of Shareholders (the “Annual Meeting”) of Micron Technology, Inc., a Delaware corporation, for the fiscal year ended August 28, 2025 (“Fiscal 2025”), will be held virtually on January 15, 2026, at 10:00 a.m., Mountain Standard Time, for the purposes listed below. As used herein, “we,” “our,” “us,” “Micron,” the “Company,” and similar terms refer to Micron Technology, Inc., unless the context indicates otherwise.</w:t>
      </w:r>
    </w:p>
    <w:p>
      <w:pPr>
        <w:spacing w:after="0" w:line="231" w:lineRule="exact"/>
        <w:rPr>
          <w:sz w:val="20"/>
          <w:szCs w:val="20"/>
          <w:color w:val="auto"/>
        </w:rPr>
      </w:pPr>
    </w:p>
    <w:p>
      <w:pPr>
        <w:ind w:left="780" w:hanging="419"/>
        <w:spacing w:after="0"/>
        <w:tabs>
          <w:tab w:leader="none" w:pos="780" w:val="left"/>
        </w:tabs>
        <w:numPr>
          <w:ilvl w:val="0"/>
          <w:numId w:val="6"/>
        </w:numPr>
        <w:rPr>
          <w:rFonts w:ascii="Arial" w:cs="Arial" w:eastAsia="Arial" w:hAnsi="Arial"/>
          <w:sz w:val="18"/>
          <w:szCs w:val="18"/>
          <w:b w:val="1"/>
          <w:bCs w:val="1"/>
          <w:color w:val="BD03F7"/>
        </w:rPr>
      </w:pPr>
      <w:r>
        <w:rPr>
          <w:rFonts w:ascii="Arial" w:cs="Arial" w:eastAsia="Arial" w:hAnsi="Arial"/>
          <w:sz w:val="16"/>
          <w:szCs w:val="16"/>
          <w:color w:val="auto"/>
        </w:rPr>
        <w:t>To elect eight (8) directors to our Board of Directors to serve for the ensuing year and until their successors are elected and qualified;</w:t>
      </w:r>
    </w:p>
    <w:p>
      <w:pPr>
        <w:spacing w:after="0" w:line="20" w:lineRule="exact"/>
        <w:rPr>
          <w:rFonts w:ascii="Arial" w:cs="Arial" w:eastAsia="Arial" w:hAnsi="Arial"/>
          <w:sz w:val="18"/>
          <w:szCs w:val="18"/>
          <w:b w:val="1"/>
          <w:bCs w:val="1"/>
          <w:color w:val="BD03F7"/>
        </w:rPr>
      </w:pPr>
    </w:p>
    <w:p>
      <w:pPr>
        <w:ind w:left="360"/>
        <w:spacing w:after="0"/>
        <w:rPr>
          <w:rFonts w:ascii="Arial" w:cs="Arial" w:eastAsia="Arial" w:hAnsi="Arial"/>
          <w:sz w:val="18"/>
          <w:szCs w:val="18"/>
          <w:b w:val="1"/>
          <w:bCs w:val="1"/>
          <w:color w:val="BD03F7"/>
        </w:rPr>
      </w:pPr>
      <w:r>
        <w:rPr>
          <w:rFonts w:ascii="Arial" w:cs="Arial" w:eastAsia="Arial" w:hAnsi="Arial"/>
          <w:sz w:val="18"/>
          <w:szCs w:val="18"/>
          <w:b w:val="1"/>
          <w:bCs w:val="1"/>
          <w:color w:val="BD03F7"/>
        </w:rPr>
        <w:t xml:space="preserve">2   </w:t>
      </w:r>
      <w:r>
        <w:rPr>
          <w:rFonts w:ascii="Arial" w:cs="Arial" w:eastAsia="Arial" w:hAnsi="Arial"/>
          <w:sz w:val="16"/>
          <w:szCs w:val="16"/>
          <w:color w:val="000000"/>
        </w:rPr>
        <w:t>To approve, on a non-binding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-283845</wp:posOffset>
            </wp:positionV>
            <wp:extent cx="7056120" cy="1057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6120" cy="1057910"/>
                    </a:xfrm>
                    <a:prstGeom prst="rect">
                      <a:avLst/>
                    </a:prstGeom>
                    <a:noFill/>
                  </pic:spPr>
                </pic:pic>
              </a:graphicData>
            </a:graphic>
          </wp:anchor>
        </w:drawing>
      </w:r>
    </w:p>
    <w:p>
      <w:pPr>
        <w:spacing w:after="0" w:line="1" w:lineRule="exact"/>
        <w:rPr>
          <w:sz w:val="20"/>
          <w:szCs w:val="20"/>
          <w:color w:val="auto"/>
        </w:rPr>
      </w:pPr>
    </w:p>
    <w:p>
      <w:pPr>
        <w:ind w:left="780" w:right="780" w:hanging="419"/>
        <w:spacing w:after="0" w:line="184" w:lineRule="auto"/>
        <w:tabs>
          <w:tab w:leader="none" w:pos="780" w:val="left"/>
        </w:tabs>
        <w:numPr>
          <w:ilvl w:val="0"/>
          <w:numId w:val="7"/>
        </w:numPr>
        <w:rPr>
          <w:rFonts w:ascii="Arial" w:cs="Arial" w:eastAsia="Arial" w:hAnsi="Arial"/>
          <w:sz w:val="27"/>
          <w:szCs w:val="27"/>
          <w:b w:val="1"/>
          <w:bCs w:val="1"/>
          <w:color w:val="BD03F7"/>
          <w:vertAlign w:val="subscript"/>
        </w:rPr>
      </w:pPr>
      <w:r>
        <w:rPr>
          <w:rFonts w:ascii="Arial" w:cs="Arial" w:eastAsia="Arial" w:hAnsi="Arial"/>
          <w:sz w:val="14"/>
          <w:szCs w:val="14"/>
          <w:color w:val="auto"/>
        </w:rPr>
        <w:t>To approve an amendment to the Company’s Restated Certificate of Incorporation adding a provision regarding exculpation of officers in accordance with Delaware law;</w:t>
      </w:r>
    </w:p>
    <w:p>
      <w:pPr>
        <w:spacing w:after="0" w:line="2" w:lineRule="exact"/>
        <w:rPr>
          <w:sz w:val="20"/>
          <w:szCs w:val="20"/>
          <w:color w:val="auto"/>
        </w:rPr>
      </w:pPr>
    </w:p>
    <w:p>
      <w:pPr>
        <w:ind w:left="780" w:right="740" w:hanging="419"/>
        <w:spacing w:after="0" w:line="182" w:lineRule="auto"/>
        <w:tabs>
          <w:tab w:leader="none" w:pos="780" w:val="left"/>
        </w:tabs>
        <w:numPr>
          <w:ilvl w:val="0"/>
          <w:numId w:val="8"/>
        </w:numPr>
        <w:rPr>
          <w:rFonts w:ascii="Arial" w:cs="Arial" w:eastAsia="Arial" w:hAnsi="Arial"/>
          <w:sz w:val="29"/>
          <w:szCs w:val="29"/>
          <w:b w:val="1"/>
          <w:bCs w:val="1"/>
          <w:color w:val="BD03F7"/>
          <w:vertAlign w:val="subscript"/>
        </w:rPr>
      </w:pPr>
      <w:r>
        <w:rPr>
          <w:rFonts w:ascii="Arial" w:cs="Arial" w:eastAsia="Arial" w:hAnsi="Arial"/>
          <w:sz w:val="14"/>
          <w:szCs w:val="14"/>
          <w:color w:val="auto"/>
        </w:rPr>
        <w:t>To ratify the appointment of PricewaterhouseCoopers LLP as our independent registered public accounting firm for the fiscal year ending September 3, 2026;</w:t>
      </w:r>
    </w:p>
    <w:p>
      <w:pPr>
        <w:spacing w:after="0" w:line="15" w:lineRule="exact"/>
        <w:rPr>
          <w:sz w:val="20"/>
          <w:szCs w:val="20"/>
          <w:color w:val="auto"/>
        </w:rPr>
      </w:pPr>
    </w:p>
    <w:p>
      <w:pPr>
        <w:ind w:left="780" w:hanging="419"/>
        <w:spacing w:after="0"/>
        <w:tabs>
          <w:tab w:leader="none" w:pos="780" w:val="left"/>
        </w:tabs>
        <w:numPr>
          <w:ilvl w:val="0"/>
          <w:numId w:val="9"/>
        </w:numPr>
        <w:rPr>
          <w:rFonts w:ascii="Arial" w:cs="Arial" w:eastAsia="Arial" w:hAnsi="Arial"/>
          <w:sz w:val="18"/>
          <w:szCs w:val="18"/>
          <w:b w:val="1"/>
          <w:bCs w:val="1"/>
          <w:color w:val="BD03F7"/>
        </w:rPr>
      </w:pPr>
      <w:r>
        <w:rPr>
          <w:rFonts w:ascii="Arial" w:cs="Arial" w:eastAsia="Arial" w:hAnsi="Arial"/>
          <w:sz w:val="16"/>
          <w:szCs w:val="16"/>
          <w:color w:val="auto"/>
        </w:rPr>
        <w:t>To vote on a shareholder proposal included in the accompanying proxy statement, if properly presented at the Annual Meeting; and</w:t>
      </w:r>
    </w:p>
    <w:p>
      <w:pPr>
        <w:spacing w:after="0" w:line="20" w:lineRule="exact"/>
        <w:rPr>
          <w:rFonts w:ascii="Arial" w:cs="Arial" w:eastAsia="Arial" w:hAnsi="Arial"/>
          <w:sz w:val="18"/>
          <w:szCs w:val="18"/>
          <w:b w:val="1"/>
          <w:bCs w:val="1"/>
          <w:color w:val="BD03F7"/>
        </w:rPr>
      </w:pPr>
    </w:p>
    <w:p>
      <w:pPr>
        <w:ind w:left="360"/>
        <w:spacing w:after="0"/>
        <w:rPr>
          <w:rFonts w:ascii="Arial" w:cs="Arial" w:eastAsia="Arial" w:hAnsi="Arial"/>
          <w:sz w:val="18"/>
          <w:szCs w:val="18"/>
          <w:b w:val="1"/>
          <w:bCs w:val="1"/>
          <w:color w:val="BD03F7"/>
        </w:rPr>
      </w:pPr>
      <w:r>
        <w:rPr>
          <w:rFonts w:ascii="Arial" w:cs="Arial" w:eastAsia="Arial" w:hAnsi="Arial"/>
          <w:sz w:val="18"/>
          <w:szCs w:val="18"/>
          <w:b w:val="1"/>
          <w:bCs w:val="1"/>
          <w:color w:val="BD03F7"/>
        </w:rPr>
        <w:t xml:space="preserve">6   </w:t>
      </w:r>
      <w:r>
        <w:rPr>
          <w:rFonts w:ascii="Arial" w:cs="Arial" w:eastAsia="Arial" w:hAnsi="Arial"/>
          <w:sz w:val="16"/>
          <w:szCs w:val="16"/>
          <w:color w:val="000000"/>
        </w:rPr>
        <w:t>To transact such other business as may properly come before the Annual Meeting or any adjournment thereof.</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items of business are more fully described in the proxy statement (the “Proxy Statement”) accompanying this notice.</w:t>
      </w:r>
    </w:p>
    <w:p>
      <w:pPr>
        <w:spacing w:after="0" w:line="246"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Shareholders of record at the close of business on November 17, 2025 are entitled to receive notice of and to vote at the meeting and any postponements or adjournments of the meeting. A complete list of shareholders entitled to vote at the meeting will be available for inspection by any shareholder, for any purpose related to the meeting, for ten days prior to the meeting at our principal business offices during ordinary business hours. Please contact our Corporate Secretary at corporatesecretary@micron.com to schedule an appointment to review the list.</w:t>
      </w:r>
    </w:p>
    <w:p>
      <w:pPr>
        <w:spacing w:after="0" w:line="21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Securities and Exchange Commission permits proxy materials to be furnished over the Internet rather than in paper form. Accordingly, unless otherwise requested, we are sending our shareholders a notice (the “Notice”) regarding the availability of the Proxy Statement, our annual report on Form 10-K for Fiscal 2025 (the “Annual Report”), and other proxy materials (together, the “proxy materials”) via the Internet. This electronic process gives you fast, convenient access to the proxy materials, reduces the impact on the environment, and reduces our printing and mailing costs. If you received the Notice by mail, you will not receive a printed copy of the proxy materials in the mail. The Notice instructs you on how to access and review the proxy materials. The Notice also instructs you on how you may submit your vote over the Internet. If you received a Notice by mail and would like to receive a copy of our proxy materials by electronic mail or mail, you should follow the instructions for requesting such proxy materials included in the Notice.</w:t>
      </w:r>
    </w:p>
    <w:p>
      <w:pPr>
        <w:spacing w:after="0" w:line="206"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We are pleased to provide shareholders with the opportunity to participate in the Annual Meeting online via the Internet in a virtual-only meeting format to facilitate shareholder attendance and provide a consistent experience to all shareholders regardless of location. We will provide a live webcast of the Annual Meeting at www.virtualshareholdermeeting.com/MU2025, where you will also be able to submit questions and vote online. You will not be able to attend the Annual Meeting at a physical location.</w:t>
      </w:r>
    </w:p>
    <w:p>
      <w:pPr>
        <w:spacing w:after="0" w:line="19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To ensure your representation at the meeting, you are urged to vote, whether or not you attend the Annual Meeting. You may vote by telephone or electronically via the Internet by following the instructions on the Notice. Alternatively, if you received a paper copy of the proxy card, you may sign, date, and return the proxy card in the postage-prepaid envelope enclosed for that purpose. Please refer to the instructions included with the proxy card for additional details. Shareholders attending the Annual Meeting may vote using the virtual meeting platform even if they have already submitted their proxy, and any previous votes that were submitted by the shareholder, whether by Internet, telephone, or mail, will be superseded by the vote that such shareholder casts at the Annual Meeting.</w:t>
      </w:r>
    </w:p>
    <w:p>
      <w:pPr>
        <w:spacing w:after="0" w:line="67" w:lineRule="exact"/>
        <w:rPr>
          <w:sz w:val="20"/>
          <w:szCs w:val="20"/>
          <w:color w:val="auto"/>
        </w:rPr>
      </w:pPr>
    </w:p>
    <w:p>
      <w:pPr>
        <w:ind w:right="800"/>
        <w:spacing w:after="0" w:line="301" w:lineRule="auto"/>
        <w:rPr>
          <w:sz w:val="20"/>
          <w:szCs w:val="20"/>
          <w:color w:val="auto"/>
        </w:rPr>
      </w:pPr>
      <w:r>
        <w:rPr>
          <w:rFonts w:ascii="Arial" w:cs="Arial" w:eastAsia="Arial" w:hAnsi="Arial"/>
          <w:sz w:val="16"/>
          <w:szCs w:val="16"/>
          <w:color w:val="auto"/>
        </w:rPr>
        <w:t>We began distributing a Notice of Internet Availability of proxy materials, the Proxy Statement, the Annual Report, and proxy card, as applicable, to shareholders on November 25, 2025.</w:t>
      </w:r>
    </w:p>
    <w:p>
      <w:pPr>
        <w:sectPr>
          <w:pgSz w:w="11900" w:h="16838" w:orient="portrait"/>
          <w:cols w:equalWidth="0" w:num="1">
            <w:col w:w="11240"/>
          </w:cols>
          <w:pgMar w:left="320" w:top="921" w:right="339" w:bottom="1440" w:gutter="0" w:footer="0" w:header="0"/>
        </w:sectPr>
      </w:pP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Boise, Idaho</w:t>
      </w:r>
    </w:p>
    <w:p>
      <w:pPr>
        <w:ind w:left="240"/>
        <w:spacing w:after="0"/>
        <w:rPr>
          <w:sz w:val="20"/>
          <w:szCs w:val="20"/>
          <w:color w:val="auto"/>
        </w:rPr>
      </w:pPr>
      <w:r>
        <w:rPr>
          <w:rFonts w:ascii="Arial" w:cs="Arial" w:eastAsia="Arial" w:hAnsi="Arial"/>
          <w:sz w:val="17"/>
          <w:szCs w:val="17"/>
          <w:b w:val="1"/>
          <w:bCs w:val="1"/>
          <w:color w:val="auto"/>
        </w:rPr>
        <w:t>November 25, 2025</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Order of the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Michael Ray</w:t>
      </w:r>
    </w:p>
    <w:p>
      <w:pPr>
        <w:spacing w:after="0"/>
        <w:rPr>
          <w:sz w:val="20"/>
          <w:szCs w:val="20"/>
          <w:color w:val="auto"/>
        </w:rPr>
      </w:pPr>
      <w:r>
        <w:rPr>
          <w:rFonts w:ascii="Arial" w:cs="Arial" w:eastAsia="Arial" w:hAnsi="Arial"/>
          <w:sz w:val="17"/>
          <w:szCs w:val="17"/>
          <w:color w:val="auto"/>
        </w:rPr>
        <w:t>Senior Vice President, Chief Legal Officer and Corporate Secretary</w:t>
      </w:r>
    </w:p>
    <w:p>
      <w:pPr>
        <w:spacing w:after="0" w:line="200" w:lineRule="exact"/>
        <w:rPr>
          <w:sz w:val="20"/>
          <w:szCs w:val="20"/>
          <w:color w:val="auto"/>
        </w:rPr>
      </w:pPr>
    </w:p>
    <w:p>
      <w:pPr>
        <w:sectPr>
          <w:pgSz w:w="11900" w:h="16838" w:orient="portrait"/>
          <w:cols w:equalWidth="0" w:num="2">
            <w:col w:w="3840" w:space="720"/>
            <w:col w:w="6680"/>
          </w:cols>
          <w:pgMar w:left="320" w:top="921" w:right="339" w:bottom="1440" w:gutter="0" w:footer="0" w:header="0"/>
          <w:type w:val="continuous"/>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YOUR VOTE IS IMPORTANT. PLEASE SUBMIT YOUR PROXY PROMPTLY.</w:t>
      </w:r>
    </w:p>
    <w:p>
      <w:pPr>
        <w:sectPr>
          <w:pgSz w:w="11900" w:h="16838" w:orient="portrait"/>
          <w:cols w:equalWidth="0" w:num="1">
            <w:col w:w="11240"/>
          </w:cols>
          <w:pgMar w:left="320" w:top="921"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3"/>
          <w:szCs w:val="13"/>
          <w:b w:val="1"/>
          <w:b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106045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6"/>
          <w:szCs w:val="36"/>
          <w:b w:val="1"/>
          <w:bCs w:val="1"/>
          <w:color w:val="auto"/>
        </w:rPr>
        <w:t>PROXY ROADMAP</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660" w:type="dxa"/>
            <w:vAlign w:val="bottom"/>
            <w:tcBorders>
              <w:top w:val="single" w:sz="8" w:color="BD03F7"/>
              <w:left w:val="single" w:sz="8" w:color="BD03F7"/>
              <w:right w:val="single" w:sz="8" w:color="BD03F7"/>
            </w:tcBorders>
            <w:vMerge w:val="restart"/>
          </w:tcPr>
          <w:p>
            <w:pPr>
              <w:jc w:val="center"/>
              <w:spacing w:after="0"/>
              <w:rPr>
                <w:sz w:val="20"/>
                <w:szCs w:val="20"/>
                <w:color w:val="auto"/>
              </w:rPr>
            </w:pPr>
            <w:r>
              <w:rPr>
                <w:rFonts w:ascii="Arial" w:cs="Arial" w:eastAsia="Arial" w:hAnsi="Arial"/>
                <w:sz w:val="18"/>
                <w:szCs w:val="18"/>
                <w:b w:val="1"/>
                <w:bCs w:val="1"/>
                <w:color w:val="BD03F7"/>
              </w:rPr>
              <w:t>Proposal</w:t>
            </w:r>
          </w:p>
        </w:tc>
        <w:tc>
          <w:tcPr>
            <w:tcW w:w="5800" w:type="dxa"/>
            <w:vAlign w:val="bottom"/>
          </w:tcPr>
          <w:p>
            <w:pPr>
              <w:spacing w:after="0"/>
              <w:rPr>
                <w:sz w:val="15"/>
                <w:szCs w:val="15"/>
                <w:color w:val="auto"/>
              </w:rPr>
            </w:pPr>
          </w:p>
        </w:tc>
        <w:tc>
          <w:tcPr>
            <w:tcW w:w="860" w:type="dxa"/>
            <w:vAlign w:val="bottom"/>
            <w:vMerge w:val="restart"/>
          </w:tcPr>
          <w:p>
            <w:pPr>
              <w:ind w:left="500"/>
              <w:spacing w:after="0" w:line="291" w:lineRule="exact"/>
              <w:rPr>
                <w:sz w:val="20"/>
                <w:szCs w:val="20"/>
                <w:color w:val="auto"/>
              </w:rPr>
            </w:pPr>
            <w:r>
              <w:rPr>
                <w:rFonts w:ascii="MS PGothic" w:cs="MS PGothic" w:eastAsia="MS PGothic" w:hAnsi="MS PGothic"/>
                <w:sz w:val="29"/>
                <w:szCs w:val="29"/>
                <w:color w:val="BD03F7"/>
              </w:rPr>
              <w:t>☑</w:t>
            </w:r>
          </w:p>
        </w:tc>
        <w:tc>
          <w:tcPr>
            <w:tcW w:w="2760" w:type="dxa"/>
            <w:vAlign w:val="bottom"/>
          </w:tcPr>
          <w:p>
            <w:pPr>
              <w:ind w:left="120"/>
              <w:spacing w:after="0" w:line="175" w:lineRule="exact"/>
              <w:rPr>
                <w:sz w:val="20"/>
                <w:szCs w:val="20"/>
                <w:color w:val="auto"/>
              </w:rPr>
            </w:pPr>
            <w:r>
              <w:rPr>
                <w:rFonts w:ascii="Arial" w:cs="Arial" w:eastAsia="Arial" w:hAnsi="Arial"/>
                <w:sz w:val="18"/>
                <w:szCs w:val="18"/>
                <w:color w:val="auto"/>
                <w:w w:val="99"/>
              </w:rPr>
              <w:t>The Board recommends that you</w:t>
            </w:r>
          </w:p>
        </w:tc>
        <w:tc>
          <w:tcPr>
            <w:tcW w:w="0" w:type="dxa"/>
            <w:vAlign w:val="bottom"/>
          </w:tcPr>
          <w:p>
            <w:pPr>
              <w:spacing w:after="0"/>
              <w:rPr>
                <w:sz w:val="1"/>
                <w:szCs w:val="1"/>
                <w:color w:val="auto"/>
              </w:rPr>
            </w:pPr>
          </w:p>
        </w:tc>
      </w:tr>
      <w:tr>
        <w:trPr>
          <w:trHeight w:val="67"/>
        </w:trPr>
        <w:tc>
          <w:tcPr>
            <w:tcW w:w="1660" w:type="dxa"/>
            <w:vAlign w:val="bottom"/>
            <w:tcBorders>
              <w:left w:val="single" w:sz="8" w:color="BD03F7"/>
              <w:right w:val="single" w:sz="8" w:color="BD03F7"/>
            </w:tcBorders>
            <w:vMerge w:val="continue"/>
          </w:tcPr>
          <w:p>
            <w:pPr>
              <w:spacing w:after="0"/>
              <w:rPr>
                <w:sz w:val="5"/>
                <w:szCs w:val="5"/>
                <w:color w:val="auto"/>
              </w:rPr>
            </w:pPr>
          </w:p>
        </w:tc>
        <w:tc>
          <w:tcPr>
            <w:tcW w:w="58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760" w:type="dxa"/>
            <w:vAlign w:val="bottom"/>
            <w:vMerge w:val="restart"/>
          </w:tcPr>
          <w:p>
            <w:pPr>
              <w:ind w:left="120"/>
              <w:spacing w:after="0" w:line="175" w:lineRule="exact"/>
              <w:rPr>
                <w:sz w:val="20"/>
                <w:szCs w:val="20"/>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BD03F7"/>
              </w:rPr>
              <w:t>“FOR”</w:t>
            </w:r>
            <w:r>
              <w:rPr>
                <w:rFonts w:ascii="Arial" w:cs="Arial" w:eastAsia="Arial" w:hAnsi="Arial"/>
                <w:sz w:val="18"/>
                <w:szCs w:val="18"/>
                <w:color w:val="auto"/>
              </w:rPr>
              <w:t xml:space="preserve"> each director</w:t>
            </w:r>
          </w:p>
        </w:tc>
        <w:tc>
          <w:tcPr>
            <w:tcW w:w="0" w:type="dxa"/>
            <w:vAlign w:val="bottom"/>
          </w:tcPr>
          <w:p>
            <w:pPr>
              <w:spacing w:after="0"/>
              <w:rPr>
                <w:sz w:val="1"/>
                <w:szCs w:val="1"/>
                <w:color w:val="auto"/>
              </w:rPr>
            </w:pPr>
          </w:p>
        </w:tc>
      </w:tr>
      <w:tr>
        <w:trPr>
          <w:trHeight w:val="107"/>
        </w:trPr>
        <w:tc>
          <w:tcPr>
            <w:tcW w:w="1660" w:type="dxa"/>
            <w:vAlign w:val="bottom"/>
            <w:tcBorders>
              <w:left w:val="single" w:sz="8" w:color="BD03F7"/>
              <w:right w:val="single" w:sz="8" w:color="BD03F7"/>
            </w:tcBorders>
            <w:vMerge w:val="restart"/>
          </w:tcPr>
          <w:p>
            <w:pPr>
              <w:jc w:val="right"/>
              <w:ind w:right="644"/>
              <w:spacing w:after="0"/>
              <w:rPr>
                <w:sz w:val="20"/>
                <w:szCs w:val="20"/>
                <w:color w:val="auto"/>
              </w:rPr>
            </w:pPr>
            <w:r>
              <w:rPr>
                <w:rFonts w:ascii="Arial" w:cs="Arial" w:eastAsia="Arial" w:hAnsi="Arial"/>
                <w:sz w:val="29"/>
                <w:szCs w:val="29"/>
                <w:b w:val="1"/>
                <w:bCs w:val="1"/>
                <w:color w:val="BD03F7"/>
              </w:rPr>
              <w:t>1</w:t>
            </w:r>
          </w:p>
        </w:tc>
        <w:tc>
          <w:tcPr>
            <w:tcW w:w="5800" w:type="dxa"/>
            <w:vAlign w:val="bottom"/>
            <w:vMerge w:val="restart"/>
          </w:tcPr>
          <w:p>
            <w:pPr>
              <w:spacing w:after="0"/>
              <w:rPr>
                <w:sz w:val="20"/>
                <w:szCs w:val="20"/>
                <w:color w:val="auto"/>
              </w:rPr>
            </w:pPr>
            <w:r>
              <w:rPr>
                <w:rFonts w:ascii="Arial" w:cs="Arial" w:eastAsia="Arial" w:hAnsi="Arial"/>
                <w:sz w:val="21"/>
                <w:szCs w:val="21"/>
                <w:b w:val="1"/>
                <w:bCs w:val="1"/>
                <w:color w:val="BD03F7"/>
              </w:rPr>
              <w:t>To elect eight (8) directors to our Board of Directors</w:t>
            </w:r>
          </w:p>
        </w:tc>
        <w:tc>
          <w:tcPr>
            <w:tcW w:w="860" w:type="dxa"/>
            <w:vAlign w:val="bottom"/>
            <w:vMerge w:val="continue"/>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1660" w:type="dxa"/>
            <w:vAlign w:val="bottom"/>
            <w:tcBorders>
              <w:left w:val="single" w:sz="8" w:color="BD03F7"/>
              <w:bottom w:val="single" w:sz="8" w:color="BD03F7"/>
              <w:right w:val="single" w:sz="8" w:color="BD03F7"/>
            </w:tcBorders>
            <w:vMerge w:val="continue"/>
          </w:tcPr>
          <w:p>
            <w:pPr>
              <w:spacing w:after="0"/>
              <w:rPr>
                <w:sz w:val="21"/>
                <w:szCs w:val="21"/>
                <w:color w:val="auto"/>
              </w:rPr>
            </w:pPr>
          </w:p>
        </w:tc>
        <w:tc>
          <w:tcPr>
            <w:tcW w:w="5800" w:type="dxa"/>
            <w:vAlign w:val="bottom"/>
            <w:tcBorders>
              <w:bottom w:val="single" w:sz="8" w:color="BD03F7"/>
            </w:tcBorders>
            <w:vMerge w:val="continue"/>
          </w:tcPr>
          <w:p>
            <w:pPr>
              <w:spacing w:after="0"/>
              <w:rPr>
                <w:sz w:val="21"/>
                <w:szCs w:val="21"/>
                <w:color w:val="auto"/>
              </w:rPr>
            </w:pPr>
          </w:p>
        </w:tc>
        <w:tc>
          <w:tcPr>
            <w:tcW w:w="860" w:type="dxa"/>
            <w:vAlign w:val="bottom"/>
            <w:tcBorders>
              <w:bottom w:val="single" w:sz="8" w:color="BD03F7"/>
            </w:tcBorders>
            <w:vMerge w:val="continue"/>
          </w:tcPr>
          <w:p>
            <w:pPr>
              <w:spacing w:after="0"/>
              <w:rPr>
                <w:sz w:val="21"/>
                <w:szCs w:val="21"/>
                <w:color w:val="auto"/>
              </w:rPr>
            </w:pPr>
          </w:p>
        </w:tc>
        <w:tc>
          <w:tcPr>
            <w:tcW w:w="2760" w:type="dxa"/>
            <w:vAlign w:val="bottom"/>
            <w:tcBorders>
              <w:bottom w:val="single" w:sz="8" w:color="BD03F7"/>
            </w:tcBorders>
          </w:tcPr>
          <w:p>
            <w:pPr>
              <w:ind w:left="120"/>
              <w:spacing w:after="0"/>
              <w:rPr>
                <w:sz w:val="20"/>
                <w:szCs w:val="20"/>
                <w:color w:val="auto"/>
              </w:rPr>
            </w:pPr>
            <w:r>
              <w:rPr>
                <w:rFonts w:ascii="Arial" w:cs="Arial" w:eastAsia="Arial" w:hAnsi="Arial"/>
                <w:sz w:val="18"/>
                <w:szCs w:val="18"/>
                <w:color w:val="auto"/>
              </w:rPr>
              <w:t>nominee.</w:t>
            </w:r>
          </w:p>
        </w:tc>
        <w:tc>
          <w:tcPr>
            <w:tcW w:w="0" w:type="dxa"/>
            <w:vAlign w:val="bottom"/>
          </w:tcPr>
          <w:p>
            <w:pPr>
              <w:spacing w:after="0"/>
              <w:rPr>
                <w:sz w:val="1"/>
                <w:szCs w:val="1"/>
                <w:color w:val="auto"/>
              </w:rPr>
            </w:pPr>
          </w:p>
        </w:tc>
      </w:tr>
    </w:tbl>
    <w:p>
      <w:pPr>
        <w:jc w:val="both"/>
        <w:ind w:left="20" w:right="240"/>
        <w:spacing w:after="0" w:line="224" w:lineRule="auto"/>
        <w:rPr>
          <w:sz w:val="20"/>
          <w:szCs w:val="20"/>
          <w:color w:val="auto"/>
        </w:rPr>
      </w:pPr>
      <w:r>
        <w:rPr>
          <w:rFonts w:ascii="Arial" w:cs="Arial" w:eastAsia="Arial" w:hAnsi="Arial"/>
          <w:sz w:val="18"/>
          <w:szCs w:val="18"/>
          <w:color w:val="auto"/>
        </w:rPr>
        <w:t xml:space="preserve">To elect eight (8) directors to serve for the ensuing year and until their successors are elected and qualified. Upon the recommendation of our Governance and Sustainability Committee, our Board of Directors has nominated eight (8) current directors as nominees for election. See “Corporate Governance—Proposal 1 - Election of Directors” on page </w:t>
      </w:r>
      <w:r>
        <w:rPr>
          <w:rFonts w:ascii="Arial" w:cs="Arial" w:eastAsia="Arial" w:hAnsi="Arial"/>
          <w:sz w:val="18"/>
          <w:szCs w:val="18"/>
          <w:u w:val="single" w:color="auto"/>
          <w:color w:val="BD03F7"/>
        </w:rPr>
        <w:t>6</w:t>
      </w:r>
      <w:r>
        <w:rPr>
          <w:rFonts w:ascii="Arial" w:cs="Arial" w:eastAsia="Arial" w:hAnsi="Arial"/>
          <w:sz w:val="18"/>
          <w:szCs w:val="18"/>
          <w:color w:val="BD03F7"/>
        </w:rPr>
        <w:t>.</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6D6D6D"/>
        </w:rPr>
        <w:t>OUR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88900</wp:posOffset>
            </wp:positionV>
            <wp:extent cx="759460" cy="1015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9460" cy="101536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Lynn A. Dugle</w:t>
            </w:r>
          </w:p>
        </w:tc>
        <w:tc>
          <w:tcPr>
            <w:tcW w:w="280" w:type="dxa"/>
            <w:vAlign w:val="bottom"/>
          </w:tcPr>
          <w:p>
            <w:pPr>
              <w:spacing w:after="0"/>
              <w:rPr>
                <w:sz w:val="24"/>
                <w:szCs w:val="24"/>
                <w:color w:val="auto"/>
              </w:rPr>
            </w:pPr>
          </w:p>
        </w:tc>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Sanjay Mehrotra</w:t>
            </w:r>
          </w:p>
        </w:tc>
      </w:tr>
      <w:tr>
        <w:trPr>
          <w:trHeight w:val="498"/>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Micron’s Lead Independent Director;</w:t>
            </w:r>
          </w:p>
        </w:tc>
        <w:tc>
          <w:tcPr>
            <w:tcW w:w="280" w:type="dxa"/>
            <w:vAlign w:val="bottom"/>
          </w:tcPr>
          <w:p>
            <w:pPr>
              <w:spacing w:after="0"/>
              <w:rPr>
                <w:sz w:val="24"/>
                <w:szCs w:val="24"/>
                <w:color w:val="auto"/>
              </w:rPr>
            </w:pPr>
          </w:p>
        </w:tc>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w w:val="99"/>
              </w:rPr>
              <w:t>Micron’s Chairman, President and Chief</w:t>
            </w:r>
          </w:p>
        </w:tc>
      </w:tr>
      <w:tr>
        <w:trPr>
          <w:trHeight w:val="183"/>
        </w:trPr>
        <w:tc>
          <w:tcPr>
            <w:tcW w:w="5420" w:type="dxa"/>
            <w:vAlign w:val="bottom"/>
            <w:shd w:val="clear" w:color="auto" w:fill="F9F9F9"/>
          </w:tcPr>
          <w:p>
            <w:pPr>
              <w:ind w:left="2220"/>
              <w:spacing w:after="0" w:line="182" w:lineRule="exact"/>
              <w:rPr>
                <w:sz w:val="20"/>
                <w:szCs w:val="20"/>
                <w:color w:val="auto"/>
              </w:rPr>
            </w:pPr>
            <w:r>
              <w:rPr>
                <w:rFonts w:ascii="Arial" w:cs="Arial" w:eastAsia="Arial" w:hAnsi="Arial"/>
                <w:sz w:val="18"/>
                <w:szCs w:val="18"/>
                <w:color w:val="auto"/>
              </w:rPr>
              <w:t>Former Chairman, Chief Executive</w:t>
            </w:r>
          </w:p>
        </w:tc>
        <w:tc>
          <w:tcPr>
            <w:tcW w:w="280" w:type="dxa"/>
            <w:vAlign w:val="bottom"/>
          </w:tcPr>
          <w:p>
            <w:pPr>
              <w:spacing w:after="0"/>
              <w:rPr>
                <w:sz w:val="15"/>
                <w:szCs w:val="15"/>
                <w:color w:val="auto"/>
              </w:rPr>
            </w:pPr>
          </w:p>
        </w:tc>
        <w:tc>
          <w:tcPr>
            <w:tcW w:w="5420" w:type="dxa"/>
            <w:vAlign w:val="bottom"/>
            <w:shd w:val="clear" w:color="auto" w:fill="F9F9F9"/>
          </w:tcPr>
          <w:p>
            <w:pPr>
              <w:ind w:left="2220"/>
              <w:spacing w:after="0" w:line="182" w:lineRule="exact"/>
              <w:rPr>
                <w:sz w:val="20"/>
                <w:szCs w:val="20"/>
                <w:color w:val="auto"/>
              </w:rPr>
            </w:pPr>
            <w:r>
              <w:rPr>
                <w:rFonts w:ascii="Arial" w:cs="Arial" w:eastAsia="Arial" w:hAnsi="Arial"/>
                <w:sz w:val="18"/>
                <w:szCs w:val="18"/>
                <w:color w:val="auto"/>
              </w:rPr>
              <w:t>Executive Officer</w:t>
            </w:r>
          </w:p>
        </w:tc>
      </w:tr>
      <w:tr>
        <w:trPr>
          <w:trHeight w:val="180"/>
        </w:trPr>
        <w:tc>
          <w:tcPr>
            <w:tcW w:w="5420" w:type="dxa"/>
            <w:vAlign w:val="bottom"/>
            <w:shd w:val="clear" w:color="auto" w:fill="F9F9F9"/>
          </w:tcPr>
          <w:p>
            <w:pPr>
              <w:ind w:left="2220"/>
              <w:spacing w:after="0" w:line="180" w:lineRule="exact"/>
              <w:rPr>
                <w:sz w:val="20"/>
                <w:szCs w:val="20"/>
                <w:color w:val="auto"/>
              </w:rPr>
            </w:pPr>
            <w:r>
              <w:rPr>
                <w:rFonts w:ascii="Arial" w:cs="Arial" w:eastAsia="Arial" w:hAnsi="Arial"/>
                <w:sz w:val="18"/>
                <w:szCs w:val="18"/>
                <w:color w:val="auto"/>
              </w:rPr>
              <w:t>Officer, and President of Engility</w:t>
            </w:r>
          </w:p>
        </w:tc>
        <w:tc>
          <w:tcPr>
            <w:tcW w:w="280" w:type="dxa"/>
            <w:vAlign w:val="bottom"/>
          </w:tcPr>
          <w:p>
            <w:pPr>
              <w:spacing w:after="0"/>
              <w:rPr>
                <w:sz w:val="15"/>
                <w:szCs w:val="15"/>
                <w:color w:val="auto"/>
              </w:rPr>
            </w:pPr>
          </w:p>
        </w:tc>
        <w:tc>
          <w:tcPr>
            <w:tcW w:w="5420" w:type="dxa"/>
            <w:vAlign w:val="bottom"/>
            <w:shd w:val="clear" w:color="auto" w:fill="F9F9F9"/>
          </w:tcPr>
          <w:p>
            <w:pPr>
              <w:spacing w:after="0"/>
              <w:rPr>
                <w:sz w:val="15"/>
                <w:szCs w:val="15"/>
                <w:color w:val="auto"/>
              </w:rPr>
            </w:pPr>
          </w:p>
        </w:tc>
      </w:tr>
      <w:tr>
        <w:trPr>
          <w:trHeight w:val="238"/>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Holdings Inc.</w:t>
            </w:r>
          </w:p>
        </w:tc>
        <w:tc>
          <w:tcPr>
            <w:tcW w:w="280" w:type="dxa"/>
            <w:vAlign w:val="bottom"/>
          </w:tcPr>
          <w:p>
            <w:pPr>
              <w:spacing w:after="0"/>
              <w:rPr>
                <w:sz w:val="20"/>
                <w:szCs w:val="20"/>
                <w:color w:val="auto"/>
              </w:rPr>
            </w:pPr>
          </w:p>
        </w:tc>
        <w:tc>
          <w:tcPr>
            <w:tcW w:w="5420" w:type="dxa"/>
            <w:vAlign w:val="bottom"/>
            <w:shd w:val="clear" w:color="auto" w:fill="F9F9F9"/>
          </w:tcPr>
          <w:p>
            <w:pPr>
              <w:spacing w:after="0"/>
              <w:rPr>
                <w:sz w:val="20"/>
                <w:szCs w:val="20"/>
                <w:color w:val="auto"/>
              </w:rPr>
            </w:pPr>
          </w:p>
        </w:tc>
      </w:tr>
      <w:tr>
        <w:trPr>
          <w:trHeight w:val="246"/>
        </w:trPr>
        <w:tc>
          <w:tcPr>
            <w:tcW w:w="5420" w:type="dxa"/>
            <w:vAlign w:val="bottom"/>
            <w:shd w:val="clear" w:color="auto" w:fill="F9F9F9"/>
          </w:tcPr>
          <w:p>
            <w:pPr>
              <w:spacing w:after="0"/>
              <w:rPr>
                <w:sz w:val="21"/>
                <w:szCs w:val="21"/>
                <w:color w:val="auto"/>
              </w:rPr>
            </w:pPr>
          </w:p>
        </w:tc>
        <w:tc>
          <w:tcPr>
            <w:tcW w:w="280" w:type="dxa"/>
            <w:vAlign w:val="bottom"/>
          </w:tcPr>
          <w:p>
            <w:pPr>
              <w:spacing w:after="0"/>
              <w:rPr>
                <w:sz w:val="21"/>
                <w:szCs w:val="21"/>
                <w:color w:val="auto"/>
              </w:rPr>
            </w:pPr>
          </w:p>
        </w:tc>
        <w:tc>
          <w:tcPr>
            <w:tcW w:w="5420" w:type="dxa"/>
            <w:vAlign w:val="bottom"/>
            <w:shd w:val="clear" w:color="auto" w:fill="F9F9F9"/>
          </w:tcPr>
          <w:p>
            <w:pPr>
              <w:spacing w:after="0"/>
              <w:rPr>
                <w:sz w:val="21"/>
                <w:szCs w:val="21"/>
                <w:color w:val="auto"/>
              </w:rPr>
            </w:pPr>
          </w:p>
        </w:tc>
      </w:tr>
      <w:tr>
        <w:trPr>
          <w:trHeight w:val="94"/>
        </w:trPr>
        <w:tc>
          <w:tcPr>
            <w:tcW w:w="5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20" w:type="dxa"/>
            <w:vAlign w:val="bottom"/>
          </w:tcPr>
          <w:p>
            <w:pPr>
              <w:spacing w:after="0"/>
              <w:rPr>
                <w:sz w:val="8"/>
                <w:szCs w:val="8"/>
                <w:color w:val="auto"/>
              </w:rPr>
            </w:pPr>
          </w:p>
        </w:tc>
      </w:tr>
      <w:tr>
        <w:trPr>
          <w:trHeight w:val="375"/>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Steven J. Gomo</w:t>
            </w:r>
          </w:p>
        </w:tc>
        <w:tc>
          <w:tcPr>
            <w:tcW w:w="280" w:type="dxa"/>
            <w:vAlign w:val="bottom"/>
          </w:tcPr>
          <w:p>
            <w:pPr>
              <w:spacing w:after="0"/>
              <w:rPr>
                <w:sz w:val="24"/>
                <w:szCs w:val="24"/>
                <w:color w:val="auto"/>
              </w:rPr>
            </w:pPr>
          </w:p>
        </w:tc>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A. Christine Simons</w:t>
            </w:r>
          </w:p>
        </w:tc>
      </w:tr>
      <w:tr>
        <w:trPr>
          <w:trHeight w:val="539"/>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Former Executive Vice President,</w:t>
            </w:r>
          </w:p>
        </w:tc>
        <w:tc>
          <w:tcPr>
            <w:tcW w:w="280" w:type="dxa"/>
            <w:vAlign w:val="bottom"/>
          </w:tcPr>
          <w:p>
            <w:pPr>
              <w:spacing w:after="0"/>
              <w:rPr>
                <w:sz w:val="24"/>
                <w:szCs w:val="24"/>
                <w:color w:val="auto"/>
              </w:rPr>
            </w:pPr>
          </w:p>
        </w:tc>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Former Audit &amp; Assurance partner of</w:t>
            </w:r>
          </w:p>
        </w:tc>
      </w:tr>
      <w:tr>
        <w:trPr>
          <w:trHeight w:val="183"/>
        </w:trPr>
        <w:tc>
          <w:tcPr>
            <w:tcW w:w="5420" w:type="dxa"/>
            <w:vAlign w:val="bottom"/>
            <w:shd w:val="clear" w:color="auto" w:fill="F9F9F9"/>
          </w:tcPr>
          <w:p>
            <w:pPr>
              <w:ind w:left="2220"/>
              <w:spacing w:after="0" w:line="182" w:lineRule="exact"/>
              <w:rPr>
                <w:sz w:val="20"/>
                <w:szCs w:val="20"/>
                <w:color w:val="auto"/>
              </w:rPr>
            </w:pPr>
            <w:r>
              <w:rPr>
                <w:rFonts w:ascii="Arial" w:cs="Arial" w:eastAsia="Arial" w:hAnsi="Arial"/>
                <w:sz w:val="18"/>
                <w:szCs w:val="18"/>
                <w:color w:val="auto"/>
              </w:rPr>
              <w:t>Finance and Chief Financial Officer of</w:t>
            </w:r>
          </w:p>
        </w:tc>
        <w:tc>
          <w:tcPr>
            <w:tcW w:w="280" w:type="dxa"/>
            <w:vAlign w:val="bottom"/>
          </w:tcPr>
          <w:p>
            <w:pPr>
              <w:spacing w:after="0"/>
              <w:rPr>
                <w:sz w:val="15"/>
                <w:szCs w:val="15"/>
                <w:color w:val="auto"/>
              </w:rPr>
            </w:pPr>
          </w:p>
        </w:tc>
        <w:tc>
          <w:tcPr>
            <w:tcW w:w="5420" w:type="dxa"/>
            <w:vAlign w:val="bottom"/>
            <w:shd w:val="clear" w:color="auto" w:fill="F9F9F9"/>
          </w:tcPr>
          <w:p>
            <w:pPr>
              <w:ind w:left="2220"/>
              <w:spacing w:after="0" w:line="182" w:lineRule="exact"/>
              <w:rPr>
                <w:sz w:val="20"/>
                <w:szCs w:val="20"/>
                <w:color w:val="auto"/>
              </w:rPr>
            </w:pPr>
            <w:r>
              <w:rPr>
                <w:rFonts w:ascii="Arial" w:cs="Arial" w:eastAsia="Arial" w:hAnsi="Arial"/>
                <w:sz w:val="18"/>
                <w:szCs w:val="18"/>
                <w:color w:val="auto"/>
              </w:rPr>
              <w:t>Deloitte &amp; Touche LLP</w:t>
            </w:r>
          </w:p>
        </w:tc>
      </w:tr>
      <w:tr>
        <w:trPr>
          <w:trHeight w:val="238"/>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NetApp, Inc.</w:t>
            </w:r>
          </w:p>
        </w:tc>
        <w:tc>
          <w:tcPr>
            <w:tcW w:w="280" w:type="dxa"/>
            <w:vAlign w:val="bottom"/>
          </w:tcPr>
          <w:p>
            <w:pPr>
              <w:spacing w:after="0"/>
              <w:rPr>
                <w:sz w:val="20"/>
                <w:szCs w:val="20"/>
                <w:color w:val="auto"/>
              </w:rPr>
            </w:pPr>
          </w:p>
        </w:tc>
        <w:tc>
          <w:tcPr>
            <w:tcW w:w="5420" w:type="dxa"/>
            <w:vAlign w:val="bottom"/>
            <w:shd w:val="clear" w:color="auto" w:fill="F9F9F9"/>
          </w:tcPr>
          <w:p>
            <w:pPr>
              <w:spacing w:after="0"/>
              <w:rPr>
                <w:sz w:val="20"/>
                <w:szCs w:val="20"/>
                <w:color w:val="auto"/>
              </w:rPr>
            </w:pPr>
          </w:p>
        </w:tc>
      </w:tr>
      <w:tr>
        <w:trPr>
          <w:trHeight w:val="426"/>
        </w:trPr>
        <w:tc>
          <w:tcPr>
            <w:tcW w:w="5420" w:type="dxa"/>
            <w:vAlign w:val="bottom"/>
            <w:shd w:val="clear" w:color="auto" w:fill="F9F9F9"/>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shd w:val="clear" w:color="auto" w:fill="F9F9F9"/>
          </w:tcPr>
          <w:p>
            <w:pPr>
              <w:spacing w:after="0"/>
              <w:rPr>
                <w:sz w:val="24"/>
                <w:szCs w:val="24"/>
                <w:color w:val="auto"/>
              </w:rPr>
            </w:pPr>
          </w:p>
        </w:tc>
      </w:tr>
      <w:tr>
        <w:trPr>
          <w:trHeight w:val="94"/>
        </w:trPr>
        <w:tc>
          <w:tcPr>
            <w:tcW w:w="5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20" w:type="dxa"/>
            <w:vAlign w:val="bottom"/>
          </w:tcPr>
          <w:p>
            <w:pPr>
              <w:spacing w:after="0"/>
              <w:rPr>
                <w:sz w:val="8"/>
                <w:szCs w:val="8"/>
                <w:color w:val="auto"/>
              </w:rPr>
            </w:pPr>
          </w:p>
        </w:tc>
      </w:tr>
      <w:tr>
        <w:trPr>
          <w:trHeight w:val="294"/>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Linnie M. Haynesworth</w:t>
            </w:r>
          </w:p>
        </w:tc>
        <w:tc>
          <w:tcPr>
            <w:tcW w:w="280" w:type="dxa"/>
            <w:vAlign w:val="bottom"/>
          </w:tcPr>
          <w:p>
            <w:pPr>
              <w:spacing w:after="0"/>
              <w:rPr>
                <w:sz w:val="24"/>
                <w:szCs w:val="24"/>
                <w:color w:val="auto"/>
              </w:rPr>
            </w:pPr>
          </w:p>
        </w:tc>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Robert H. Swan</w:t>
            </w:r>
          </w:p>
        </w:tc>
      </w:tr>
      <w:tr>
        <w:trPr>
          <w:trHeight w:val="458"/>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Former Sector Vice President, Cyber</w:t>
            </w:r>
          </w:p>
        </w:tc>
        <w:tc>
          <w:tcPr>
            <w:tcW w:w="280" w:type="dxa"/>
            <w:vAlign w:val="bottom"/>
          </w:tcPr>
          <w:p>
            <w:pPr>
              <w:spacing w:after="0"/>
              <w:rPr>
                <w:sz w:val="24"/>
                <w:szCs w:val="24"/>
                <w:color w:val="auto"/>
              </w:rPr>
            </w:pPr>
          </w:p>
        </w:tc>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Operating Partner at Andreessen</w:t>
            </w:r>
          </w:p>
        </w:tc>
      </w:tr>
      <w:tr>
        <w:trPr>
          <w:trHeight w:val="183"/>
        </w:trPr>
        <w:tc>
          <w:tcPr>
            <w:tcW w:w="5420" w:type="dxa"/>
            <w:vAlign w:val="bottom"/>
            <w:shd w:val="clear" w:color="auto" w:fill="F9F9F9"/>
          </w:tcPr>
          <w:p>
            <w:pPr>
              <w:ind w:left="2220"/>
              <w:spacing w:after="0" w:line="182" w:lineRule="exact"/>
              <w:rPr>
                <w:sz w:val="20"/>
                <w:szCs w:val="20"/>
                <w:color w:val="auto"/>
              </w:rPr>
            </w:pPr>
            <w:r>
              <w:rPr>
                <w:rFonts w:ascii="Arial" w:cs="Arial" w:eastAsia="Arial" w:hAnsi="Arial"/>
                <w:sz w:val="18"/>
                <w:szCs w:val="18"/>
                <w:color w:val="auto"/>
              </w:rPr>
              <w:t>and Intelligence of Mission Solutions</w:t>
            </w:r>
          </w:p>
        </w:tc>
        <w:tc>
          <w:tcPr>
            <w:tcW w:w="280" w:type="dxa"/>
            <w:vAlign w:val="bottom"/>
          </w:tcPr>
          <w:p>
            <w:pPr>
              <w:spacing w:after="0"/>
              <w:rPr>
                <w:sz w:val="15"/>
                <w:szCs w:val="15"/>
                <w:color w:val="auto"/>
              </w:rPr>
            </w:pPr>
          </w:p>
        </w:tc>
        <w:tc>
          <w:tcPr>
            <w:tcW w:w="5420" w:type="dxa"/>
            <w:vAlign w:val="bottom"/>
            <w:shd w:val="clear" w:color="auto" w:fill="F9F9F9"/>
          </w:tcPr>
          <w:p>
            <w:pPr>
              <w:ind w:left="2220"/>
              <w:spacing w:after="0" w:line="182" w:lineRule="exact"/>
              <w:rPr>
                <w:sz w:val="20"/>
                <w:szCs w:val="20"/>
                <w:color w:val="auto"/>
              </w:rPr>
            </w:pPr>
            <w:r>
              <w:rPr>
                <w:rFonts w:ascii="Arial" w:cs="Arial" w:eastAsia="Arial" w:hAnsi="Arial"/>
                <w:sz w:val="18"/>
                <w:szCs w:val="18"/>
                <w:color w:val="auto"/>
              </w:rPr>
              <w:t>Horowitz; Former Chief Executive</w:t>
            </w:r>
          </w:p>
        </w:tc>
      </w:tr>
      <w:tr>
        <w:trPr>
          <w:trHeight w:val="180"/>
        </w:trPr>
        <w:tc>
          <w:tcPr>
            <w:tcW w:w="5420" w:type="dxa"/>
            <w:vAlign w:val="bottom"/>
            <w:shd w:val="clear" w:color="auto" w:fill="F9F9F9"/>
          </w:tcPr>
          <w:p>
            <w:pPr>
              <w:ind w:left="2220"/>
              <w:spacing w:after="0" w:line="180" w:lineRule="exact"/>
              <w:rPr>
                <w:sz w:val="20"/>
                <w:szCs w:val="20"/>
                <w:color w:val="auto"/>
              </w:rPr>
            </w:pPr>
            <w:r>
              <w:rPr>
                <w:rFonts w:ascii="Arial" w:cs="Arial" w:eastAsia="Arial" w:hAnsi="Arial"/>
                <w:sz w:val="18"/>
                <w:szCs w:val="18"/>
                <w:color w:val="auto"/>
              </w:rPr>
              <w:t>Division at Northrop Grumman</w:t>
            </w:r>
          </w:p>
        </w:tc>
        <w:tc>
          <w:tcPr>
            <w:tcW w:w="280" w:type="dxa"/>
            <w:vAlign w:val="bottom"/>
          </w:tcPr>
          <w:p>
            <w:pPr>
              <w:spacing w:after="0"/>
              <w:rPr>
                <w:sz w:val="15"/>
                <w:szCs w:val="15"/>
                <w:color w:val="auto"/>
              </w:rPr>
            </w:pPr>
          </w:p>
        </w:tc>
        <w:tc>
          <w:tcPr>
            <w:tcW w:w="5420" w:type="dxa"/>
            <w:vAlign w:val="bottom"/>
            <w:shd w:val="clear" w:color="auto" w:fill="F9F9F9"/>
          </w:tcPr>
          <w:p>
            <w:pPr>
              <w:ind w:left="2220"/>
              <w:spacing w:after="0" w:line="180" w:lineRule="exact"/>
              <w:rPr>
                <w:sz w:val="20"/>
                <w:szCs w:val="20"/>
                <w:color w:val="auto"/>
              </w:rPr>
            </w:pPr>
            <w:r>
              <w:rPr>
                <w:rFonts w:ascii="Arial" w:cs="Arial" w:eastAsia="Arial" w:hAnsi="Arial"/>
                <w:sz w:val="18"/>
                <w:szCs w:val="18"/>
                <w:color w:val="auto"/>
              </w:rPr>
              <w:t>Officer and Chief Financial Officer of</w:t>
            </w:r>
          </w:p>
        </w:tc>
      </w:tr>
      <w:tr>
        <w:trPr>
          <w:trHeight w:val="238"/>
        </w:trPr>
        <w:tc>
          <w:tcPr>
            <w:tcW w:w="5420" w:type="dxa"/>
            <w:vAlign w:val="bottom"/>
            <w:shd w:val="clear" w:color="auto" w:fill="F9F9F9"/>
          </w:tcPr>
          <w:p>
            <w:pPr>
              <w:spacing w:after="0"/>
              <w:rPr>
                <w:sz w:val="20"/>
                <w:szCs w:val="20"/>
                <w:color w:val="auto"/>
              </w:rPr>
            </w:pPr>
          </w:p>
        </w:tc>
        <w:tc>
          <w:tcPr>
            <w:tcW w:w="280" w:type="dxa"/>
            <w:vAlign w:val="bottom"/>
          </w:tcPr>
          <w:p>
            <w:pPr>
              <w:spacing w:after="0"/>
              <w:rPr>
                <w:sz w:val="20"/>
                <w:szCs w:val="20"/>
                <w:color w:val="auto"/>
              </w:rPr>
            </w:pPr>
          </w:p>
        </w:tc>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Intel Corporation</w:t>
            </w:r>
          </w:p>
        </w:tc>
      </w:tr>
      <w:tr>
        <w:trPr>
          <w:trHeight w:val="393"/>
        </w:trPr>
        <w:tc>
          <w:tcPr>
            <w:tcW w:w="5420" w:type="dxa"/>
            <w:vAlign w:val="bottom"/>
            <w:shd w:val="clear" w:color="auto" w:fill="F9F9F9"/>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shd w:val="clear" w:color="auto" w:fill="F9F9F9"/>
          </w:tcPr>
          <w:p>
            <w:pPr>
              <w:spacing w:after="0"/>
              <w:rPr>
                <w:sz w:val="24"/>
                <w:szCs w:val="24"/>
                <w:color w:val="auto"/>
              </w:rPr>
            </w:pPr>
          </w:p>
        </w:tc>
      </w:tr>
      <w:tr>
        <w:trPr>
          <w:trHeight w:val="94"/>
        </w:trPr>
        <w:tc>
          <w:tcPr>
            <w:tcW w:w="5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20" w:type="dxa"/>
            <w:vAlign w:val="bottom"/>
          </w:tcPr>
          <w:p>
            <w:pPr>
              <w:spacing w:after="0"/>
              <w:rPr>
                <w:sz w:val="8"/>
                <w:szCs w:val="8"/>
                <w:color w:val="auto"/>
              </w:rPr>
            </w:pPr>
          </w:p>
        </w:tc>
      </w:tr>
      <w:tr>
        <w:trPr>
          <w:trHeight w:val="294"/>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T. Mark Liu</w:t>
            </w:r>
          </w:p>
        </w:tc>
        <w:tc>
          <w:tcPr>
            <w:tcW w:w="280" w:type="dxa"/>
            <w:vAlign w:val="bottom"/>
          </w:tcPr>
          <w:p>
            <w:pPr>
              <w:spacing w:after="0"/>
              <w:rPr>
                <w:sz w:val="24"/>
                <w:szCs w:val="24"/>
                <w:color w:val="auto"/>
              </w:rPr>
            </w:pPr>
          </w:p>
        </w:tc>
        <w:tc>
          <w:tcPr>
            <w:tcW w:w="5420" w:type="dxa"/>
            <w:vAlign w:val="bottom"/>
            <w:shd w:val="clear" w:color="auto" w:fill="F9F9F9"/>
          </w:tcPr>
          <w:p>
            <w:pPr>
              <w:ind w:left="2220"/>
              <w:spacing w:after="0"/>
              <w:rPr>
                <w:sz w:val="20"/>
                <w:szCs w:val="20"/>
                <w:color w:val="auto"/>
              </w:rPr>
            </w:pPr>
            <w:r>
              <w:rPr>
                <w:rFonts w:ascii="Arial" w:cs="Arial" w:eastAsia="Arial" w:hAnsi="Arial"/>
                <w:sz w:val="18"/>
                <w:szCs w:val="18"/>
                <w:b w:val="1"/>
                <w:bCs w:val="1"/>
                <w:color w:val="BD03F7"/>
              </w:rPr>
              <w:t>MaryAnn Wright</w:t>
            </w:r>
          </w:p>
        </w:tc>
      </w:tr>
      <w:tr>
        <w:trPr>
          <w:trHeight w:val="445"/>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Founder and Chairman of J&amp;M Copper</w:t>
            </w:r>
          </w:p>
        </w:tc>
        <w:tc>
          <w:tcPr>
            <w:tcW w:w="280" w:type="dxa"/>
            <w:vAlign w:val="bottom"/>
          </w:tcPr>
          <w:p>
            <w:pPr>
              <w:spacing w:after="0"/>
              <w:rPr>
                <w:sz w:val="24"/>
                <w:szCs w:val="24"/>
                <w:color w:val="auto"/>
              </w:rPr>
            </w:pPr>
          </w:p>
        </w:tc>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Former Group Vice President</w:t>
            </w:r>
          </w:p>
        </w:tc>
      </w:tr>
      <w:tr>
        <w:trPr>
          <w:trHeight w:val="183"/>
        </w:trPr>
        <w:tc>
          <w:tcPr>
            <w:tcW w:w="5420" w:type="dxa"/>
            <w:vAlign w:val="bottom"/>
            <w:shd w:val="clear" w:color="auto" w:fill="F9F9F9"/>
          </w:tcPr>
          <w:p>
            <w:pPr>
              <w:ind w:left="2220"/>
              <w:spacing w:after="0" w:line="182" w:lineRule="exact"/>
              <w:rPr>
                <w:sz w:val="20"/>
                <w:szCs w:val="20"/>
                <w:color w:val="auto"/>
              </w:rPr>
            </w:pPr>
            <w:r>
              <w:rPr>
                <w:rFonts w:ascii="Arial" w:cs="Arial" w:eastAsia="Arial" w:hAnsi="Arial"/>
                <w:sz w:val="18"/>
                <w:szCs w:val="18"/>
                <w:color w:val="auto"/>
              </w:rPr>
              <w:t>Beech Ventures and Former Chairman</w:t>
            </w:r>
          </w:p>
        </w:tc>
        <w:tc>
          <w:tcPr>
            <w:tcW w:w="280" w:type="dxa"/>
            <w:vAlign w:val="bottom"/>
          </w:tcPr>
          <w:p>
            <w:pPr>
              <w:spacing w:after="0"/>
              <w:rPr>
                <w:sz w:val="15"/>
                <w:szCs w:val="15"/>
                <w:color w:val="auto"/>
              </w:rPr>
            </w:pPr>
          </w:p>
        </w:tc>
        <w:tc>
          <w:tcPr>
            <w:tcW w:w="5420" w:type="dxa"/>
            <w:vAlign w:val="bottom"/>
            <w:shd w:val="clear" w:color="auto" w:fill="F9F9F9"/>
          </w:tcPr>
          <w:p>
            <w:pPr>
              <w:ind w:left="2220"/>
              <w:spacing w:after="0" w:line="182" w:lineRule="exact"/>
              <w:rPr>
                <w:sz w:val="20"/>
                <w:szCs w:val="20"/>
                <w:color w:val="auto"/>
              </w:rPr>
            </w:pPr>
            <w:r>
              <w:rPr>
                <w:rFonts w:ascii="Arial" w:cs="Arial" w:eastAsia="Arial" w:hAnsi="Arial"/>
                <w:sz w:val="18"/>
                <w:szCs w:val="18"/>
                <w:color w:val="auto"/>
              </w:rPr>
              <w:t>of Engineering and Product</w:t>
            </w:r>
          </w:p>
        </w:tc>
      </w:tr>
      <w:tr>
        <w:trPr>
          <w:trHeight w:val="180"/>
        </w:trPr>
        <w:tc>
          <w:tcPr>
            <w:tcW w:w="5420" w:type="dxa"/>
            <w:vAlign w:val="bottom"/>
            <w:shd w:val="clear" w:color="auto" w:fill="F9F9F9"/>
          </w:tcPr>
          <w:p>
            <w:pPr>
              <w:ind w:left="2220"/>
              <w:spacing w:after="0" w:line="180" w:lineRule="exact"/>
              <w:rPr>
                <w:sz w:val="20"/>
                <w:szCs w:val="20"/>
                <w:color w:val="auto"/>
              </w:rPr>
            </w:pPr>
            <w:r>
              <w:rPr>
                <w:rFonts w:ascii="Arial" w:cs="Arial" w:eastAsia="Arial" w:hAnsi="Arial"/>
                <w:sz w:val="18"/>
                <w:szCs w:val="18"/>
                <w:color w:val="auto"/>
                <w:w w:val="98"/>
              </w:rPr>
              <w:t>of Taiwan Semiconductor Manufacturing</w:t>
            </w:r>
          </w:p>
        </w:tc>
        <w:tc>
          <w:tcPr>
            <w:tcW w:w="280" w:type="dxa"/>
            <w:vAlign w:val="bottom"/>
          </w:tcPr>
          <w:p>
            <w:pPr>
              <w:spacing w:after="0"/>
              <w:rPr>
                <w:sz w:val="15"/>
                <w:szCs w:val="15"/>
                <w:color w:val="auto"/>
              </w:rPr>
            </w:pPr>
          </w:p>
        </w:tc>
        <w:tc>
          <w:tcPr>
            <w:tcW w:w="5420" w:type="dxa"/>
            <w:vAlign w:val="bottom"/>
            <w:shd w:val="clear" w:color="auto" w:fill="F9F9F9"/>
          </w:tcPr>
          <w:p>
            <w:pPr>
              <w:ind w:left="2220"/>
              <w:spacing w:after="0" w:line="180" w:lineRule="exact"/>
              <w:rPr>
                <w:sz w:val="20"/>
                <w:szCs w:val="20"/>
                <w:color w:val="auto"/>
              </w:rPr>
            </w:pPr>
            <w:r>
              <w:rPr>
                <w:rFonts w:ascii="Arial" w:cs="Arial" w:eastAsia="Arial" w:hAnsi="Arial"/>
                <w:sz w:val="18"/>
                <w:szCs w:val="18"/>
                <w:color w:val="auto"/>
              </w:rPr>
              <w:t>Development of Johnson Controls</w:t>
            </w:r>
          </w:p>
        </w:tc>
      </w:tr>
      <w:tr>
        <w:trPr>
          <w:trHeight w:val="238"/>
        </w:trPr>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Company Limited</w:t>
            </w:r>
          </w:p>
        </w:tc>
        <w:tc>
          <w:tcPr>
            <w:tcW w:w="280" w:type="dxa"/>
            <w:vAlign w:val="bottom"/>
          </w:tcPr>
          <w:p>
            <w:pPr>
              <w:spacing w:after="0"/>
              <w:rPr>
                <w:sz w:val="20"/>
                <w:szCs w:val="20"/>
                <w:color w:val="auto"/>
              </w:rPr>
            </w:pPr>
          </w:p>
        </w:tc>
        <w:tc>
          <w:tcPr>
            <w:tcW w:w="5420" w:type="dxa"/>
            <w:vAlign w:val="bottom"/>
            <w:shd w:val="clear" w:color="auto" w:fill="F9F9F9"/>
          </w:tcPr>
          <w:p>
            <w:pPr>
              <w:ind w:left="2220"/>
              <w:spacing w:after="0"/>
              <w:rPr>
                <w:sz w:val="20"/>
                <w:szCs w:val="20"/>
                <w:color w:val="auto"/>
              </w:rPr>
            </w:pPr>
            <w:r>
              <w:rPr>
                <w:rFonts w:ascii="Arial" w:cs="Arial" w:eastAsia="Arial" w:hAnsi="Arial"/>
                <w:sz w:val="18"/>
                <w:szCs w:val="18"/>
                <w:color w:val="auto"/>
              </w:rPr>
              <w:t>International</w:t>
            </w:r>
          </w:p>
        </w:tc>
      </w:tr>
      <w:tr>
        <w:trPr>
          <w:trHeight w:val="340"/>
        </w:trPr>
        <w:tc>
          <w:tcPr>
            <w:tcW w:w="5420" w:type="dxa"/>
            <w:vAlign w:val="bottom"/>
            <w:shd w:val="clear" w:color="auto" w:fill="F9F9F9"/>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shd w:val="clear" w:color="auto" w:fill="F9F9F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-4538345</wp:posOffset>
            </wp:positionV>
            <wp:extent cx="4402455" cy="4479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02455" cy="44792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-4538345</wp:posOffset>
            </wp:positionV>
            <wp:extent cx="4402455" cy="4479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02455" cy="447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083" w:right="459" w:bottom="1440" w:gutter="0" w:footer="0" w:header="0"/>
        </w:sectPr>
      </w:pPr>
    </w:p>
    <w:bookmarkStart w:id="7" w:name="page8"/>
    <w:bookmarkEnd w:id="7"/>
    <w:tbl>
      <w:tblPr>
        <w:tblLayout w:type="fixed"/>
        <w:tblInd w:w="90" w:type="dxa"/>
        <w:tblCellMar>
          <w:top w:w="0" w:type="dxa"/>
          <w:left w:w="0" w:type="dxa"/>
          <w:bottom w:w="0" w:type="dxa"/>
          <w:right w:w="0" w:type="dxa"/>
        </w:tblCellMar>
      </w:tblPr>
      <w:tr>
        <w:trPr>
          <w:trHeight w:val="255"/>
        </w:trPr>
        <w:tc>
          <w:tcPr>
            <w:tcW w:w="1660" w:type="dxa"/>
            <w:vAlign w:val="bottom"/>
            <w:tcBorders>
              <w:top w:val="single" w:sz="8" w:color="BD03F7"/>
              <w:left w:val="single" w:sz="8" w:color="BD03F7"/>
              <w:right w:val="single" w:sz="8" w:color="BD03F7"/>
            </w:tcBorders>
          </w:tcPr>
          <w:p>
            <w:pPr>
              <w:jc w:val="center"/>
              <w:spacing w:after="0"/>
              <w:rPr>
                <w:sz w:val="20"/>
                <w:szCs w:val="20"/>
                <w:color w:val="auto"/>
              </w:rPr>
            </w:pPr>
            <w:r>
              <w:rPr>
                <w:rFonts w:ascii="Arial" w:cs="Arial" w:eastAsia="Arial" w:hAnsi="Arial"/>
                <w:sz w:val="18"/>
                <w:szCs w:val="18"/>
                <w:b w:val="1"/>
                <w:bCs w:val="1"/>
                <w:color w:val="BD03F7"/>
              </w:rPr>
              <w:t>Proposal</w:t>
            </w:r>
          </w:p>
        </w:tc>
        <w:tc>
          <w:tcPr>
            <w:tcW w:w="5840" w:type="dxa"/>
            <w:vAlign w:val="bottom"/>
          </w:tcPr>
          <w:p>
            <w:pPr>
              <w:spacing w:after="0"/>
              <w:rPr>
                <w:sz w:val="20"/>
                <w:szCs w:val="20"/>
                <w:color w:val="auto"/>
              </w:rPr>
            </w:pPr>
            <w:r>
              <w:rPr>
                <w:rFonts w:ascii="Arial" w:cs="Arial" w:eastAsia="Arial" w:hAnsi="Arial"/>
                <w:sz w:val="21"/>
                <w:szCs w:val="21"/>
                <w:b w:val="1"/>
                <w:bCs w:val="1"/>
                <w:color w:val="BD03F7"/>
              </w:rPr>
              <w:t>To approve, on a non-binding basis, the compensation of</w:t>
            </w:r>
          </w:p>
        </w:tc>
      </w:tr>
      <w:tr>
        <w:trPr>
          <w:trHeight w:val="296"/>
        </w:trPr>
        <w:tc>
          <w:tcPr>
            <w:tcW w:w="1660" w:type="dxa"/>
            <w:vAlign w:val="bottom"/>
            <w:tcBorders>
              <w:left w:val="single" w:sz="8" w:color="BD03F7"/>
              <w:right w:val="single" w:sz="8" w:color="BD03F7"/>
            </w:tcBorders>
          </w:tcPr>
          <w:p>
            <w:pPr>
              <w:jc w:val="right"/>
              <w:ind w:right="644"/>
              <w:spacing w:after="0" w:line="295" w:lineRule="exact"/>
              <w:rPr>
                <w:sz w:val="20"/>
                <w:szCs w:val="20"/>
                <w:color w:val="auto"/>
              </w:rPr>
            </w:pPr>
            <w:r>
              <w:rPr>
                <w:rFonts w:ascii="Arial" w:cs="Arial" w:eastAsia="Arial" w:hAnsi="Arial"/>
                <w:sz w:val="29"/>
                <w:szCs w:val="29"/>
                <w:b w:val="1"/>
                <w:bCs w:val="1"/>
                <w:color w:val="BD03F7"/>
              </w:rPr>
              <w:t>2</w:t>
            </w:r>
          </w:p>
        </w:tc>
        <w:tc>
          <w:tcPr>
            <w:tcW w:w="5840" w:type="dxa"/>
            <w:vAlign w:val="bottom"/>
          </w:tcPr>
          <w:p>
            <w:pPr>
              <w:spacing w:after="0"/>
              <w:rPr>
                <w:sz w:val="20"/>
                <w:szCs w:val="20"/>
                <w:color w:val="auto"/>
              </w:rPr>
            </w:pPr>
            <w:r>
              <w:rPr>
                <w:rFonts w:ascii="Arial" w:cs="Arial" w:eastAsia="Arial" w:hAnsi="Arial"/>
                <w:sz w:val="21"/>
                <w:szCs w:val="21"/>
                <w:b w:val="1"/>
                <w:bCs w:val="1"/>
                <w:color w:val="BD03F7"/>
              </w:rPr>
              <w:t>our named executive officers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-7620</wp:posOffset>
            </wp:positionV>
            <wp:extent cx="7030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0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484" w:right="120" w:hanging="484"/>
        <w:spacing w:after="0" w:line="203" w:lineRule="auto"/>
        <w:tabs>
          <w:tab w:leader="none" w:pos="484" w:val="left"/>
        </w:tabs>
        <w:numPr>
          <w:ilvl w:val="0"/>
          <w:numId w:val="10"/>
        </w:numPr>
        <w:rPr>
          <w:rFonts w:ascii="MS PGothic" w:cs="MS PGothic" w:eastAsia="MS PGothic" w:hAnsi="MS PGothic"/>
          <w:sz w:val="29"/>
          <w:szCs w:val="29"/>
          <w:color w:val="BD03F7"/>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BD03F7"/>
        </w:rPr>
        <w:t>“FOR”</w:t>
      </w:r>
      <w:r>
        <w:rPr>
          <w:rFonts w:ascii="Arial" w:cs="Arial" w:eastAsia="Arial" w:hAnsi="Arial"/>
          <w:sz w:val="18"/>
          <w:szCs w:val="18"/>
          <w:color w:val="auto"/>
        </w:rPr>
        <w:t xml:space="preserve"> Proposal 2.</w:t>
      </w:r>
    </w:p>
    <w:p>
      <w:pPr>
        <w:spacing w:after="0" w:line="16" w:lineRule="exact"/>
        <w:rPr>
          <w:sz w:val="20"/>
          <w:szCs w:val="20"/>
          <w:color w:val="auto"/>
        </w:rPr>
      </w:pPr>
    </w:p>
    <w:p>
      <w:pPr>
        <w:sectPr>
          <w:pgSz w:w="11900" w:h="16838" w:orient="portrait"/>
          <w:cols w:equalWidth="0" w:num="2">
            <w:col w:w="7580" w:space="456"/>
            <w:col w:w="3204"/>
          </w:cols>
          <w:pgMar w:left="320" w:top="1114" w:right="339" w:bottom="1440" w:gutter="0" w:footer="0" w:header="0"/>
        </w:sectPr>
      </w:pPr>
    </w:p>
    <w:p>
      <w:pPr>
        <w:ind w:left="100" w:right="180"/>
        <w:spacing w:after="0" w:line="230" w:lineRule="auto"/>
        <w:rPr>
          <w:sz w:val="20"/>
          <w:szCs w:val="20"/>
          <w:color w:val="auto"/>
        </w:rPr>
      </w:pPr>
      <w:r>
        <w:rPr>
          <w:rFonts w:ascii="Arial" w:cs="Arial" w:eastAsia="Arial" w:hAnsi="Arial"/>
          <w:sz w:val="17"/>
          <w:szCs w:val="17"/>
          <w:color w:val="auto"/>
        </w:rPr>
        <w:t>For additional details on compensation of our named executive officers (the “Named Executive Officers” or the “NEOs” listed in the section “Executive Compensation and Related Information—Compensation Discussion and Analysis—Named Executive Officers”), see “Executive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Compensation and Related Information—Proposal 2—Say-on-Pay” on page </w:t>
      </w:r>
      <w:r>
        <w:rPr>
          <w:rFonts w:ascii="Arial" w:cs="Arial" w:eastAsia="Arial" w:hAnsi="Arial"/>
          <w:sz w:val="18"/>
          <w:szCs w:val="18"/>
          <w:u w:val="single" w:color="auto"/>
          <w:color w:val="BD03F7"/>
        </w:rPr>
        <w:t>35</w:t>
      </w:r>
      <w:r>
        <w:rPr>
          <w:rFonts w:ascii="Arial" w:cs="Arial" w:eastAsia="Arial" w:hAnsi="Arial"/>
          <w:sz w:val="18"/>
          <w:szCs w:val="18"/>
          <w:color w:val="BD03F7"/>
        </w:rPr>
        <w:t>.</w:t>
      </w: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112395</wp:posOffset>
            </wp:positionV>
            <wp:extent cx="5784850" cy="1757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485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*Percentages may not total 100%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113665</wp:posOffset>
            </wp:positionV>
            <wp:extent cx="5733415" cy="3242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33415" cy="324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*PRSUs = Performance-Based Restricted Stock Units; RSAs =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8"/>
          <w:szCs w:val="18"/>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type w:val="continuous"/>
        </w:sectPr>
      </w:pPr>
    </w:p>
    <w:bookmarkStart w:id="8" w:name="page9"/>
    <w:bookmarkEnd w:id="8"/>
    <w:tbl>
      <w:tblPr>
        <w:tblLayout w:type="fixed"/>
        <w:tblInd w:w="90" w:type="dxa"/>
        <w:tblCellMar>
          <w:top w:w="0" w:type="dxa"/>
          <w:left w:w="0" w:type="dxa"/>
          <w:bottom w:w="0" w:type="dxa"/>
          <w:right w:w="0" w:type="dxa"/>
        </w:tblCellMar>
      </w:tblPr>
      <w:tr>
        <w:trPr>
          <w:trHeight w:val="202"/>
        </w:trPr>
        <w:tc>
          <w:tcPr>
            <w:tcW w:w="1660" w:type="dxa"/>
            <w:vAlign w:val="bottom"/>
            <w:tcBorders>
              <w:top w:val="single" w:sz="8" w:color="BD03F7"/>
              <w:left w:val="single" w:sz="8" w:color="BD03F7"/>
              <w:right w:val="single" w:sz="8" w:color="BD03F7"/>
            </w:tcBorders>
            <w:vMerge w:val="restart"/>
          </w:tcPr>
          <w:p>
            <w:pPr>
              <w:jc w:val="center"/>
              <w:spacing w:after="0"/>
              <w:rPr>
                <w:sz w:val="20"/>
                <w:szCs w:val="20"/>
                <w:color w:val="auto"/>
              </w:rPr>
            </w:pPr>
            <w:r>
              <w:rPr>
                <w:rFonts w:ascii="Arial" w:cs="Arial" w:eastAsia="Arial" w:hAnsi="Arial"/>
                <w:sz w:val="18"/>
                <w:szCs w:val="18"/>
                <w:b w:val="1"/>
                <w:bCs w:val="1"/>
                <w:color w:val="BD03F7"/>
              </w:rPr>
              <w:t>Proposal</w:t>
            </w:r>
          </w:p>
        </w:tc>
        <w:tc>
          <w:tcPr>
            <w:tcW w:w="5960" w:type="dxa"/>
            <w:vAlign w:val="bottom"/>
          </w:tcPr>
          <w:p>
            <w:pPr>
              <w:spacing w:after="0" w:line="202" w:lineRule="exact"/>
              <w:rPr>
                <w:sz w:val="20"/>
                <w:szCs w:val="20"/>
                <w:color w:val="auto"/>
              </w:rPr>
            </w:pPr>
            <w:r>
              <w:rPr>
                <w:rFonts w:ascii="Arial" w:cs="Arial" w:eastAsia="Arial" w:hAnsi="Arial"/>
                <w:sz w:val="21"/>
                <w:szCs w:val="21"/>
                <w:b w:val="1"/>
                <w:bCs w:val="1"/>
                <w:color w:val="BD03F7"/>
              </w:rPr>
              <w:t>To approve the amendment of our Restated Certificate of</w:t>
            </w:r>
          </w:p>
        </w:tc>
        <w:tc>
          <w:tcPr>
            <w:tcW w:w="0" w:type="dxa"/>
            <w:vAlign w:val="bottom"/>
          </w:tcPr>
          <w:p>
            <w:pPr>
              <w:spacing w:after="0"/>
              <w:rPr>
                <w:sz w:val="1"/>
                <w:szCs w:val="1"/>
                <w:color w:val="auto"/>
              </w:rPr>
            </w:pPr>
          </w:p>
        </w:tc>
      </w:tr>
      <w:tr>
        <w:trPr>
          <w:trHeight w:val="215"/>
        </w:trPr>
        <w:tc>
          <w:tcPr>
            <w:tcW w:w="1660" w:type="dxa"/>
            <w:vAlign w:val="bottom"/>
            <w:tcBorders>
              <w:left w:val="single" w:sz="8" w:color="BD03F7"/>
              <w:right w:val="single" w:sz="8" w:color="BD03F7"/>
            </w:tcBorders>
            <w:vMerge w:val="continue"/>
          </w:tcPr>
          <w:p>
            <w:pPr>
              <w:spacing w:after="0"/>
              <w:rPr>
                <w:sz w:val="18"/>
                <w:szCs w:val="18"/>
                <w:color w:val="auto"/>
              </w:rPr>
            </w:pPr>
          </w:p>
        </w:tc>
        <w:tc>
          <w:tcPr>
            <w:tcW w:w="5960" w:type="dxa"/>
            <w:vAlign w:val="bottom"/>
          </w:tcPr>
          <w:p>
            <w:pPr>
              <w:spacing w:after="0" w:line="215" w:lineRule="exact"/>
              <w:rPr>
                <w:sz w:val="20"/>
                <w:szCs w:val="20"/>
                <w:color w:val="auto"/>
              </w:rPr>
            </w:pPr>
            <w:r>
              <w:rPr>
                <w:rFonts w:ascii="Arial" w:cs="Arial" w:eastAsia="Arial" w:hAnsi="Arial"/>
                <w:sz w:val="21"/>
                <w:szCs w:val="21"/>
                <w:b w:val="1"/>
                <w:bCs w:val="1"/>
                <w:color w:val="BD03F7"/>
              </w:rPr>
              <w:t>Incorporation to reflect Delaware law provisions regarding</w:t>
            </w:r>
          </w:p>
        </w:tc>
        <w:tc>
          <w:tcPr>
            <w:tcW w:w="0" w:type="dxa"/>
            <w:vAlign w:val="bottom"/>
          </w:tcPr>
          <w:p>
            <w:pPr>
              <w:spacing w:after="0"/>
              <w:rPr>
                <w:sz w:val="1"/>
                <w:szCs w:val="1"/>
                <w:color w:val="auto"/>
              </w:rPr>
            </w:pPr>
          </w:p>
        </w:tc>
      </w:tr>
      <w:tr>
        <w:trPr>
          <w:trHeight w:val="296"/>
        </w:trPr>
        <w:tc>
          <w:tcPr>
            <w:tcW w:w="1660" w:type="dxa"/>
            <w:vAlign w:val="bottom"/>
            <w:tcBorders>
              <w:left w:val="single" w:sz="8" w:color="BD03F7"/>
              <w:right w:val="single" w:sz="8" w:color="BD03F7"/>
            </w:tcBorders>
          </w:tcPr>
          <w:p>
            <w:pPr>
              <w:jc w:val="right"/>
              <w:ind w:right="644"/>
              <w:spacing w:after="0" w:line="295" w:lineRule="exact"/>
              <w:rPr>
                <w:sz w:val="20"/>
                <w:szCs w:val="20"/>
                <w:color w:val="auto"/>
              </w:rPr>
            </w:pPr>
            <w:r>
              <w:rPr>
                <w:rFonts w:ascii="Arial" w:cs="Arial" w:eastAsia="Arial" w:hAnsi="Arial"/>
                <w:sz w:val="29"/>
                <w:szCs w:val="29"/>
                <w:b w:val="1"/>
                <w:bCs w:val="1"/>
                <w:color w:val="BD03F7"/>
              </w:rPr>
              <w:t>3</w:t>
            </w:r>
          </w:p>
        </w:tc>
        <w:tc>
          <w:tcPr>
            <w:tcW w:w="5960" w:type="dxa"/>
            <w:vAlign w:val="bottom"/>
          </w:tcPr>
          <w:p>
            <w:pPr>
              <w:spacing w:after="0"/>
              <w:rPr>
                <w:sz w:val="20"/>
                <w:szCs w:val="20"/>
                <w:color w:val="auto"/>
              </w:rPr>
            </w:pPr>
            <w:r>
              <w:rPr>
                <w:rFonts w:ascii="Arial" w:cs="Arial" w:eastAsia="Arial" w:hAnsi="Arial"/>
                <w:sz w:val="21"/>
                <w:szCs w:val="21"/>
                <w:b w:val="1"/>
                <w:bCs w:val="1"/>
                <w:color w:val="BD03F7"/>
              </w:rPr>
              <w:t>exculpation of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-7620</wp:posOffset>
            </wp:positionV>
            <wp:extent cx="70307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0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84" w:right="40" w:hanging="484"/>
        <w:spacing w:after="0" w:line="203" w:lineRule="auto"/>
        <w:tabs>
          <w:tab w:leader="none" w:pos="484" w:val="left"/>
        </w:tabs>
        <w:numPr>
          <w:ilvl w:val="0"/>
          <w:numId w:val="11"/>
        </w:numPr>
        <w:rPr>
          <w:rFonts w:ascii="MS PGothic" w:cs="MS PGothic" w:eastAsia="MS PGothic" w:hAnsi="MS PGothic"/>
          <w:sz w:val="29"/>
          <w:szCs w:val="29"/>
          <w:color w:val="BD03F7"/>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BD03F7"/>
        </w:rPr>
        <w:t>“FOR”</w:t>
      </w:r>
      <w:r>
        <w:rPr>
          <w:rFonts w:ascii="Arial" w:cs="Arial" w:eastAsia="Arial" w:hAnsi="Arial"/>
          <w:sz w:val="18"/>
          <w:szCs w:val="18"/>
          <w:color w:val="auto"/>
        </w:rPr>
        <w:t xml:space="preserve"> Proposal 3.</w:t>
      </w:r>
    </w:p>
    <w:p>
      <w:pPr>
        <w:spacing w:after="0" w:line="16" w:lineRule="exact"/>
        <w:rPr>
          <w:sz w:val="20"/>
          <w:szCs w:val="20"/>
          <w:color w:val="auto"/>
        </w:rPr>
      </w:pPr>
    </w:p>
    <w:p>
      <w:pPr>
        <w:sectPr>
          <w:pgSz w:w="11900" w:h="16838" w:orient="portrait"/>
          <w:cols w:equalWidth="0" w:num="2">
            <w:col w:w="7700" w:space="336"/>
            <w:col w:w="3124"/>
          </w:cols>
          <w:pgMar w:left="320" w:top="1114" w:right="419" w:bottom="1440" w:gutter="0" w:footer="0" w:header="0"/>
        </w:sectPr>
      </w:pPr>
    </w:p>
    <w:p>
      <w:pPr>
        <w:ind w:left="100" w:right="240"/>
        <w:spacing w:after="0" w:line="236" w:lineRule="auto"/>
        <w:rPr>
          <w:sz w:val="20"/>
          <w:szCs w:val="20"/>
          <w:color w:val="auto"/>
        </w:rPr>
      </w:pPr>
      <w:r>
        <w:rPr>
          <w:rFonts w:ascii="Arial" w:cs="Arial" w:eastAsia="Arial" w:hAnsi="Arial"/>
          <w:sz w:val="18"/>
          <w:szCs w:val="18"/>
          <w:color w:val="auto"/>
        </w:rPr>
        <w:t xml:space="preserve">To approve an amendment to our Restated Certificate of Incorporation adding a provision regarding exculpation of officers in accordance with Delaware law. Please see page </w:t>
      </w:r>
      <w:r>
        <w:rPr>
          <w:rFonts w:ascii="Arial" w:cs="Arial" w:eastAsia="Arial" w:hAnsi="Arial"/>
          <w:sz w:val="18"/>
          <w:szCs w:val="18"/>
          <w:u w:val="single" w:color="auto"/>
          <w:color w:val="BD03F7"/>
        </w:rPr>
        <w:t>85</w:t>
      </w:r>
      <w:r>
        <w:rPr>
          <w:rFonts w:ascii="Arial" w:cs="Arial" w:eastAsia="Arial" w:hAnsi="Arial"/>
          <w:sz w:val="18"/>
          <w:szCs w:val="18"/>
          <w:color w:val="auto"/>
        </w:rPr>
        <w:t xml:space="preserve"> for additional information.</w:t>
      </w:r>
    </w:p>
    <w:p>
      <w:pPr>
        <w:sectPr>
          <w:pgSz w:w="11900" w:h="16838" w:orient="portrait"/>
          <w:cols w:equalWidth="0" w:num="1">
            <w:col w:w="11160"/>
          </w:cols>
          <w:pgMar w:left="320" w:top="1114" w:right="419" w:bottom="1440" w:gutter="0" w:footer="0" w:header="0"/>
          <w:type w:val="continuous"/>
        </w:sectPr>
      </w:pPr>
    </w:p>
    <w:p>
      <w:pPr>
        <w:spacing w:after="0" w:line="20" w:lineRule="exact"/>
        <w:rPr>
          <w:sz w:val="20"/>
          <w:szCs w:val="20"/>
          <w:color w:val="auto"/>
        </w:rPr>
      </w:pPr>
    </w:p>
    <w:tbl>
      <w:tblPr>
        <w:tblLayout w:type="fixed"/>
        <w:tblInd w:w="520" w:type="dxa"/>
        <w:tblCellMar>
          <w:top w:w="0" w:type="dxa"/>
          <w:left w:w="0" w:type="dxa"/>
          <w:bottom w:w="0" w:type="dxa"/>
          <w:right w:w="0" w:type="dxa"/>
        </w:tblCellMar>
      </w:tblPr>
      <w:tr>
        <w:trPr>
          <w:trHeight w:val="244"/>
        </w:trPr>
        <w:tc>
          <w:tcPr>
            <w:tcW w:w="1220" w:type="dxa"/>
            <w:vAlign w:val="bottom"/>
            <w:tcBorders>
              <w:right w:val="single" w:sz="8" w:color="BD03F7"/>
            </w:tcBorders>
          </w:tcPr>
          <w:p>
            <w:pPr>
              <w:jc w:val="center"/>
              <w:ind w:right="324"/>
              <w:spacing w:after="0"/>
              <w:rPr>
                <w:sz w:val="20"/>
                <w:szCs w:val="20"/>
                <w:color w:val="auto"/>
              </w:rPr>
            </w:pPr>
            <w:r>
              <w:rPr>
                <w:rFonts w:ascii="Arial" w:cs="Arial" w:eastAsia="Arial" w:hAnsi="Arial"/>
                <w:sz w:val="18"/>
                <w:szCs w:val="18"/>
                <w:b w:val="1"/>
                <w:bCs w:val="1"/>
                <w:color w:val="BD03F7"/>
              </w:rPr>
              <w:t>Proposal</w:t>
            </w:r>
          </w:p>
        </w:tc>
        <w:tc>
          <w:tcPr>
            <w:tcW w:w="5680" w:type="dxa"/>
            <w:vAlign w:val="bottom"/>
          </w:tcPr>
          <w:p>
            <w:pPr>
              <w:spacing w:after="0"/>
              <w:rPr>
                <w:sz w:val="20"/>
                <w:szCs w:val="20"/>
                <w:color w:val="auto"/>
              </w:rPr>
            </w:pPr>
            <w:r>
              <w:rPr>
                <w:rFonts w:ascii="Arial" w:cs="Arial" w:eastAsia="Arial" w:hAnsi="Arial"/>
                <w:sz w:val="21"/>
                <w:szCs w:val="21"/>
                <w:b w:val="1"/>
                <w:bCs w:val="1"/>
                <w:color w:val="BD03F7"/>
              </w:rPr>
              <w:t>To ratify the appointment of our independent registered</w:t>
            </w:r>
          </w:p>
        </w:tc>
      </w:tr>
      <w:tr>
        <w:trPr>
          <w:trHeight w:val="296"/>
        </w:trPr>
        <w:tc>
          <w:tcPr>
            <w:tcW w:w="1220" w:type="dxa"/>
            <w:vAlign w:val="bottom"/>
            <w:tcBorders>
              <w:right w:val="single" w:sz="8" w:color="BD03F7"/>
            </w:tcBorders>
          </w:tcPr>
          <w:p>
            <w:pPr>
              <w:jc w:val="right"/>
              <w:ind w:right="644"/>
              <w:spacing w:after="0" w:line="295" w:lineRule="exact"/>
              <w:rPr>
                <w:sz w:val="20"/>
                <w:szCs w:val="20"/>
                <w:color w:val="auto"/>
              </w:rPr>
            </w:pPr>
            <w:r>
              <w:rPr>
                <w:rFonts w:ascii="Arial" w:cs="Arial" w:eastAsia="Arial" w:hAnsi="Arial"/>
                <w:sz w:val="29"/>
                <w:szCs w:val="29"/>
                <w:b w:val="1"/>
                <w:bCs w:val="1"/>
                <w:color w:val="BD03F7"/>
              </w:rPr>
              <w:t>4</w:t>
            </w:r>
          </w:p>
        </w:tc>
        <w:tc>
          <w:tcPr>
            <w:tcW w:w="5680" w:type="dxa"/>
            <w:vAlign w:val="bottom"/>
          </w:tcPr>
          <w:p>
            <w:pPr>
              <w:spacing w:after="0"/>
              <w:rPr>
                <w:sz w:val="20"/>
                <w:szCs w:val="20"/>
                <w:color w:val="auto"/>
              </w:rPr>
            </w:pPr>
            <w:r>
              <w:rPr>
                <w:rFonts w:ascii="Arial" w:cs="Arial" w:eastAsia="Arial" w:hAnsi="Arial"/>
                <w:sz w:val="21"/>
                <w:szCs w:val="21"/>
                <w:b w:val="1"/>
                <w:bCs w:val="1"/>
                <w:color w:val="BD03F7"/>
              </w:rPr>
              <w:t>public accounting firm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-349250</wp:posOffset>
            </wp:positionV>
            <wp:extent cx="7030720" cy="349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0720" cy="349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484" w:right="40" w:hanging="484"/>
        <w:spacing w:after="0" w:line="203" w:lineRule="auto"/>
        <w:tabs>
          <w:tab w:leader="none" w:pos="484" w:val="left"/>
        </w:tabs>
        <w:numPr>
          <w:ilvl w:val="0"/>
          <w:numId w:val="12"/>
        </w:numPr>
        <w:rPr>
          <w:rFonts w:ascii="MS PGothic" w:cs="MS PGothic" w:eastAsia="MS PGothic" w:hAnsi="MS PGothic"/>
          <w:sz w:val="29"/>
          <w:szCs w:val="29"/>
          <w:color w:val="BD03F7"/>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BD03F7"/>
        </w:rPr>
        <w:t>“FOR”</w:t>
      </w:r>
      <w:r>
        <w:rPr>
          <w:rFonts w:ascii="Arial" w:cs="Arial" w:eastAsia="Arial" w:hAnsi="Arial"/>
          <w:sz w:val="18"/>
          <w:szCs w:val="18"/>
          <w:color w:val="auto"/>
        </w:rPr>
        <w:t xml:space="preserve"> Proposal 4.</w:t>
      </w:r>
    </w:p>
    <w:p>
      <w:pPr>
        <w:spacing w:after="0" w:line="16" w:lineRule="exact"/>
        <w:rPr>
          <w:sz w:val="20"/>
          <w:szCs w:val="20"/>
          <w:color w:val="auto"/>
        </w:rPr>
      </w:pPr>
    </w:p>
    <w:p>
      <w:pPr>
        <w:sectPr>
          <w:pgSz w:w="11900" w:h="16838" w:orient="portrait"/>
          <w:cols w:equalWidth="0" w:num="2">
            <w:col w:w="7420" w:space="616"/>
            <w:col w:w="3124"/>
          </w:cols>
          <w:pgMar w:left="320" w:top="1114" w:right="419" w:bottom="1440" w:gutter="0" w:footer="0" w:header="0"/>
          <w:type w:val="continuous"/>
        </w:sectPr>
      </w:pPr>
    </w:p>
    <w:p>
      <w:pPr>
        <w:ind w:left="100" w:right="880"/>
        <w:spacing w:after="0" w:line="260" w:lineRule="auto"/>
        <w:rPr>
          <w:sz w:val="20"/>
          <w:szCs w:val="20"/>
          <w:color w:val="auto"/>
        </w:rPr>
      </w:pPr>
      <w:r>
        <w:rPr>
          <w:rFonts w:ascii="Arial" w:cs="Arial" w:eastAsia="Arial" w:hAnsi="Arial"/>
          <w:sz w:val="17"/>
          <w:szCs w:val="17"/>
          <w:color w:val="auto"/>
        </w:rPr>
        <w:t xml:space="preserve">The Board recommends ratifying the appointment of PricewaterhouseCoopers LLP (“PwC”) as our independent registered public accounting firm for the fiscal year ending September 3, 2026 (“Fiscal 2026”). Please see page </w:t>
      </w:r>
      <w:r>
        <w:rPr>
          <w:rFonts w:ascii="Arial" w:cs="Arial" w:eastAsia="Arial" w:hAnsi="Arial"/>
          <w:sz w:val="17"/>
          <w:szCs w:val="17"/>
          <w:u w:val="single" w:color="auto"/>
          <w:color w:val="BD03F7"/>
        </w:rPr>
        <w:t>87</w:t>
      </w:r>
      <w:r>
        <w:rPr>
          <w:rFonts w:ascii="Arial" w:cs="Arial" w:eastAsia="Arial" w:hAnsi="Arial"/>
          <w:sz w:val="17"/>
          <w:szCs w:val="17"/>
          <w:color w:val="auto"/>
        </w:rPr>
        <w:t xml:space="preserve"> for additional information.</w:t>
      </w:r>
    </w:p>
    <w:tbl>
      <w:tblPr>
        <w:tblLayout w:type="fixed"/>
        <w:tblInd w:w="90" w:type="dxa"/>
        <w:tblCellMar>
          <w:top w:w="0" w:type="dxa"/>
          <w:left w:w="0" w:type="dxa"/>
          <w:bottom w:w="0" w:type="dxa"/>
          <w:right w:w="0" w:type="dxa"/>
        </w:tblCellMar>
      </w:tblPr>
      <w:tr>
        <w:trPr>
          <w:trHeight w:val="161"/>
        </w:trPr>
        <w:tc>
          <w:tcPr>
            <w:tcW w:w="1660" w:type="dxa"/>
            <w:vAlign w:val="bottom"/>
            <w:tcBorders>
              <w:top w:val="single" w:sz="8" w:color="BD03F7"/>
              <w:left w:val="single" w:sz="8" w:color="BD03F7"/>
              <w:right w:val="single" w:sz="8" w:color="BD03F7"/>
            </w:tcBorders>
          </w:tcPr>
          <w:p>
            <w:pPr>
              <w:jc w:val="center"/>
              <w:spacing w:after="0" w:line="161" w:lineRule="exact"/>
              <w:rPr>
                <w:sz w:val="20"/>
                <w:szCs w:val="20"/>
                <w:color w:val="auto"/>
              </w:rPr>
            </w:pPr>
            <w:r>
              <w:rPr>
                <w:rFonts w:ascii="Arial" w:cs="Arial" w:eastAsia="Arial" w:hAnsi="Arial"/>
                <w:sz w:val="18"/>
                <w:szCs w:val="18"/>
                <w:b w:val="1"/>
                <w:bCs w:val="1"/>
                <w:color w:val="BD03F7"/>
              </w:rPr>
              <w:t>Proposal</w:t>
            </w:r>
          </w:p>
        </w:tc>
        <w:tc>
          <w:tcPr>
            <w:tcW w:w="4260" w:type="dxa"/>
            <w:vAlign w:val="bottom"/>
            <w:tcBorders>
              <w:top w:val="single" w:sz="8" w:color="BD03F7"/>
            </w:tcBorders>
          </w:tcPr>
          <w:p>
            <w:pPr>
              <w:spacing w:after="0"/>
              <w:rPr>
                <w:sz w:val="14"/>
                <w:szCs w:val="14"/>
                <w:color w:val="auto"/>
              </w:rPr>
            </w:pPr>
          </w:p>
        </w:tc>
        <w:tc>
          <w:tcPr>
            <w:tcW w:w="2400" w:type="dxa"/>
            <w:vAlign w:val="bottom"/>
            <w:tcBorders>
              <w:top w:val="single" w:sz="8" w:color="BD03F7"/>
            </w:tcBorders>
            <w:vMerge w:val="restart"/>
          </w:tcPr>
          <w:p>
            <w:pPr>
              <w:ind w:left="2040"/>
              <w:spacing w:after="0" w:line="291" w:lineRule="exact"/>
              <w:rPr>
                <w:sz w:val="20"/>
                <w:szCs w:val="20"/>
                <w:color w:val="auto"/>
              </w:rPr>
            </w:pPr>
            <w:r>
              <w:rPr>
                <w:rFonts w:ascii="MS PGothic" w:cs="MS PGothic" w:eastAsia="MS PGothic" w:hAnsi="MS PGothic"/>
                <w:sz w:val="29"/>
                <w:szCs w:val="29"/>
                <w:color w:val="BD03F7"/>
              </w:rPr>
              <w:t>☒</w:t>
            </w:r>
          </w:p>
        </w:tc>
        <w:tc>
          <w:tcPr>
            <w:tcW w:w="2760" w:type="dxa"/>
            <w:vAlign w:val="bottom"/>
            <w:tcBorders>
              <w:top w:val="single" w:sz="8" w:color="BD03F7"/>
            </w:tcBorders>
            <w:vMerge w:val="restart"/>
          </w:tcPr>
          <w:p>
            <w:pPr>
              <w:ind w:left="120"/>
              <w:spacing w:after="0"/>
              <w:rPr>
                <w:sz w:val="20"/>
                <w:szCs w:val="20"/>
                <w:color w:val="auto"/>
              </w:rPr>
            </w:pPr>
            <w:r>
              <w:rPr>
                <w:rFonts w:ascii="Arial" w:cs="Arial" w:eastAsia="Arial" w:hAnsi="Arial"/>
                <w:sz w:val="18"/>
                <w:szCs w:val="18"/>
                <w:color w:val="auto"/>
                <w:w w:val="99"/>
              </w:rPr>
              <w:t>The Board recommends that you</w:t>
            </w:r>
          </w:p>
        </w:tc>
        <w:tc>
          <w:tcPr>
            <w:tcW w:w="0" w:type="dxa"/>
            <w:vAlign w:val="bottom"/>
          </w:tcPr>
          <w:p>
            <w:pPr>
              <w:spacing w:after="0"/>
              <w:rPr>
                <w:sz w:val="1"/>
                <w:szCs w:val="1"/>
                <w:color w:val="auto"/>
              </w:rPr>
            </w:pPr>
          </w:p>
        </w:tc>
      </w:tr>
      <w:tr>
        <w:trPr>
          <w:trHeight w:val="107"/>
        </w:trPr>
        <w:tc>
          <w:tcPr>
            <w:tcW w:w="1660" w:type="dxa"/>
            <w:vAlign w:val="bottom"/>
            <w:tcBorders>
              <w:left w:val="single" w:sz="8" w:color="BD03F7"/>
              <w:right w:val="single" w:sz="8" w:color="BD03F7"/>
            </w:tcBorders>
            <w:vMerge w:val="restart"/>
          </w:tcPr>
          <w:p>
            <w:pPr>
              <w:jc w:val="right"/>
              <w:ind w:right="644"/>
              <w:spacing w:after="0"/>
              <w:rPr>
                <w:sz w:val="20"/>
                <w:szCs w:val="20"/>
                <w:color w:val="auto"/>
              </w:rPr>
            </w:pPr>
            <w:r>
              <w:rPr>
                <w:rFonts w:ascii="Arial" w:cs="Arial" w:eastAsia="Arial" w:hAnsi="Arial"/>
                <w:sz w:val="29"/>
                <w:szCs w:val="29"/>
                <w:b w:val="1"/>
                <w:bCs w:val="1"/>
                <w:color w:val="BD03F7"/>
              </w:rPr>
              <w:t>5</w:t>
            </w:r>
          </w:p>
        </w:tc>
        <w:tc>
          <w:tcPr>
            <w:tcW w:w="4260" w:type="dxa"/>
            <w:vAlign w:val="bottom"/>
            <w:vMerge w:val="restart"/>
          </w:tcPr>
          <w:p>
            <w:pPr>
              <w:spacing w:after="0"/>
              <w:rPr>
                <w:sz w:val="20"/>
                <w:szCs w:val="20"/>
                <w:color w:val="auto"/>
              </w:rPr>
            </w:pPr>
            <w:r>
              <w:rPr>
                <w:rFonts w:ascii="Arial" w:cs="Arial" w:eastAsia="Arial" w:hAnsi="Arial"/>
                <w:sz w:val="21"/>
                <w:szCs w:val="21"/>
                <w:b w:val="1"/>
                <w:bCs w:val="1"/>
                <w:color w:val="BD03F7"/>
              </w:rPr>
              <w:t>Shareholder proposal</w:t>
            </w:r>
          </w:p>
        </w:tc>
        <w:tc>
          <w:tcPr>
            <w:tcW w:w="2400" w:type="dxa"/>
            <w:vAlign w:val="bottom"/>
            <w:vMerge w:val="continue"/>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1660" w:type="dxa"/>
            <w:vAlign w:val="bottom"/>
            <w:tcBorders>
              <w:left w:val="single" w:sz="8" w:color="BD03F7"/>
              <w:bottom w:val="single" w:sz="8" w:color="BD03F7"/>
              <w:right w:val="single" w:sz="8" w:color="BD03F7"/>
            </w:tcBorders>
            <w:vMerge w:val="continue"/>
          </w:tcPr>
          <w:p>
            <w:pPr>
              <w:spacing w:after="0"/>
              <w:rPr>
                <w:sz w:val="21"/>
                <w:szCs w:val="21"/>
                <w:color w:val="auto"/>
              </w:rPr>
            </w:pPr>
          </w:p>
        </w:tc>
        <w:tc>
          <w:tcPr>
            <w:tcW w:w="4260" w:type="dxa"/>
            <w:vAlign w:val="bottom"/>
            <w:tcBorders>
              <w:bottom w:val="single" w:sz="8" w:color="BD03F7"/>
            </w:tcBorders>
            <w:vMerge w:val="continue"/>
          </w:tcPr>
          <w:p>
            <w:pPr>
              <w:spacing w:after="0"/>
              <w:rPr>
                <w:sz w:val="21"/>
                <w:szCs w:val="21"/>
                <w:color w:val="auto"/>
              </w:rPr>
            </w:pPr>
          </w:p>
        </w:tc>
        <w:tc>
          <w:tcPr>
            <w:tcW w:w="2400" w:type="dxa"/>
            <w:vAlign w:val="bottom"/>
            <w:tcBorders>
              <w:bottom w:val="single" w:sz="8" w:color="BD03F7"/>
            </w:tcBorders>
            <w:vMerge w:val="continue"/>
          </w:tcPr>
          <w:p>
            <w:pPr>
              <w:spacing w:after="0"/>
              <w:rPr>
                <w:sz w:val="21"/>
                <w:szCs w:val="21"/>
                <w:color w:val="auto"/>
              </w:rPr>
            </w:pPr>
          </w:p>
        </w:tc>
        <w:tc>
          <w:tcPr>
            <w:tcW w:w="2760" w:type="dxa"/>
            <w:vAlign w:val="bottom"/>
            <w:tcBorders>
              <w:bottom w:val="single" w:sz="8" w:color="BD03F7"/>
            </w:tcBorders>
          </w:tcPr>
          <w:p>
            <w:pPr>
              <w:ind w:left="120"/>
              <w:spacing w:after="0"/>
              <w:rPr>
                <w:sz w:val="20"/>
                <w:szCs w:val="20"/>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BD03F7"/>
              </w:rPr>
              <w:t>“AGAINST”</w:t>
            </w:r>
            <w:r>
              <w:rPr>
                <w:rFonts w:ascii="Arial" w:cs="Arial" w:eastAsia="Arial" w:hAnsi="Arial"/>
                <w:sz w:val="18"/>
                <w:szCs w:val="18"/>
                <w:color w:val="auto"/>
              </w:rPr>
              <w:t xml:space="preserve"> Proposal 5.</w:t>
            </w:r>
          </w:p>
        </w:tc>
        <w:tc>
          <w:tcPr>
            <w:tcW w:w="0" w:type="dxa"/>
            <w:vAlign w:val="bottom"/>
          </w:tcPr>
          <w:p>
            <w:pPr>
              <w:spacing w:after="0"/>
              <w:rPr>
                <w:sz w:val="1"/>
                <w:szCs w:val="1"/>
                <w:color w:val="auto"/>
              </w:rPr>
            </w:pPr>
          </w:p>
        </w:tc>
      </w:tr>
    </w:tbl>
    <w:p>
      <w:pPr>
        <w:ind w:left="100" w:right="120"/>
        <w:spacing w:after="0" w:line="236" w:lineRule="auto"/>
        <w:rPr>
          <w:sz w:val="20"/>
          <w:szCs w:val="20"/>
          <w:color w:val="auto"/>
        </w:rPr>
      </w:pPr>
      <w:r>
        <w:rPr>
          <w:rFonts w:ascii="Arial" w:cs="Arial" w:eastAsia="Arial" w:hAnsi="Arial"/>
          <w:sz w:val="18"/>
          <w:szCs w:val="18"/>
          <w:color w:val="auto"/>
        </w:rPr>
        <w:t xml:space="preserve">Shareholder proposal requesting that the Board take steps to give the owners of 10% of our outstanding common stock the power to call a special shareholder meeting. Please see page </w:t>
      </w:r>
      <w:r>
        <w:rPr>
          <w:rFonts w:ascii="Arial" w:cs="Arial" w:eastAsia="Arial" w:hAnsi="Arial"/>
          <w:sz w:val="18"/>
          <w:szCs w:val="18"/>
          <w:u w:val="single" w:color="auto"/>
          <w:color w:val="BD03F7"/>
        </w:rPr>
        <w:t>90</w:t>
      </w:r>
      <w:r>
        <w:rPr>
          <w:rFonts w:ascii="Arial" w:cs="Arial" w:eastAsia="Arial" w:hAnsi="Arial"/>
          <w:sz w:val="18"/>
          <w:szCs w:val="18"/>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415290</wp:posOffset>
            </wp:positionV>
            <wp:extent cx="5640070" cy="1057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0070" cy="105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Annual Meeting</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 xml:space="preserve">to be held on </w:t>
      </w:r>
      <w:r>
        <w:rPr>
          <w:rFonts w:ascii="Arial" w:cs="Arial" w:eastAsia="Arial" w:hAnsi="Arial"/>
          <w:sz w:val="18"/>
          <w:szCs w:val="18"/>
          <w:b w:val="1"/>
          <w:bCs w:val="1"/>
          <w:color w:val="auto"/>
        </w:rPr>
        <w:t>January 15, 2026</w:t>
      </w:r>
      <w:r>
        <w:rPr>
          <w:rFonts w:ascii="Arial" w:cs="Arial" w:eastAsia="Arial" w:hAnsi="Arial"/>
          <w:sz w:val="18"/>
          <w:szCs w:val="18"/>
          <w:b w:val="1"/>
          <w:bCs w:val="1"/>
          <w:i w:val="1"/>
          <w:iCs w:val="1"/>
          <w:color w:val="auto"/>
        </w:rPr>
        <w:t>:</w:t>
      </w:r>
    </w:p>
    <w:p>
      <w:pPr>
        <w:spacing w:after="0" w:line="292"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The proxy statement and annual report on Form 10-K for Fiscal 2025 are available at www.proxyvote.com.</w:t>
      </w:r>
    </w:p>
    <w:p>
      <w:pPr>
        <w:spacing w:after="0" w:line="30"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We began distributing a Notice of Internet Availability of proxy materials, the proxy statement, the annual report</w:t>
      </w:r>
    </w:p>
    <w:p>
      <w:pPr>
        <w:jc w:val="center"/>
        <w:ind w:right="-99"/>
        <w:spacing w:after="0"/>
        <w:rPr>
          <w:sz w:val="20"/>
          <w:szCs w:val="20"/>
          <w:color w:val="auto"/>
        </w:rPr>
      </w:pPr>
      <w:r>
        <w:rPr>
          <w:rFonts w:ascii="Arial" w:cs="Arial" w:eastAsia="Arial" w:hAnsi="Arial"/>
          <w:sz w:val="18"/>
          <w:szCs w:val="18"/>
          <w:i w:val="1"/>
          <w:iCs w:val="1"/>
          <w:color w:val="auto"/>
        </w:rPr>
        <w:t>on Form 10-K for Fiscal 2025, and proxy card, as applicable, to shareholders on November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114" w:right="4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36"/>
          <w:szCs w:val="36"/>
          <w:b w:val="1"/>
          <w:bCs w:val="1"/>
          <w:color w:val="auto"/>
        </w:rPr>
        <w:t>TABLE OF CONTENTS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880" w:type="dxa"/>
            <w:vAlign w:val="bottom"/>
            <w:tcBorders>
              <w:bottom w:val="single" w:sz="8" w:color="BD03F7"/>
            </w:tcBorders>
          </w:tcPr>
          <w:p>
            <w:pPr>
              <w:spacing w:after="0"/>
              <w:rPr>
                <w:sz w:val="20"/>
                <w:szCs w:val="20"/>
                <w:color w:val="auto"/>
              </w:rPr>
            </w:pPr>
            <w:r>
              <w:rPr>
                <w:rFonts w:ascii="Arial" w:cs="Arial" w:eastAsia="Arial" w:hAnsi="Arial"/>
                <w:sz w:val="18"/>
                <w:szCs w:val="18"/>
                <w:b w:val="1"/>
                <w:bCs w:val="1"/>
                <w:color w:val="auto"/>
              </w:rPr>
              <w:t>Proxy Section</w:t>
            </w:r>
          </w:p>
        </w:tc>
        <w:tc>
          <w:tcPr>
            <w:tcW w:w="680" w:type="dxa"/>
            <w:vAlign w:val="bottom"/>
            <w:tcBorders>
              <w:bottom w:val="single" w:sz="8" w:color="BD03F7"/>
              <w:right w:val="single" w:sz="8" w:color="B6B6B6"/>
            </w:tcBorders>
          </w:tcPr>
          <w:p>
            <w:pPr>
              <w:ind w:left="100"/>
              <w:spacing w:after="0"/>
              <w:rPr>
                <w:sz w:val="20"/>
                <w:szCs w:val="20"/>
                <w:color w:val="auto"/>
              </w:rPr>
            </w:pPr>
            <w:r>
              <w:rPr>
                <w:rFonts w:ascii="Arial" w:cs="Arial" w:eastAsia="Arial" w:hAnsi="Arial"/>
                <w:sz w:val="18"/>
                <w:szCs w:val="18"/>
                <w:b w:val="1"/>
                <w:bCs w:val="1"/>
                <w:color w:val="auto"/>
              </w:rPr>
              <w:t>Page</w:t>
            </w:r>
          </w:p>
        </w:tc>
        <w:tc>
          <w:tcPr>
            <w:tcW w:w="4600" w:type="dxa"/>
            <w:vAlign w:val="bottom"/>
            <w:tcBorders>
              <w:bottom w:val="single" w:sz="8" w:color="BD03F7"/>
            </w:tcBorders>
          </w:tcPr>
          <w:p>
            <w:pPr>
              <w:spacing w:after="0"/>
              <w:rPr>
                <w:sz w:val="20"/>
                <w:szCs w:val="20"/>
                <w:color w:val="auto"/>
              </w:rPr>
            </w:pPr>
            <w:r>
              <w:rPr>
                <w:rFonts w:ascii="Arial" w:cs="Arial" w:eastAsia="Arial" w:hAnsi="Arial"/>
                <w:sz w:val="18"/>
                <w:szCs w:val="18"/>
                <w:b w:val="1"/>
                <w:bCs w:val="1"/>
                <w:color w:val="auto"/>
              </w:rPr>
              <w:t>Frequently Requested Information</w:t>
            </w:r>
          </w:p>
        </w:tc>
        <w:tc>
          <w:tcPr>
            <w:tcW w:w="860" w:type="dxa"/>
            <w:vAlign w:val="bottom"/>
            <w:tcBorders>
              <w:bottom w:val="single" w:sz="8" w:color="BD03F7"/>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Notice of Annual Meeting</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1</w:t>
            </w:r>
          </w:p>
        </w:tc>
        <w:tc>
          <w:tcPr>
            <w:tcW w:w="4600" w:type="dxa"/>
            <w:vAlign w:val="bottom"/>
          </w:tcPr>
          <w:p>
            <w:pPr>
              <w:spacing w:after="0"/>
              <w:rPr>
                <w:sz w:val="20"/>
                <w:szCs w:val="20"/>
                <w:color w:val="auto"/>
              </w:rPr>
            </w:pPr>
            <w:r>
              <w:rPr>
                <w:rFonts w:ascii="Arial" w:cs="Arial" w:eastAsia="Arial" w:hAnsi="Arial"/>
                <w:sz w:val="18"/>
                <w:szCs w:val="18"/>
                <w:color w:val="auto"/>
              </w:rPr>
              <w:t>Artificial Intelligence</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26</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spacing w:after="0"/>
              <w:rPr>
                <w:sz w:val="20"/>
                <w:szCs w:val="20"/>
                <w:color w:val="auto"/>
              </w:rPr>
            </w:pPr>
            <w:r>
              <w:rPr>
                <w:rFonts w:ascii="Arial" w:cs="Arial" w:eastAsia="Arial" w:hAnsi="Arial"/>
                <w:sz w:val="18"/>
                <w:szCs w:val="18"/>
                <w:color w:val="auto"/>
              </w:rPr>
              <w:t>Proxy Roadmap</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2</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Auditor Fees</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87</w:t>
            </w: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Corporate Governance</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6</w:t>
            </w:r>
          </w:p>
        </w:tc>
        <w:tc>
          <w:tcPr>
            <w:tcW w:w="4600" w:type="dxa"/>
            <w:vAlign w:val="bottom"/>
          </w:tcPr>
          <w:p>
            <w:pPr>
              <w:spacing w:after="0"/>
              <w:rPr>
                <w:sz w:val="20"/>
                <w:szCs w:val="20"/>
                <w:color w:val="auto"/>
              </w:rPr>
            </w:pPr>
            <w:r>
              <w:rPr>
                <w:rFonts w:ascii="Arial" w:cs="Arial" w:eastAsia="Arial" w:hAnsi="Arial"/>
                <w:sz w:val="18"/>
                <w:szCs w:val="18"/>
                <w:color w:val="auto"/>
              </w:rPr>
              <w:t>Beneficial Ownership Table</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94</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ind w:left="220"/>
              <w:spacing w:after="0"/>
              <w:rPr>
                <w:sz w:val="20"/>
                <w:szCs w:val="20"/>
                <w:color w:val="auto"/>
              </w:rPr>
            </w:pPr>
            <w:r>
              <w:rPr>
                <w:rFonts w:ascii="Arial" w:cs="Arial" w:eastAsia="Arial" w:hAnsi="Arial"/>
                <w:sz w:val="18"/>
                <w:szCs w:val="18"/>
                <w:color w:val="auto"/>
              </w:rPr>
              <w:t>Proposal 1 - Election of Directors</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6</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Board Leadership Structure</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19</w:t>
            </w:r>
          </w:p>
        </w:tc>
        <w:tc>
          <w:tcPr>
            <w:tcW w:w="0" w:type="dxa"/>
            <w:vAlign w:val="bottom"/>
          </w:tcPr>
          <w:p>
            <w:pPr>
              <w:spacing w:after="0"/>
              <w:rPr>
                <w:sz w:val="1"/>
                <w:szCs w:val="1"/>
                <w:color w:val="auto"/>
              </w:rPr>
            </w:pPr>
          </w:p>
        </w:tc>
      </w:tr>
      <w:tr>
        <w:trPr>
          <w:trHeight w:val="228"/>
        </w:trPr>
        <w:tc>
          <w:tcPr>
            <w:tcW w:w="4880" w:type="dxa"/>
            <w:vAlign w:val="bottom"/>
          </w:tcPr>
          <w:p>
            <w:pPr>
              <w:ind w:left="440"/>
              <w:spacing w:after="0"/>
              <w:rPr>
                <w:sz w:val="20"/>
                <w:szCs w:val="20"/>
                <w:color w:val="auto"/>
              </w:rPr>
            </w:pPr>
            <w:r>
              <w:rPr>
                <w:rFonts w:ascii="Arial" w:cs="Arial" w:eastAsia="Arial" w:hAnsi="Arial"/>
                <w:sz w:val="18"/>
                <w:szCs w:val="18"/>
                <w:color w:val="auto"/>
              </w:rPr>
              <w:t>Board of Directors</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7</w:t>
            </w:r>
          </w:p>
        </w:tc>
        <w:tc>
          <w:tcPr>
            <w:tcW w:w="4600" w:type="dxa"/>
            <w:vAlign w:val="bottom"/>
          </w:tcPr>
          <w:p>
            <w:pPr>
              <w:spacing w:after="0"/>
              <w:rPr>
                <w:sz w:val="20"/>
                <w:szCs w:val="20"/>
                <w:color w:val="auto"/>
              </w:rPr>
            </w:pPr>
            <w:r>
              <w:rPr>
                <w:rFonts w:ascii="Arial" w:cs="Arial" w:eastAsia="Arial" w:hAnsi="Arial"/>
                <w:sz w:val="18"/>
                <w:szCs w:val="18"/>
                <w:color w:val="auto"/>
              </w:rPr>
              <w:t>Board Refreshment and Continuing Education</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16</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ind w:left="660"/>
              <w:spacing w:after="0"/>
              <w:rPr>
                <w:sz w:val="20"/>
                <w:szCs w:val="20"/>
                <w:color w:val="auto"/>
              </w:rPr>
            </w:pPr>
            <w:r>
              <w:rPr>
                <w:rFonts w:ascii="Arial" w:cs="Arial" w:eastAsia="Arial" w:hAnsi="Arial"/>
                <w:sz w:val="18"/>
                <w:szCs w:val="18"/>
                <w:color w:val="auto"/>
              </w:rPr>
              <w:t>Nominees for Election</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7</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Chief Executive Officer Pay Ratio</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73</w:t>
            </w:r>
          </w:p>
        </w:tc>
        <w:tc>
          <w:tcPr>
            <w:tcW w:w="0" w:type="dxa"/>
            <w:vAlign w:val="bottom"/>
          </w:tcPr>
          <w:p>
            <w:pPr>
              <w:spacing w:after="0"/>
              <w:rPr>
                <w:sz w:val="1"/>
                <w:szCs w:val="1"/>
                <w:color w:val="auto"/>
              </w:rPr>
            </w:pPr>
          </w:p>
        </w:tc>
      </w:tr>
      <w:tr>
        <w:trPr>
          <w:trHeight w:val="228"/>
        </w:trPr>
        <w:tc>
          <w:tcPr>
            <w:tcW w:w="4880" w:type="dxa"/>
            <w:vAlign w:val="bottom"/>
          </w:tcPr>
          <w:p>
            <w:pPr>
              <w:ind w:left="440"/>
              <w:spacing w:after="0"/>
              <w:rPr>
                <w:sz w:val="20"/>
                <w:szCs w:val="20"/>
                <w:color w:val="auto"/>
              </w:rPr>
            </w:pPr>
            <w:r>
              <w:rPr>
                <w:rFonts w:ascii="Arial" w:cs="Arial" w:eastAsia="Arial" w:hAnsi="Arial"/>
                <w:sz w:val="18"/>
                <w:szCs w:val="18"/>
                <w:color w:val="auto"/>
              </w:rPr>
              <w:t>Director Nominees’ Skills and Experience</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13</w:t>
            </w:r>
          </w:p>
        </w:tc>
        <w:tc>
          <w:tcPr>
            <w:tcW w:w="4600" w:type="dxa"/>
            <w:vAlign w:val="bottom"/>
          </w:tcPr>
          <w:p>
            <w:pPr>
              <w:spacing w:after="0"/>
              <w:rPr>
                <w:sz w:val="20"/>
                <w:szCs w:val="20"/>
                <w:color w:val="auto"/>
              </w:rPr>
            </w:pPr>
            <w:r>
              <w:rPr>
                <w:rFonts w:ascii="Arial" w:cs="Arial" w:eastAsia="Arial" w:hAnsi="Arial"/>
                <w:sz w:val="18"/>
                <w:szCs w:val="18"/>
                <w:color w:val="auto"/>
              </w:rPr>
              <w:t>Code of Business Conduct and Ethics</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28</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ind w:left="440"/>
              <w:spacing w:after="0"/>
              <w:rPr>
                <w:sz w:val="20"/>
                <w:szCs w:val="20"/>
                <w:color w:val="auto"/>
              </w:rPr>
            </w:pPr>
            <w:r>
              <w:rPr>
                <w:rFonts w:ascii="Arial" w:cs="Arial" w:eastAsia="Arial" w:hAnsi="Arial"/>
                <w:sz w:val="18"/>
                <w:szCs w:val="18"/>
                <w:color w:val="auto"/>
              </w:rPr>
              <w:t>Director Nominations and Board Refreshment</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16</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Components of our Executive Compensation Program</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46</w:t>
            </w:r>
          </w:p>
        </w:tc>
        <w:tc>
          <w:tcPr>
            <w:tcW w:w="0" w:type="dxa"/>
            <w:vAlign w:val="bottom"/>
          </w:tcPr>
          <w:p>
            <w:pPr>
              <w:spacing w:after="0"/>
              <w:rPr>
                <w:sz w:val="1"/>
                <w:szCs w:val="1"/>
                <w:color w:val="auto"/>
              </w:rPr>
            </w:pPr>
          </w:p>
        </w:tc>
      </w:tr>
      <w:tr>
        <w:trPr>
          <w:trHeight w:val="228"/>
        </w:trPr>
        <w:tc>
          <w:tcPr>
            <w:tcW w:w="4880" w:type="dxa"/>
            <w:vAlign w:val="bottom"/>
          </w:tcPr>
          <w:p>
            <w:pPr>
              <w:ind w:left="440"/>
              <w:spacing w:after="0"/>
              <w:rPr>
                <w:sz w:val="20"/>
                <w:szCs w:val="20"/>
                <w:color w:val="auto"/>
              </w:rPr>
            </w:pPr>
            <w:r>
              <w:rPr>
                <w:rFonts w:ascii="Arial" w:cs="Arial" w:eastAsia="Arial" w:hAnsi="Arial"/>
                <w:sz w:val="18"/>
                <w:szCs w:val="18"/>
                <w:color w:val="auto"/>
              </w:rPr>
              <w:t>Board Structure</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19</w:t>
            </w:r>
          </w:p>
        </w:tc>
        <w:tc>
          <w:tcPr>
            <w:tcW w:w="4600" w:type="dxa"/>
            <w:vAlign w:val="bottom"/>
          </w:tcPr>
          <w:p>
            <w:pPr>
              <w:spacing w:after="0"/>
              <w:rPr>
                <w:sz w:val="20"/>
                <w:szCs w:val="20"/>
                <w:color w:val="auto"/>
              </w:rPr>
            </w:pPr>
            <w:r>
              <w:rPr>
                <w:rFonts w:ascii="Arial" w:cs="Arial" w:eastAsia="Arial" w:hAnsi="Arial"/>
                <w:sz w:val="18"/>
                <w:szCs w:val="18"/>
                <w:color w:val="auto"/>
              </w:rPr>
              <w:t>Compensation Consultant</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44</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ind w:left="440"/>
              <w:spacing w:after="0"/>
              <w:rPr>
                <w:sz w:val="20"/>
                <w:szCs w:val="20"/>
                <w:color w:val="auto"/>
              </w:rPr>
            </w:pPr>
            <w:r>
              <w:rPr>
                <w:rFonts w:ascii="Arial" w:cs="Arial" w:eastAsia="Arial" w:hAnsi="Arial"/>
                <w:sz w:val="18"/>
                <w:szCs w:val="18"/>
                <w:color w:val="auto"/>
              </w:rPr>
              <w:t>The Board’s Roles and Responsibilities</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24</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Cybersecurity Oversight</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25</w:t>
            </w: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Shareholder Outreach</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29</w:t>
            </w:r>
          </w:p>
        </w:tc>
        <w:tc>
          <w:tcPr>
            <w:tcW w:w="4600" w:type="dxa"/>
            <w:vAlign w:val="bottom"/>
          </w:tcPr>
          <w:p>
            <w:pPr>
              <w:spacing w:after="0"/>
              <w:rPr>
                <w:sz w:val="20"/>
                <w:szCs w:val="20"/>
                <w:color w:val="auto"/>
              </w:rPr>
            </w:pPr>
            <w:r>
              <w:rPr>
                <w:rFonts w:ascii="Arial" w:cs="Arial" w:eastAsia="Arial" w:hAnsi="Arial"/>
                <w:sz w:val="18"/>
                <w:szCs w:val="18"/>
                <w:color w:val="auto"/>
              </w:rPr>
              <w:t>Director Independence</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19</w:t>
            </w:r>
          </w:p>
        </w:tc>
        <w:tc>
          <w:tcPr>
            <w:tcW w:w="0" w:type="dxa"/>
            <w:vAlign w:val="bottom"/>
          </w:tcPr>
          <w:p>
            <w:pPr>
              <w:spacing w:after="0"/>
              <w:rPr>
                <w:sz w:val="1"/>
                <w:szCs w:val="1"/>
                <w:color w:val="auto"/>
              </w:rPr>
            </w:pPr>
          </w:p>
        </w:tc>
      </w:tr>
      <w:tr>
        <w:trPr>
          <w:trHeight w:val="242"/>
        </w:trPr>
        <w:tc>
          <w:tcPr>
            <w:tcW w:w="4880" w:type="dxa"/>
            <w:vAlign w:val="bottom"/>
            <w:shd w:val="clear" w:color="auto" w:fill="F2F2F2"/>
          </w:tcPr>
          <w:p>
            <w:pPr>
              <w:spacing w:after="0"/>
              <w:rPr>
                <w:sz w:val="20"/>
                <w:szCs w:val="20"/>
                <w:color w:val="auto"/>
              </w:rPr>
            </w:pPr>
            <w:r>
              <w:rPr>
                <w:rFonts w:ascii="Arial" w:cs="Arial" w:eastAsia="Arial" w:hAnsi="Arial"/>
                <w:sz w:val="18"/>
                <w:szCs w:val="18"/>
                <w:color w:val="auto"/>
              </w:rPr>
              <w:t>Certain Relationships and Related Person Transactions</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31</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Director Nominees’ Skills and Experience Matrix</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13</w:t>
            </w: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Director Compensation</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32</w:t>
            </w:r>
          </w:p>
        </w:tc>
        <w:tc>
          <w:tcPr>
            <w:tcW w:w="4600" w:type="dxa"/>
            <w:vAlign w:val="bottom"/>
          </w:tcPr>
          <w:p>
            <w:pPr>
              <w:spacing w:after="0"/>
              <w:rPr>
                <w:sz w:val="20"/>
                <w:szCs w:val="20"/>
                <w:color w:val="auto"/>
              </w:rPr>
            </w:pPr>
            <w:r>
              <w:rPr>
                <w:rFonts w:ascii="Arial" w:cs="Arial" w:eastAsia="Arial" w:hAnsi="Arial"/>
                <w:sz w:val="18"/>
                <w:szCs w:val="18"/>
                <w:color w:val="auto"/>
              </w:rPr>
              <w:t>Director Stock Ownership Guidelines</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34</w:t>
            </w:r>
          </w:p>
        </w:tc>
        <w:tc>
          <w:tcPr>
            <w:tcW w:w="0" w:type="dxa"/>
            <w:vAlign w:val="bottom"/>
          </w:tcPr>
          <w:p>
            <w:pPr>
              <w:spacing w:after="0"/>
              <w:rPr>
                <w:sz w:val="1"/>
                <w:szCs w:val="1"/>
                <w:color w:val="auto"/>
              </w:rPr>
            </w:pPr>
          </w:p>
        </w:tc>
      </w:tr>
      <w:tr>
        <w:trPr>
          <w:trHeight w:val="242"/>
        </w:trPr>
        <w:tc>
          <w:tcPr>
            <w:tcW w:w="4880" w:type="dxa"/>
            <w:vAlign w:val="bottom"/>
            <w:shd w:val="clear" w:color="auto" w:fill="F2F2F2"/>
          </w:tcPr>
          <w:p>
            <w:pPr>
              <w:spacing w:after="0"/>
              <w:rPr>
                <w:sz w:val="20"/>
                <w:szCs w:val="20"/>
                <w:color w:val="auto"/>
              </w:rPr>
            </w:pPr>
            <w:r>
              <w:rPr>
                <w:rFonts w:ascii="Arial" w:cs="Arial" w:eastAsia="Arial" w:hAnsi="Arial"/>
                <w:sz w:val="18"/>
                <w:szCs w:val="18"/>
                <w:color w:val="auto"/>
              </w:rPr>
              <w:t>Executive Compensation and Related Information</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35</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Director Tenure</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15</w:t>
            </w:r>
          </w:p>
        </w:tc>
        <w:tc>
          <w:tcPr>
            <w:tcW w:w="0" w:type="dxa"/>
            <w:vAlign w:val="bottom"/>
          </w:tcPr>
          <w:p>
            <w:pPr>
              <w:spacing w:after="0"/>
              <w:rPr>
                <w:sz w:val="1"/>
                <w:szCs w:val="1"/>
                <w:color w:val="auto"/>
              </w:rPr>
            </w:pPr>
          </w:p>
        </w:tc>
      </w:tr>
      <w:tr>
        <w:trPr>
          <w:trHeight w:val="228"/>
        </w:trPr>
        <w:tc>
          <w:tcPr>
            <w:tcW w:w="4880" w:type="dxa"/>
            <w:vAlign w:val="bottom"/>
          </w:tcPr>
          <w:p>
            <w:pPr>
              <w:ind w:left="220"/>
              <w:spacing w:after="0"/>
              <w:rPr>
                <w:sz w:val="20"/>
                <w:szCs w:val="20"/>
                <w:color w:val="auto"/>
              </w:rPr>
            </w:pPr>
            <w:r>
              <w:rPr>
                <w:rFonts w:ascii="Arial" w:cs="Arial" w:eastAsia="Arial" w:hAnsi="Arial"/>
                <w:sz w:val="18"/>
                <w:szCs w:val="18"/>
                <w:color w:val="auto"/>
              </w:rPr>
              <w:t>Proposal 2 - Say-on-Pay</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35</w:t>
            </w:r>
          </w:p>
        </w:tc>
        <w:tc>
          <w:tcPr>
            <w:tcW w:w="4600" w:type="dxa"/>
            <w:vAlign w:val="bottom"/>
          </w:tcPr>
          <w:p>
            <w:pPr>
              <w:spacing w:after="0"/>
              <w:rPr>
                <w:sz w:val="20"/>
                <w:szCs w:val="20"/>
                <w:color w:val="auto"/>
              </w:rPr>
            </w:pPr>
            <w:r>
              <w:rPr>
                <w:rFonts w:ascii="Arial" w:cs="Arial" w:eastAsia="Arial" w:hAnsi="Arial"/>
                <w:sz w:val="18"/>
                <w:szCs w:val="18"/>
                <w:color w:val="auto"/>
              </w:rPr>
              <w:t>Director Time Commitment Policy</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18</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ind w:left="220"/>
              <w:spacing w:after="0"/>
              <w:rPr>
                <w:sz w:val="20"/>
                <w:szCs w:val="20"/>
                <w:color w:val="auto"/>
              </w:rPr>
            </w:pPr>
            <w:r>
              <w:rPr>
                <w:rFonts w:ascii="Arial" w:cs="Arial" w:eastAsia="Arial" w:hAnsi="Arial"/>
                <w:sz w:val="18"/>
                <w:szCs w:val="18"/>
                <w:color w:val="auto"/>
              </w:rPr>
              <w:t>Compensation Discussion and Analysis</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36</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Enterprise Risk Management Oversight</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24</w:t>
            </w:r>
          </w:p>
        </w:tc>
        <w:tc>
          <w:tcPr>
            <w:tcW w:w="0" w:type="dxa"/>
            <w:vAlign w:val="bottom"/>
          </w:tcPr>
          <w:p>
            <w:pPr>
              <w:spacing w:after="0"/>
              <w:rPr>
                <w:sz w:val="1"/>
                <w:szCs w:val="1"/>
                <w:color w:val="auto"/>
              </w:rPr>
            </w:pPr>
          </w:p>
        </w:tc>
      </w:tr>
      <w:tr>
        <w:trPr>
          <w:trHeight w:val="228"/>
        </w:trPr>
        <w:tc>
          <w:tcPr>
            <w:tcW w:w="4880" w:type="dxa"/>
            <w:vAlign w:val="bottom"/>
          </w:tcPr>
          <w:p>
            <w:pPr>
              <w:ind w:left="220"/>
              <w:spacing w:after="0"/>
              <w:rPr>
                <w:sz w:val="20"/>
                <w:szCs w:val="20"/>
                <w:color w:val="auto"/>
              </w:rPr>
            </w:pPr>
            <w:r>
              <w:rPr>
                <w:rFonts w:ascii="Arial" w:cs="Arial" w:eastAsia="Arial" w:hAnsi="Arial"/>
                <w:sz w:val="18"/>
                <w:szCs w:val="18"/>
                <w:color w:val="auto"/>
              </w:rPr>
              <w:t>Compensation Committee Report</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64</w:t>
            </w:r>
          </w:p>
        </w:tc>
        <w:tc>
          <w:tcPr>
            <w:tcW w:w="4600" w:type="dxa"/>
            <w:vAlign w:val="bottom"/>
          </w:tcPr>
          <w:p>
            <w:pPr>
              <w:spacing w:after="0"/>
              <w:rPr>
                <w:sz w:val="20"/>
                <w:szCs w:val="20"/>
                <w:color w:val="auto"/>
              </w:rPr>
            </w:pPr>
            <w:r>
              <w:rPr>
                <w:rFonts w:ascii="Arial" w:cs="Arial" w:eastAsia="Arial" w:hAnsi="Arial"/>
                <w:sz w:val="18"/>
                <w:szCs w:val="18"/>
                <w:color w:val="auto"/>
              </w:rPr>
              <w:t>Executive Compensation Highlights</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38</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ind w:left="220"/>
              <w:spacing w:after="0"/>
              <w:rPr>
                <w:sz w:val="20"/>
                <w:szCs w:val="20"/>
                <w:color w:val="auto"/>
              </w:rPr>
            </w:pPr>
            <w:r>
              <w:rPr>
                <w:rFonts w:ascii="Arial" w:cs="Arial" w:eastAsia="Arial" w:hAnsi="Arial"/>
                <w:sz w:val="18"/>
                <w:szCs w:val="18"/>
                <w:color w:val="auto"/>
              </w:rPr>
              <w:t>Compensation Tables</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65</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Executive Compensation Practices</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41</w:t>
            </w:r>
          </w:p>
        </w:tc>
        <w:tc>
          <w:tcPr>
            <w:tcW w:w="0" w:type="dxa"/>
            <w:vAlign w:val="bottom"/>
          </w:tcPr>
          <w:p>
            <w:pPr>
              <w:spacing w:after="0"/>
              <w:rPr>
                <w:sz w:val="1"/>
                <w:szCs w:val="1"/>
                <w:color w:val="auto"/>
              </w:rPr>
            </w:pPr>
          </w:p>
        </w:tc>
      </w:tr>
      <w:tr>
        <w:trPr>
          <w:trHeight w:val="228"/>
        </w:trPr>
        <w:tc>
          <w:tcPr>
            <w:tcW w:w="4880" w:type="dxa"/>
            <w:vAlign w:val="bottom"/>
          </w:tcPr>
          <w:p>
            <w:pPr>
              <w:ind w:left="440"/>
              <w:spacing w:after="0"/>
              <w:rPr>
                <w:sz w:val="20"/>
                <w:szCs w:val="20"/>
                <w:color w:val="auto"/>
              </w:rPr>
            </w:pPr>
            <w:r>
              <w:rPr>
                <w:rFonts w:ascii="Arial" w:cs="Arial" w:eastAsia="Arial" w:hAnsi="Arial"/>
                <w:sz w:val="18"/>
                <w:szCs w:val="18"/>
                <w:color w:val="auto"/>
              </w:rPr>
              <w:t>Fiscal 2025 Summary Compensation Table</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65</w:t>
            </w:r>
          </w:p>
        </w:tc>
        <w:tc>
          <w:tcPr>
            <w:tcW w:w="4600" w:type="dxa"/>
            <w:vAlign w:val="bottom"/>
          </w:tcPr>
          <w:p>
            <w:pPr>
              <w:spacing w:after="0"/>
              <w:rPr>
                <w:sz w:val="20"/>
                <w:szCs w:val="20"/>
                <w:color w:val="auto"/>
              </w:rPr>
            </w:pPr>
            <w:r>
              <w:rPr>
                <w:rFonts w:ascii="Arial" w:cs="Arial" w:eastAsia="Arial" w:hAnsi="Arial"/>
                <w:sz w:val="18"/>
                <w:szCs w:val="18"/>
                <w:color w:val="auto"/>
              </w:rPr>
              <w:t>Financial and Business Highlights</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37</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ind w:left="440"/>
              <w:spacing w:after="0"/>
              <w:rPr>
                <w:sz w:val="20"/>
                <w:szCs w:val="20"/>
                <w:color w:val="auto"/>
              </w:rPr>
            </w:pPr>
            <w:r>
              <w:rPr>
                <w:rFonts w:ascii="Arial" w:cs="Arial" w:eastAsia="Arial" w:hAnsi="Arial"/>
                <w:sz w:val="18"/>
                <w:szCs w:val="18"/>
                <w:color w:val="auto"/>
              </w:rPr>
              <w:t>Grants of Plan-Based Awards</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67</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Fiscal 2025 Director Compensation</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32</w:t>
            </w:r>
          </w:p>
        </w:tc>
        <w:tc>
          <w:tcPr>
            <w:tcW w:w="0" w:type="dxa"/>
            <w:vAlign w:val="bottom"/>
          </w:tcPr>
          <w:p>
            <w:pPr>
              <w:spacing w:after="0"/>
              <w:rPr>
                <w:sz w:val="1"/>
                <w:szCs w:val="1"/>
                <w:color w:val="auto"/>
              </w:rPr>
            </w:pPr>
          </w:p>
        </w:tc>
      </w:tr>
      <w:tr>
        <w:trPr>
          <w:trHeight w:val="228"/>
        </w:trPr>
        <w:tc>
          <w:tcPr>
            <w:tcW w:w="4880" w:type="dxa"/>
            <w:vAlign w:val="bottom"/>
          </w:tcPr>
          <w:p>
            <w:pPr>
              <w:ind w:left="440"/>
              <w:spacing w:after="0"/>
              <w:rPr>
                <w:sz w:val="20"/>
                <w:szCs w:val="20"/>
                <w:color w:val="auto"/>
              </w:rPr>
            </w:pPr>
            <w:r>
              <w:rPr>
                <w:rFonts w:ascii="Arial" w:cs="Arial" w:eastAsia="Arial" w:hAnsi="Arial"/>
                <w:sz w:val="18"/>
                <w:szCs w:val="18"/>
                <w:color w:val="auto"/>
              </w:rPr>
              <w:t>Outstanding Equity Awards</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69</w:t>
            </w:r>
          </w:p>
        </w:tc>
        <w:tc>
          <w:tcPr>
            <w:tcW w:w="4600" w:type="dxa"/>
            <w:vAlign w:val="bottom"/>
          </w:tcPr>
          <w:p>
            <w:pPr>
              <w:spacing w:after="0"/>
              <w:rPr>
                <w:sz w:val="20"/>
                <w:szCs w:val="20"/>
                <w:color w:val="auto"/>
              </w:rPr>
            </w:pPr>
            <w:r>
              <w:rPr>
                <w:rFonts w:ascii="Arial" w:cs="Arial" w:eastAsia="Arial" w:hAnsi="Arial"/>
                <w:sz w:val="18"/>
                <w:szCs w:val="18"/>
                <w:color w:val="auto"/>
              </w:rPr>
              <w:t>Human Capital and Culture</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26</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ind w:left="440"/>
              <w:spacing w:after="0"/>
              <w:rPr>
                <w:sz w:val="20"/>
                <w:szCs w:val="20"/>
                <w:color w:val="auto"/>
              </w:rPr>
            </w:pPr>
            <w:r>
              <w:rPr>
                <w:rFonts w:ascii="Arial" w:cs="Arial" w:eastAsia="Arial" w:hAnsi="Arial"/>
                <w:sz w:val="18"/>
                <w:szCs w:val="18"/>
                <w:color w:val="auto"/>
              </w:rPr>
              <w:t>Stock Vested in Fiscal 2025</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72</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Named Executive Officers</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36</w:t>
            </w:r>
          </w:p>
        </w:tc>
        <w:tc>
          <w:tcPr>
            <w:tcW w:w="0" w:type="dxa"/>
            <w:vAlign w:val="bottom"/>
          </w:tcPr>
          <w:p>
            <w:pPr>
              <w:spacing w:after="0"/>
              <w:rPr>
                <w:sz w:val="1"/>
                <w:szCs w:val="1"/>
                <w:color w:val="auto"/>
              </w:rPr>
            </w:pPr>
          </w:p>
        </w:tc>
      </w:tr>
      <w:tr>
        <w:trPr>
          <w:trHeight w:val="228"/>
        </w:trPr>
        <w:tc>
          <w:tcPr>
            <w:tcW w:w="4880" w:type="dxa"/>
            <w:vAlign w:val="bottom"/>
          </w:tcPr>
          <w:p>
            <w:pPr>
              <w:ind w:left="440"/>
              <w:spacing w:after="0"/>
              <w:rPr>
                <w:sz w:val="20"/>
                <w:szCs w:val="20"/>
                <w:color w:val="auto"/>
              </w:rPr>
            </w:pPr>
            <w:r>
              <w:rPr>
                <w:rFonts w:ascii="Arial" w:cs="Arial" w:eastAsia="Arial" w:hAnsi="Arial"/>
                <w:sz w:val="18"/>
                <w:szCs w:val="18"/>
                <w:color w:val="auto"/>
              </w:rPr>
              <w:t>Nonqualified Deferred Compensation</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73</w:t>
            </w:r>
          </w:p>
        </w:tc>
        <w:tc>
          <w:tcPr>
            <w:tcW w:w="4600" w:type="dxa"/>
            <w:vAlign w:val="bottom"/>
          </w:tcPr>
          <w:p>
            <w:pPr>
              <w:spacing w:after="0"/>
              <w:rPr>
                <w:sz w:val="20"/>
                <w:szCs w:val="20"/>
                <w:color w:val="auto"/>
              </w:rPr>
            </w:pPr>
            <w:r>
              <w:rPr>
                <w:rFonts w:ascii="Arial" w:cs="Arial" w:eastAsia="Arial" w:hAnsi="Arial"/>
                <w:sz w:val="18"/>
                <w:szCs w:val="18"/>
                <w:color w:val="auto"/>
              </w:rPr>
              <w:t>Nominees for Director and Director Biographies</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BD03F7"/>
                <w:w w:val="99"/>
              </w:rPr>
              <w:t>7</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spacing w:after="0"/>
              <w:rPr>
                <w:sz w:val="20"/>
                <w:szCs w:val="20"/>
                <w:color w:val="auto"/>
              </w:rPr>
            </w:pPr>
            <w:r>
              <w:rPr>
                <w:rFonts w:ascii="Arial" w:cs="Arial" w:eastAsia="Arial" w:hAnsi="Arial"/>
                <w:sz w:val="18"/>
                <w:szCs w:val="18"/>
                <w:color w:val="auto"/>
              </w:rPr>
              <w:t>Chief Executive Officer Pay Ratio</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73</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Executive Officer Stock Ownership Guidelines</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59</w:t>
            </w: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Potential Payments Upon Termination or Change in Control</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74</w:t>
            </w:r>
          </w:p>
        </w:tc>
        <w:tc>
          <w:tcPr>
            <w:tcW w:w="4600" w:type="dxa"/>
            <w:vAlign w:val="bottom"/>
          </w:tcPr>
          <w:p>
            <w:pPr>
              <w:spacing w:after="0"/>
              <w:rPr>
                <w:sz w:val="20"/>
                <w:szCs w:val="20"/>
                <w:color w:val="auto"/>
              </w:rPr>
            </w:pPr>
            <w:r>
              <w:rPr>
                <w:rFonts w:ascii="Arial" w:cs="Arial" w:eastAsia="Arial" w:hAnsi="Arial"/>
                <w:sz w:val="18"/>
                <w:szCs w:val="18"/>
                <w:color w:val="auto"/>
              </w:rPr>
              <w:t>Pay-for-Performance</w:t>
            </w:r>
          </w:p>
        </w:tc>
        <w:tc>
          <w:tcPr>
            <w:tcW w:w="860" w:type="dxa"/>
            <w:vAlign w:val="bottom"/>
          </w:tcPr>
          <w:p>
            <w:pPr>
              <w:jc w:val="center"/>
              <w:ind w:left="130"/>
              <w:spacing w:after="0"/>
              <w:rPr>
                <w:sz w:val="20"/>
                <w:szCs w:val="20"/>
                <w:color w:val="auto"/>
              </w:rPr>
            </w:pPr>
            <w:r>
              <w:rPr>
                <w:rFonts w:ascii="Arial" w:cs="Arial" w:eastAsia="Arial" w:hAnsi="Arial"/>
                <w:sz w:val="18"/>
                <w:szCs w:val="18"/>
                <w:b w:val="1"/>
                <w:bCs w:val="1"/>
                <w:color w:val="BD03F7"/>
                <w:w w:val="99"/>
              </w:rPr>
              <w:t>80</w:t>
            </w: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spacing w:after="0"/>
              <w:rPr>
                <w:sz w:val="20"/>
                <w:szCs w:val="20"/>
                <w:color w:val="auto"/>
              </w:rPr>
            </w:pPr>
            <w:r>
              <w:rPr>
                <w:rFonts w:ascii="Arial" w:cs="Arial" w:eastAsia="Arial" w:hAnsi="Arial"/>
                <w:sz w:val="18"/>
                <w:szCs w:val="18"/>
                <w:color w:val="auto"/>
              </w:rPr>
              <w:t>Equity Compensation Plan Information</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78</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Peer Group</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45</w:t>
            </w:r>
          </w:p>
        </w:tc>
        <w:tc>
          <w:tcPr>
            <w:tcW w:w="0" w:type="dxa"/>
            <w:vAlign w:val="bottom"/>
          </w:tcPr>
          <w:p>
            <w:pPr>
              <w:spacing w:after="0"/>
              <w:rPr>
                <w:sz w:val="1"/>
                <w:szCs w:val="1"/>
                <w:color w:val="auto"/>
              </w:rPr>
            </w:pPr>
          </w:p>
        </w:tc>
      </w:tr>
      <w:tr>
        <w:trPr>
          <w:trHeight w:val="175"/>
        </w:trPr>
        <w:tc>
          <w:tcPr>
            <w:tcW w:w="4880" w:type="dxa"/>
            <w:vAlign w:val="bottom"/>
            <w:vMerge w:val="restart"/>
          </w:tcPr>
          <w:p>
            <w:pPr>
              <w:spacing w:after="0"/>
              <w:rPr>
                <w:sz w:val="20"/>
                <w:szCs w:val="20"/>
                <w:color w:val="auto"/>
              </w:rPr>
            </w:pPr>
            <w:r>
              <w:rPr>
                <w:rFonts w:ascii="Arial" w:cs="Arial" w:eastAsia="Arial" w:hAnsi="Arial"/>
                <w:sz w:val="18"/>
                <w:szCs w:val="18"/>
                <w:color w:val="auto"/>
              </w:rPr>
              <w:t>Pay Versus Performance</w:t>
            </w:r>
          </w:p>
        </w:tc>
        <w:tc>
          <w:tcPr>
            <w:tcW w:w="6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b w:val="1"/>
                <w:bCs w:val="1"/>
                <w:color w:val="BD03F7"/>
                <w:w w:val="99"/>
              </w:rPr>
              <w:t>80</w:t>
            </w:r>
          </w:p>
        </w:tc>
        <w:tc>
          <w:tcPr>
            <w:tcW w:w="4600" w:type="dxa"/>
            <w:vAlign w:val="bottom"/>
          </w:tcPr>
          <w:p>
            <w:pPr>
              <w:spacing w:after="0" w:line="175" w:lineRule="exact"/>
              <w:rPr>
                <w:sz w:val="20"/>
                <w:szCs w:val="20"/>
                <w:color w:val="auto"/>
              </w:rPr>
            </w:pPr>
            <w:r>
              <w:rPr>
                <w:rFonts w:ascii="Arial" w:cs="Arial" w:eastAsia="Arial" w:hAnsi="Arial"/>
                <w:sz w:val="18"/>
                <w:szCs w:val="18"/>
                <w:color w:val="auto"/>
              </w:rPr>
              <w:t>Potential Payments Upon Termination or a Change in</w:t>
            </w:r>
          </w:p>
        </w:tc>
        <w:tc>
          <w:tcPr>
            <w:tcW w:w="86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BD03F7"/>
                <w:w w:val="99"/>
              </w:rPr>
              <w:t>74</w:t>
            </w:r>
          </w:p>
        </w:tc>
        <w:tc>
          <w:tcPr>
            <w:tcW w:w="0" w:type="dxa"/>
            <w:vAlign w:val="bottom"/>
          </w:tcPr>
          <w:p>
            <w:pPr>
              <w:spacing w:after="0"/>
              <w:rPr>
                <w:sz w:val="1"/>
                <w:szCs w:val="1"/>
                <w:color w:val="auto"/>
              </w:rPr>
            </w:pPr>
          </w:p>
        </w:tc>
      </w:tr>
      <w:tr>
        <w:trPr>
          <w:trHeight w:val="242"/>
        </w:trPr>
        <w:tc>
          <w:tcPr>
            <w:tcW w:w="4880" w:type="dxa"/>
            <w:vAlign w:val="bottom"/>
            <w:vMerge w:val="continue"/>
          </w:tcPr>
          <w:p>
            <w:pPr>
              <w:spacing w:after="0"/>
              <w:rPr>
                <w:sz w:val="21"/>
                <w:szCs w:val="21"/>
                <w:color w:val="auto"/>
              </w:rPr>
            </w:pPr>
          </w:p>
        </w:tc>
        <w:tc>
          <w:tcPr>
            <w:tcW w:w="680" w:type="dxa"/>
            <w:vAlign w:val="bottom"/>
            <w:tcBorders>
              <w:right w:val="single" w:sz="8" w:color="B6B6B6"/>
            </w:tcBorders>
            <w:vMerge w:val="continue"/>
          </w:tcPr>
          <w:p>
            <w:pPr>
              <w:spacing w:after="0"/>
              <w:rPr>
                <w:sz w:val="21"/>
                <w:szCs w:val="21"/>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Control</w:t>
            </w: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80" w:type="dxa"/>
            <w:vAlign w:val="bottom"/>
            <w:shd w:val="clear" w:color="auto" w:fill="F2F2F2"/>
          </w:tcPr>
          <w:p>
            <w:pPr>
              <w:spacing w:after="0" w:line="175" w:lineRule="exact"/>
              <w:rPr>
                <w:sz w:val="20"/>
                <w:szCs w:val="20"/>
                <w:color w:val="auto"/>
              </w:rPr>
            </w:pPr>
            <w:r>
              <w:rPr>
                <w:rFonts w:ascii="Arial" w:cs="Arial" w:eastAsia="Arial" w:hAnsi="Arial"/>
                <w:sz w:val="18"/>
                <w:szCs w:val="18"/>
                <w:color w:val="auto"/>
              </w:rPr>
              <w:t>Proposal 3 - Approval of Amendment to our Restated</w:t>
            </w:r>
          </w:p>
        </w:tc>
        <w:tc>
          <w:tcPr>
            <w:tcW w:w="680" w:type="dxa"/>
            <w:vAlign w:val="bottom"/>
            <w:tcBorders>
              <w:right w:val="single" w:sz="8" w:color="B6B6B6"/>
            </w:tcBorders>
            <w:shd w:val="clear" w:color="auto" w:fill="F2F2F2"/>
          </w:tcPr>
          <w:p>
            <w:pPr>
              <w:spacing w:after="0"/>
              <w:rPr>
                <w:sz w:val="15"/>
                <w:szCs w:val="15"/>
                <w:color w:val="auto"/>
              </w:rPr>
            </w:pPr>
          </w:p>
        </w:tc>
        <w:tc>
          <w:tcPr>
            <w:tcW w:w="4600" w:type="dxa"/>
            <w:vAlign w:val="bottom"/>
            <w:shd w:val="clear" w:color="auto" w:fill="F2F2F2"/>
          </w:tcPr>
          <w:p>
            <w:pPr>
              <w:spacing w:after="0"/>
              <w:rPr>
                <w:sz w:val="15"/>
                <w:szCs w:val="15"/>
                <w:color w:val="auto"/>
              </w:rPr>
            </w:pPr>
          </w:p>
        </w:tc>
        <w:tc>
          <w:tcPr>
            <w:tcW w:w="86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shd w:val="clear" w:color="auto" w:fill="F2F2F2"/>
          </w:tcPr>
          <w:p>
            <w:pPr>
              <w:spacing w:after="0" w:line="175" w:lineRule="exact"/>
              <w:rPr>
                <w:sz w:val="20"/>
                <w:szCs w:val="20"/>
                <w:color w:val="auto"/>
              </w:rPr>
            </w:pPr>
            <w:r>
              <w:rPr>
                <w:rFonts w:ascii="Arial" w:cs="Arial" w:eastAsia="Arial" w:hAnsi="Arial"/>
                <w:sz w:val="18"/>
                <w:szCs w:val="18"/>
                <w:color w:val="auto"/>
              </w:rPr>
              <w:t>Certificate of Incorporation to Provide Exculpatory Protection</w:t>
            </w:r>
          </w:p>
        </w:tc>
        <w:tc>
          <w:tcPr>
            <w:tcW w:w="680" w:type="dxa"/>
            <w:vAlign w:val="bottom"/>
            <w:tcBorders>
              <w:right w:val="single" w:sz="8" w:color="B6B6B6"/>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85</w:t>
            </w:r>
          </w:p>
        </w:tc>
        <w:tc>
          <w:tcPr>
            <w:tcW w:w="460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Report of the Audit Committee</w:t>
            </w:r>
          </w:p>
        </w:tc>
        <w:tc>
          <w:tcPr>
            <w:tcW w:w="860" w:type="dxa"/>
            <w:vAlign w:val="bottom"/>
            <w:vMerge w:val="restart"/>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88</w:t>
            </w:r>
          </w:p>
        </w:tc>
        <w:tc>
          <w:tcPr>
            <w:tcW w:w="0" w:type="dxa"/>
            <w:vAlign w:val="bottom"/>
          </w:tcPr>
          <w:p>
            <w:pPr>
              <w:spacing w:after="0"/>
              <w:rPr>
                <w:sz w:val="1"/>
                <w:szCs w:val="1"/>
                <w:color w:val="auto"/>
              </w:rPr>
            </w:pPr>
          </w:p>
        </w:tc>
      </w:tr>
      <w:tr>
        <w:trPr>
          <w:trHeight w:val="242"/>
        </w:trPr>
        <w:tc>
          <w:tcPr>
            <w:tcW w:w="4880" w:type="dxa"/>
            <w:vAlign w:val="bottom"/>
            <w:shd w:val="clear" w:color="auto" w:fill="F2F2F2"/>
          </w:tcPr>
          <w:p>
            <w:pPr>
              <w:spacing w:after="0"/>
              <w:rPr>
                <w:sz w:val="20"/>
                <w:szCs w:val="20"/>
                <w:color w:val="auto"/>
              </w:rPr>
            </w:pPr>
            <w:r>
              <w:rPr>
                <w:rFonts w:ascii="Arial" w:cs="Arial" w:eastAsia="Arial" w:hAnsi="Arial"/>
                <w:sz w:val="18"/>
                <w:szCs w:val="18"/>
                <w:color w:val="auto"/>
              </w:rPr>
              <w:t>to Certain Company Officers</w:t>
            </w:r>
          </w:p>
        </w:tc>
        <w:tc>
          <w:tcPr>
            <w:tcW w:w="680" w:type="dxa"/>
            <w:vAlign w:val="bottom"/>
            <w:tcBorders>
              <w:right w:val="single" w:sz="8" w:color="B6B6B6"/>
            </w:tcBorders>
            <w:vMerge w:val="continue"/>
            <w:shd w:val="clear" w:color="auto" w:fill="F2F2F2"/>
          </w:tcPr>
          <w:p>
            <w:pPr>
              <w:spacing w:after="0"/>
              <w:rPr>
                <w:sz w:val="21"/>
                <w:szCs w:val="21"/>
                <w:color w:val="auto"/>
              </w:rPr>
            </w:pPr>
          </w:p>
        </w:tc>
        <w:tc>
          <w:tcPr>
            <w:tcW w:w="4600" w:type="dxa"/>
            <w:vAlign w:val="bottom"/>
            <w:vMerge w:val="continue"/>
            <w:shd w:val="clear" w:color="auto" w:fill="F2F2F2"/>
          </w:tcPr>
          <w:p>
            <w:pPr>
              <w:spacing w:after="0"/>
              <w:rPr>
                <w:sz w:val="21"/>
                <w:szCs w:val="21"/>
                <w:color w:val="auto"/>
              </w:rPr>
            </w:pPr>
          </w:p>
        </w:tc>
        <w:tc>
          <w:tcPr>
            <w:tcW w:w="860" w:type="dxa"/>
            <w:vAlign w:val="bottom"/>
            <w:vMerge w:val="continue"/>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80" w:type="dxa"/>
            <w:vAlign w:val="bottom"/>
          </w:tcPr>
          <w:p>
            <w:pPr>
              <w:spacing w:after="0" w:line="175" w:lineRule="exact"/>
              <w:rPr>
                <w:sz w:val="20"/>
                <w:szCs w:val="20"/>
                <w:color w:val="auto"/>
              </w:rPr>
            </w:pPr>
            <w:r>
              <w:rPr>
                <w:rFonts w:ascii="Arial" w:cs="Arial" w:eastAsia="Arial" w:hAnsi="Arial"/>
                <w:sz w:val="18"/>
                <w:szCs w:val="18"/>
                <w:color w:val="auto"/>
              </w:rPr>
              <w:t>Proposal 4 - Ratification of Appointment of</w:t>
            </w:r>
          </w:p>
        </w:tc>
        <w:tc>
          <w:tcPr>
            <w:tcW w:w="6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b w:val="1"/>
                <w:bCs w:val="1"/>
                <w:color w:val="BD03F7"/>
                <w:w w:val="99"/>
              </w:rPr>
              <w:t>87</w:t>
            </w:r>
          </w:p>
        </w:tc>
        <w:tc>
          <w:tcPr>
            <w:tcW w:w="4600" w:type="dxa"/>
            <w:vAlign w:val="bottom"/>
            <w:vMerge w:val="restart"/>
          </w:tcPr>
          <w:p>
            <w:pPr>
              <w:spacing w:after="0"/>
              <w:rPr>
                <w:sz w:val="20"/>
                <w:szCs w:val="20"/>
                <w:color w:val="auto"/>
              </w:rPr>
            </w:pPr>
            <w:r>
              <w:rPr>
                <w:rFonts w:ascii="Arial" w:cs="Arial" w:eastAsia="Arial" w:hAnsi="Arial"/>
                <w:sz w:val="18"/>
                <w:szCs w:val="18"/>
                <w:color w:val="auto"/>
              </w:rPr>
              <w:t>Severance and Change in Control Arrangements</w:t>
            </w:r>
          </w:p>
        </w:tc>
        <w:tc>
          <w:tcPr>
            <w:tcW w:w="86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BD03F7"/>
                <w:w w:val="99"/>
              </w:rPr>
              <w:t>60</w:t>
            </w: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0"/>
                <w:szCs w:val="20"/>
                <w:color w:val="auto"/>
              </w:rPr>
            </w:pPr>
            <w:r>
              <w:rPr>
                <w:rFonts w:ascii="Arial" w:cs="Arial" w:eastAsia="Arial" w:hAnsi="Arial"/>
                <w:sz w:val="18"/>
                <w:szCs w:val="18"/>
                <w:color w:val="auto"/>
              </w:rPr>
              <w:t>PricewaterhouseCoopers LLP</w:t>
            </w:r>
          </w:p>
        </w:tc>
        <w:tc>
          <w:tcPr>
            <w:tcW w:w="680" w:type="dxa"/>
            <w:vAlign w:val="bottom"/>
            <w:tcBorders>
              <w:right w:val="single" w:sz="8" w:color="B6B6B6"/>
            </w:tcBorders>
            <w:vMerge w:val="continue"/>
          </w:tcPr>
          <w:p>
            <w:pPr>
              <w:spacing w:after="0"/>
              <w:rPr>
                <w:sz w:val="21"/>
                <w:szCs w:val="21"/>
                <w:color w:val="auto"/>
              </w:rPr>
            </w:pPr>
          </w:p>
        </w:tc>
        <w:tc>
          <w:tcPr>
            <w:tcW w:w="46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spacing w:after="0"/>
              <w:rPr>
                <w:sz w:val="20"/>
                <w:szCs w:val="20"/>
                <w:color w:val="auto"/>
              </w:rPr>
            </w:pPr>
            <w:r>
              <w:rPr>
                <w:rFonts w:ascii="Arial" w:cs="Arial" w:eastAsia="Arial" w:hAnsi="Arial"/>
                <w:sz w:val="18"/>
                <w:szCs w:val="18"/>
                <w:color w:val="auto"/>
              </w:rPr>
              <w:t>Principal Shareholders</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94</w:t>
            </w:r>
          </w:p>
        </w:tc>
        <w:tc>
          <w:tcPr>
            <w:tcW w:w="4600" w:type="dxa"/>
            <w:vAlign w:val="bottom"/>
            <w:shd w:val="clear" w:color="auto" w:fill="F2F2F2"/>
          </w:tcPr>
          <w:p>
            <w:pPr>
              <w:spacing w:after="0"/>
              <w:rPr>
                <w:sz w:val="20"/>
                <w:szCs w:val="20"/>
                <w:color w:val="auto"/>
              </w:rPr>
            </w:pPr>
            <w:r>
              <w:rPr>
                <w:rFonts w:ascii="Arial" w:cs="Arial" w:eastAsia="Arial" w:hAnsi="Arial"/>
                <w:sz w:val="18"/>
                <w:szCs w:val="18"/>
                <w:color w:val="auto"/>
              </w:rPr>
              <w:t>Sustainability</w:t>
            </w:r>
          </w:p>
        </w:tc>
        <w:tc>
          <w:tcPr>
            <w:tcW w:w="8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BD03F7"/>
                <w:w w:val="99"/>
              </w:rPr>
              <w:t>26</w:t>
            </w: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Information Concerning Solicitation and Voting</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96</w:t>
            </w:r>
          </w:p>
        </w:tc>
        <w:tc>
          <w:tcPr>
            <w:tcW w:w="4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spacing w:after="0"/>
              <w:rPr>
                <w:sz w:val="20"/>
                <w:szCs w:val="20"/>
                <w:color w:val="auto"/>
              </w:rPr>
            </w:pPr>
            <w:r>
              <w:rPr>
                <w:rFonts w:ascii="Arial" w:cs="Arial" w:eastAsia="Arial" w:hAnsi="Arial"/>
                <w:sz w:val="18"/>
                <w:szCs w:val="18"/>
                <w:color w:val="auto"/>
              </w:rPr>
              <w:t>Incorporation by Reference of Certain Financial Information</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100</w:t>
            </w:r>
          </w:p>
        </w:tc>
        <w:tc>
          <w:tcPr>
            <w:tcW w:w="4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Householding of Proxy Statements and Annual Reports</w:t>
            </w:r>
          </w:p>
        </w:tc>
        <w:tc>
          <w:tcPr>
            <w:tcW w:w="680" w:type="dxa"/>
            <w:vAlign w:val="bottom"/>
            <w:tcBorders>
              <w:right w:val="single" w:sz="8" w:color="B6B6B6"/>
            </w:tcBorders>
          </w:tcPr>
          <w:p>
            <w:pPr>
              <w:jc w:val="center"/>
              <w:spacing w:after="0"/>
              <w:rPr>
                <w:sz w:val="20"/>
                <w:szCs w:val="20"/>
                <w:color w:val="auto"/>
              </w:rPr>
            </w:pPr>
            <w:r>
              <w:rPr>
                <w:rFonts w:ascii="Arial" w:cs="Arial" w:eastAsia="Arial" w:hAnsi="Arial"/>
                <w:sz w:val="18"/>
                <w:szCs w:val="18"/>
                <w:b w:val="1"/>
                <w:bCs w:val="1"/>
                <w:color w:val="BD03F7"/>
                <w:w w:val="99"/>
              </w:rPr>
              <w:t>100</w:t>
            </w:r>
          </w:p>
        </w:tc>
        <w:tc>
          <w:tcPr>
            <w:tcW w:w="4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shd w:val="clear" w:color="auto" w:fill="F2F2F2"/>
          </w:tcPr>
          <w:p>
            <w:pPr>
              <w:spacing w:after="0"/>
              <w:rPr>
                <w:sz w:val="20"/>
                <w:szCs w:val="20"/>
                <w:color w:val="auto"/>
              </w:rPr>
            </w:pPr>
            <w:r>
              <w:rPr>
                <w:rFonts w:ascii="Arial" w:cs="Arial" w:eastAsia="Arial" w:hAnsi="Arial"/>
                <w:sz w:val="18"/>
                <w:szCs w:val="18"/>
                <w:color w:val="auto"/>
              </w:rPr>
              <w:t>Cautionary Note on Forward-Looking Statements</w:t>
            </w:r>
          </w:p>
        </w:tc>
        <w:tc>
          <w:tcPr>
            <w:tcW w:w="680" w:type="dxa"/>
            <w:vAlign w:val="bottom"/>
            <w:tcBorders>
              <w:right w:val="single" w:sz="8" w:color="B6B6B6"/>
            </w:tcBorders>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101</w:t>
            </w:r>
          </w:p>
        </w:tc>
        <w:tc>
          <w:tcPr>
            <w:tcW w:w="4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80" w:type="dxa"/>
            <w:vAlign w:val="bottom"/>
          </w:tcPr>
          <w:p>
            <w:pPr>
              <w:spacing w:after="0" w:line="175" w:lineRule="exact"/>
              <w:rPr>
                <w:sz w:val="20"/>
                <w:szCs w:val="20"/>
                <w:color w:val="auto"/>
              </w:rPr>
            </w:pPr>
            <w:r>
              <w:rPr>
                <w:rFonts w:ascii="Arial" w:cs="Arial" w:eastAsia="Arial" w:hAnsi="Arial"/>
                <w:sz w:val="18"/>
                <w:szCs w:val="18"/>
                <w:color w:val="auto"/>
              </w:rPr>
              <w:t>Deadline for Receipt of Shareholder Proposals for Fiscal</w:t>
            </w:r>
          </w:p>
        </w:tc>
        <w:tc>
          <w:tcPr>
            <w:tcW w:w="6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b w:val="1"/>
                <w:bCs w:val="1"/>
                <w:color w:val="BD03F7"/>
                <w:w w:val="99"/>
              </w:rPr>
              <w:t>102</w:t>
            </w:r>
          </w:p>
        </w:tc>
        <w:tc>
          <w:tcPr>
            <w:tcW w:w="4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0"/>
                <w:szCs w:val="20"/>
                <w:color w:val="auto"/>
              </w:rPr>
            </w:pPr>
            <w:r>
              <w:rPr>
                <w:rFonts w:ascii="Arial" w:cs="Arial" w:eastAsia="Arial" w:hAnsi="Arial"/>
                <w:sz w:val="18"/>
                <w:szCs w:val="18"/>
                <w:color w:val="auto"/>
              </w:rPr>
              <w:t>2026 Annual Meeting</w:t>
            </w:r>
          </w:p>
        </w:tc>
        <w:tc>
          <w:tcPr>
            <w:tcW w:w="680" w:type="dxa"/>
            <w:vAlign w:val="bottom"/>
            <w:tcBorders>
              <w:right w:val="single" w:sz="8" w:color="B6B6B6"/>
            </w:tcBorders>
            <w:vMerge w:val="continue"/>
          </w:tcPr>
          <w:p>
            <w:pPr>
              <w:spacing w:after="0"/>
              <w:rPr>
                <w:sz w:val="21"/>
                <w:szCs w:val="21"/>
                <w:color w:val="auto"/>
              </w:rPr>
            </w:pPr>
          </w:p>
        </w:tc>
        <w:tc>
          <w:tcPr>
            <w:tcW w:w="4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80" w:type="dxa"/>
            <w:vAlign w:val="bottom"/>
            <w:shd w:val="clear" w:color="auto" w:fill="F2F2F2"/>
          </w:tcPr>
          <w:p>
            <w:pPr>
              <w:spacing w:after="0" w:line="175" w:lineRule="exact"/>
              <w:rPr>
                <w:sz w:val="20"/>
                <w:szCs w:val="20"/>
                <w:color w:val="auto"/>
              </w:rPr>
            </w:pPr>
            <w:r>
              <w:rPr>
                <w:rFonts w:ascii="Arial" w:cs="Arial" w:eastAsia="Arial" w:hAnsi="Arial"/>
                <w:sz w:val="18"/>
                <w:szCs w:val="18"/>
                <w:color w:val="auto"/>
              </w:rPr>
              <w:t>Annex A - Amendment to Restated Certificate of</w:t>
            </w:r>
          </w:p>
        </w:tc>
        <w:tc>
          <w:tcPr>
            <w:tcW w:w="680" w:type="dxa"/>
            <w:vAlign w:val="bottom"/>
            <w:tcBorders>
              <w:right w:val="single" w:sz="8" w:color="B6B6B6"/>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BD03F7"/>
                <w:w w:val="99"/>
              </w:rPr>
              <w:t>103</w:t>
            </w:r>
          </w:p>
        </w:tc>
        <w:tc>
          <w:tcPr>
            <w:tcW w:w="4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880" w:type="dxa"/>
            <w:vAlign w:val="bottom"/>
            <w:shd w:val="clear" w:color="auto" w:fill="F2F2F2"/>
          </w:tcPr>
          <w:p>
            <w:pPr>
              <w:spacing w:after="0"/>
              <w:rPr>
                <w:sz w:val="20"/>
                <w:szCs w:val="20"/>
                <w:color w:val="auto"/>
              </w:rPr>
            </w:pPr>
            <w:r>
              <w:rPr>
                <w:rFonts w:ascii="Arial" w:cs="Arial" w:eastAsia="Arial" w:hAnsi="Arial"/>
                <w:sz w:val="18"/>
                <w:szCs w:val="18"/>
                <w:color w:val="auto"/>
              </w:rPr>
              <w:t>Incorporation</w:t>
            </w:r>
          </w:p>
        </w:tc>
        <w:tc>
          <w:tcPr>
            <w:tcW w:w="680" w:type="dxa"/>
            <w:vAlign w:val="bottom"/>
            <w:tcBorders>
              <w:right w:val="single" w:sz="8" w:color="B6B6B6"/>
            </w:tcBorders>
            <w:vMerge w:val="continue"/>
            <w:shd w:val="clear" w:color="auto" w:fill="F2F2F2"/>
          </w:tcPr>
          <w:p>
            <w:pPr>
              <w:spacing w:after="0"/>
              <w:rPr>
                <w:sz w:val="21"/>
                <w:szCs w:val="21"/>
                <w:color w:val="auto"/>
              </w:rPr>
            </w:pPr>
          </w:p>
        </w:tc>
        <w:tc>
          <w:tcPr>
            <w:tcW w:w="4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-4051935</wp:posOffset>
            </wp:positionV>
            <wp:extent cx="4178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783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-4351020</wp:posOffset>
            </wp:positionV>
            <wp:extent cx="4178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783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CORPORATE GOVERNANCE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0650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70650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57" w:lineRule="exact"/>
        <w:rPr>
          <w:sz w:val="20"/>
          <w:szCs w:val="20"/>
          <w:color w:val="auto"/>
        </w:rPr>
      </w:pPr>
    </w:p>
    <w:p>
      <w:pPr>
        <w:ind w:left="680" w:hanging="332"/>
        <w:spacing w:after="0"/>
        <w:tabs>
          <w:tab w:leader="none" w:pos="680" w:val="left"/>
        </w:tabs>
        <w:numPr>
          <w:ilvl w:val="0"/>
          <w:numId w:val="13"/>
        </w:numPr>
        <w:rPr>
          <w:rFonts w:ascii="Arial" w:cs="Arial" w:eastAsia="Arial" w:hAnsi="Arial"/>
          <w:sz w:val="18"/>
          <w:szCs w:val="18"/>
          <w:b w:val="1"/>
          <w:bCs w:val="1"/>
          <w:color w:val="BD03F7"/>
        </w:rPr>
      </w:pPr>
      <w:r>
        <w:rPr>
          <w:rFonts w:ascii="Arial" w:cs="Arial" w:eastAsia="Arial" w:hAnsi="Arial"/>
          <w:sz w:val="18"/>
          <w:szCs w:val="18"/>
          <w:b w:val="1"/>
          <w:bCs w:val="1"/>
          <w:color w:val="auto"/>
        </w:rPr>
        <w:t>All directors elected annually by a simple majority of votes cast</w:t>
      </w:r>
    </w:p>
    <w:p>
      <w:pPr>
        <w:spacing w:after="0" w:line="26" w:lineRule="exact"/>
        <w:rPr>
          <w:rFonts w:ascii="Arial" w:cs="Arial" w:eastAsia="Arial" w:hAnsi="Arial"/>
          <w:sz w:val="18"/>
          <w:szCs w:val="18"/>
          <w:b w:val="1"/>
          <w:bCs w:val="1"/>
          <w:color w:val="BD03F7"/>
        </w:rPr>
      </w:pPr>
    </w:p>
    <w:p>
      <w:pPr>
        <w:ind w:left="680" w:hanging="332"/>
        <w:spacing w:after="0"/>
        <w:tabs>
          <w:tab w:leader="none" w:pos="680" w:val="left"/>
        </w:tabs>
        <w:numPr>
          <w:ilvl w:val="0"/>
          <w:numId w:val="13"/>
        </w:numPr>
        <w:rPr>
          <w:rFonts w:ascii="Arial" w:cs="Arial" w:eastAsia="Arial" w:hAnsi="Arial"/>
          <w:sz w:val="18"/>
          <w:szCs w:val="18"/>
          <w:b w:val="1"/>
          <w:bCs w:val="1"/>
          <w:color w:val="BD03F7"/>
        </w:rPr>
      </w:pPr>
      <w:r>
        <w:rPr>
          <w:rFonts w:ascii="Arial" w:cs="Arial" w:eastAsia="Arial" w:hAnsi="Arial"/>
          <w:sz w:val="18"/>
          <w:szCs w:val="18"/>
          <w:b w:val="1"/>
          <w:bCs w:val="1"/>
          <w:color w:val="auto"/>
        </w:rPr>
        <w:t>Lead Independent Director</w:t>
      </w:r>
    </w:p>
    <w:p>
      <w:pPr>
        <w:spacing w:after="0" w:line="8" w:lineRule="exact"/>
        <w:rPr>
          <w:rFonts w:ascii="Arial" w:cs="Arial" w:eastAsia="Arial" w:hAnsi="Arial"/>
          <w:sz w:val="18"/>
          <w:szCs w:val="18"/>
          <w:b w:val="1"/>
          <w:bCs w:val="1"/>
          <w:color w:val="BD03F7"/>
        </w:rPr>
      </w:pPr>
    </w:p>
    <w:p>
      <w:pPr>
        <w:ind w:left="680" w:hanging="332"/>
        <w:spacing w:after="0"/>
        <w:tabs>
          <w:tab w:leader="none" w:pos="680" w:val="left"/>
        </w:tabs>
        <w:numPr>
          <w:ilvl w:val="0"/>
          <w:numId w:val="13"/>
        </w:numPr>
        <w:rPr>
          <w:rFonts w:ascii="Arial" w:cs="Arial" w:eastAsia="Arial" w:hAnsi="Arial"/>
          <w:sz w:val="18"/>
          <w:szCs w:val="18"/>
          <w:b w:val="1"/>
          <w:bCs w:val="1"/>
          <w:color w:val="BD03F7"/>
        </w:rPr>
      </w:pPr>
      <w:r>
        <w:rPr>
          <w:rFonts w:ascii="Arial" w:cs="Arial" w:eastAsia="Arial" w:hAnsi="Arial"/>
          <w:sz w:val="18"/>
          <w:szCs w:val="18"/>
          <w:b w:val="1"/>
          <w:bCs w:val="1"/>
          <w:color w:val="auto"/>
        </w:rPr>
        <w:t>Seven of eight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0650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40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Our Board has nominated eight (8) individuals for election as directors at our Annual Meeting of Shareholders for Fiscal 2025 (the “Annual Meeting”). Each of the nominees is currently a member of our Board and each nominee was elected to our Board at the Annual Meeting of Shareholders for the fiscal year ended August 29, 2024 (“Fiscal 2024”), except for Mr. Liu and Ms. Simons, who were appointed to the Board in March 2025. Ms. Simons was recommended to the Governance and Sustainability Committee by a non-management director and Mr. Liu was recommended to the Governance and Sustainability Committee by our Chief Executive Officer.</w:t>
      </w:r>
    </w:p>
    <w:p>
      <w:pPr>
        <w:spacing w:after="0" w:line="191" w:lineRule="exact"/>
        <w:rPr>
          <w:sz w:val="20"/>
          <w:szCs w:val="20"/>
          <w:color w:val="auto"/>
        </w:rPr>
      </w:pPr>
    </w:p>
    <w:p>
      <w:pPr>
        <w:ind w:right="400"/>
        <w:spacing w:after="0" w:line="299" w:lineRule="auto"/>
        <w:rPr>
          <w:sz w:val="20"/>
          <w:szCs w:val="20"/>
          <w:color w:val="auto"/>
        </w:rPr>
      </w:pPr>
      <w:r>
        <w:rPr>
          <w:rFonts w:ascii="Arial" w:cs="Arial" w:eastAsia="Arial" w:hAnsi="Arial"/>
          <w:sz w:val="17"/>
          <w:szCs w:val="17"/>
          <w:color w:val="auto"/>
        </w:rPr>
        <w:t>In October 2025, Mr. Beyer and Ms. McCarthy provided notice that they would retire from the Board and would not seek re-election at the Annual Meeting. Mr. Beyer and Ms. McCarthy will continue to serve as directors through the end of their terms at the Annual Meeting.</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Each director elected at the Annual Meeting will serve until our Annual Meeting of Shareholders for Fiscal 2026 and until a successor is duly elected and qualified, or until such director’s earlier death, resignation, or removal. Each of the nominees has consented to be named in this proxy statement (the “Proxy Statement”) and to serve as a director if elected. If any nominee is unable or unwilling to stand for election or serve as a director if elected, the persons named as proxies may vote for a substitute nominee designated by our existing Board, or our Board may choose to reduce its size.</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voting “FOR” the election of each of the nominees.</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right="220"/>
        <w:spacing w:after="0" w:line="267" w:lineRule="auto"/>
        <w:rPr>
          <w:sz w:val="20"/>
          <w:szCs w:val="20"/>
          <w:color w:val="auto"/>
        </w:rPr>
      </w:pPr>
      <w:r>
        <w:rPr>
          <w:rFonts w:ascii="Arial" w:cs="Arial" w:eastAsia="Arial" w:hAnsi="Arial"/>
          <w:sz w:val="18"/>
          <w:szCs w:val="18"/>
          <w:color w:val="auto"/>
        </w:rPr>
        <w:t>Each nominee will be elected as a director if such nominee receives the affirmative vote of a majority of the votes cast with respect to his or her election (in other words, the number of shares voted “FOR” a director must exceed the number of votes cast “AGAINST” that director). Shareholders are not permitted to cumulate votes with respect to the election of directors.</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a nominee who is serving as a director is not elected at the Annual Meeting by the requisite majority of votes cast, Delaware law provides that the director would continue to serve on our Board as a holdover director. However, under our Corporate Governance Guidelines, each incumbent nominee is required to submit a contingent resignation to the Chair of the Governance and Sustainability Committee prior to the Annual Meeting. If the incumbent nominee fails to receive a majority of the votes cast in an election that is not a “contested election” (as defined in our Amended and Restated Bylaws (as currently in effect, the “bylaws”)), the Governance and Sustainability Committee will make a recommendation to the Board on whether to accept or reject the resignation, or whether other action should be taken. The Board will act on the resignation, taking into account the Governance and Sustainability Committee’s recommendation, and publicly disclose its decision and the rationale behind it within 90 days from the date the election results are certified.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25400</wp:posOffset>
            </wp:positionV>
            <wp:extent cx="71158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81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wp:posOffset>
            </wp:positionV>
            <wp:extent cx="7115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81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88265</wp:posOffset>
            </wp:positionV>
            <wp:extent cx="71075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7555" cy="825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Lynn A. Dugle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-1953260</wp:posOffset>
            </wp:positionV>
            <wp:extent cx="1177290" cy="152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77290" cy="152717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Lead Independent Director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Age | 66</w:t>
      </w:r>
    </w:p>
    <w:p>
      <w:pPr>
        <w:spacing w:after="0"/>
        <w:rPr>
          <w:sz w:val="20"/>
          <w:szCs w:val="20"/>
          <w:color w:val="auto"/>
        </w:rPr>
      </w:pPr>
      <w:r>
        <w:rPr>
          <w:rFonts w:ascii="Arial" w:cs="Arial" w:eastAsia="Arial" w:hAnsi="Arial"/>
          <w:sz w:val="18"/>
          <w:szCs w:val="18"/>
          <w:color w:val="auto"/>
        </w:rPr>
        <w:t>Director Since | 2020</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60" w:right="920" w:hanging="240"/>
        <w:spacing w:after="0" w:line="181" w:lineRule="auto"/>
        <w:tabs>
          <w:tab w:leader="none" w:pos="360" w:val="left"/>
        </w:tabs>
        <w:numPr>
          <w:ilvl w:val="0"/>
          <w:numId w:val="14"/>
        </w:numPr>
        <w:rPr>
          <w:rFonts w:ascii="Arial" w:cs="Arial" w:eastAsia="Arial" w:hAnsi="Arial"/>
          <w:sz w:val="35"/>
          <w:szCs w:val="35"/>
          <w:b w:val="1"/>
          <w:bCs w:val="1"/>
          <w:color w:val="BD03F7"/>
          <w:vertAlign w:val="subscript"/>
        </w:rPr>
      </w:pPr>
      <w:r>
        <w:rPr>
          <w:rFonts w:ascii="Arial" w:cs="Arial" w:eastAsia="Arial" w:hAnsi="Arial"/>
          <w:sz w:val="15"/>
          <w:szCs w:val="15"/>
          <w:color w:val="auto"/>
        </w:rPr>
        <w:t>Chairman, Chief Executive Officer, and President of Engility Holdings Inc., an NYSE-listed engineering services firm, from March 2016 to January 2019.</w:t>
      </w:r>
    </w:p>
    <w:p>
      <w:pPr>
        <w:spacing w:after="0" w:line="45" w:lineRule="exact"/>
        <w:rPr>
          <w:rFonts w:ascii="Arial" w:cs="Arial" w:eastAsia="Arial" w:hAnsi="Arial"/>
          <w:sz w:val="35"/>
          <w:szCs w:val="35"/>
          <w:b w:val="1"/>
          <w:bCs w:val="1"/>
          <w:color w:val="BD03F7"/>
          <w:vertAlign w:val="subscript"/>
        </w:rPr>
      </w:pPr>
    </w:p>
    <w:p>
      <w:pPr>
        <w:jc w:val="both"/>
        <w:ind w:left="360" w:right="180" w:hanging="240"/>
        <w:spacing w:after="0" w:line="230" w:lineRule="auto"/>
        <w:tabs>
          <w:tab w:leader="none" w:pos="360" w:val="left"/>
        </w:tabs>
        <w:numPr>
          <w:ilvl w:val="0"/>
          <w:numId w:val="14"/>
        </w:numPr>
        <w:rPr>
          <w:rFonts w:ascii="Arial" w:cs="Arial" w:eastAsia="Arial" w:hAnsi="Arial"/>
          <w:sz w:val="42"/>
          <w:szCs w:val="42"/>
          <w:b w:val="1"/>
          <w:bCs w:val="1"/>
          <w:color w:val="BD03F7"/>
          <w:vertAlign w:val="subscript"/>
        </w:rPr>
      </w:pPr>
      <w:r>
        <w:rPr>
          <w:rFonts w:ascii="Arial" w:cs="Arial" w:eastAsia="Arial" w:hAnsi="Arial"/>
          <w:sz w:val="16"/>
          <w:szCs w:val="16"/>
          <w:color w:val="auto"/>
        </w:rPr>
        <w:t>Prior to Engility, Ms. Dugle was Corporate Vice President, President of Intelligence and Information Systems of Raytheon Company, a U.S. defense contractor and industrial corporation, from January 2009 to March 2015.</w:t>
      </w:r>
    </w:p>
    <w:p>
      <w:pPr>
        <w:spacing w:after="0" w:line="2" w:lineRule="exact"/>
        <w:rPr>
          <w:rFonts w:ascii="Arial" w:cs="Arial" w:eastAsia="Arial" w:hAnsi="Arial"/>
          <w:sz w:val="42"/>
          <w:szCs w:val="42"/>
          <w:b w:val="1"/>
          <w:bCs w:val="1"/>
          <w:color w:val="BD03F7"/>
          <w:vertAlign w:val="subscript"/>
        </w:rPr>
      </w:pPr>
    </w:p>
    <w:p>
      <w:pPr>
        <w:ind w:left="360" w:hanging="240"/>
        <w:spacing w:after="0" w:line="181" w:lineRule="auto"/>
        <w:tabs>
          <w:tab w:leader="none" w:pos="360" w:val="left"/>
        </w:tabs>
        <w:numPr>
          <w:ilvl w:val="0"/>
          <w:numId w:val="14"/>
        </w:numPr>
        <w:rPr>
          <w:rFonts w:ascii="Arial" w:cs="Arial" w:eastAsia="Arial" w:hAnsi="Arial"/>
          <w:sz w:val="34"/>
          <w:szCs w:val="34"/>
          <w:b w:val="1"/>
          <w:bCs w:val="1"/>
          <w:color w:val="BD03F7"/>
          <w:vertAlign w:val="subscript"/>
        </w:rPr>
      </w:pPr>
      <w:r>
        <w:rPr>
          <w:rFonts w:ascii="Arial" w:cs="Arial" w:eastAsia="Arial" w:hAnsi="Arial"/>
          <w:sz w:val="15"/>
          <w:szCs w:val="15"/>
          <w:color w:val="auto"/>
        </w:rPr>
        <w:t>Within the past five years, Ms. Dugle served on the Board of Directors of State Street Corporation.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60" w:hanging="240"/>
        <w:spacing w:after="0"/>
        <w:tabs>
          <w:tab w:leader="none" w:pos="360" w:val="left"/>
        </w:tabs>
        <w:numPr>
          <w:ilvl w:val="0"/>
          <w:numId w:val="15"/>
        </w:numPr>
        <w:rPr>
          <w:rFonts w:ascii="Arial" w:cs="Arial" w:eastAsia="Arial" w:hAnsi="Arial"/>
          <w:sz w:val="25"/>
          <w:szCs w:val="25"/>
          <w:b w:val="1"/>
          <w:bCs w:val="1"/>
          <w:color w:val="BD03F7"/>
        </w:rPr>
      </w:pPr>
      <w:r>
        <w:rPr>
          <w:rFonts w:ascii="Arial" w:cs="Arial" w:eastAsia="Arial" w:hAnsi="Arial"/>
          <w:sz w:val="18"/>
          <w:szCs w:val="18"/>
          <w:color w:val="auto"/>
        </w:rPr>
        <w:t>EOG Resources, Inc.</w:t>
      </w:r>
    </w:p>
    <w:p>
      <w:pPr>
        <w:spacing w:after="0" w:line="61" w:lineRule="exact"/>
        <w:rPr>
          <w:rFonts w:ascii="Arial" w:cs="Arial" w:eastAsia="Arial" w:hAnsi="Arial"/>
          <w:sz w:val="25"/>
          <w:szCs w:val="25"/>
          <w:b w:val="1"/>
          <w:bCs w:val="1"/>
          <w:color w:val="BD03F7"/>
        </w:rPr>
      </w:pPr>
    </w:p>
    <w:p>
      <w:pPr>
        <w:ind w:left="360" w:hanging="240"/>
        <w:spacing w:after="0"/>
        <w:tabs>
          <w:tab w:leader="none" w:pos="360" w:val="left"/>
        </w:tabs>
        <w:numPr>
          <w:ilvl w:val="0"/>
          <w:numId w:val="15"/>
        </w:numPr>
        <w:rPr>
          <w:rFonts w:ascii="Arial" w:cs="Arial" w:eastAsia="Arial" w:hAnsi="Arial"/>
          <w:sz w:val="25"/>
          <w:szCs w:val="25"/>
          <w:b w:val="1"/>
          <w:bCs w:val="1"/>
          <w:color w:val="BD03F7"/>
        </w:rPr>
      </w:pPr>
      <w:r>
        <w:rPr>
          <w:rFonts w:ascii="Arial" w:cs="Arial" w:eastAsia="Arial" w:hAnsi="Arial"/>
          <w:sz w:val="18"/>
          <w:szCs w:val="18"/>
          <w:color w:val="auto"/>
        </w:rPr>
        <w:t>KBR, Inc.</w:t>
      </w:r>
    </w:p>
    <w:p>
      <w:pPr>
        <w:spacing w:after="0" w:line="61" w:lineRule="exact"/>
        <w:rPr>
          <w:rFonts w:ascii="Arial" w:cs="Arial" w:eastAsia="Arial" w:hAnsi="Arial"/>
          <w:sz w:val="25"/>
          <w:szCs w:val="25"/>
          <w:b w:val="1"/>
          <w:bCs w:val="1"/>
          <w:color w:val="BD03F7"/>
        </w:rPr>
      </w:pPr>
    </w:p>
    <w:p>
      <w:pPr>
        <w:ind w:left="360" w:hanging="240"/>
        <w:spacing w:after="0"/>
        <w:tabs>
          <w:tab w:leader="none" w:pos="360" w:val="left"/>
        </w:tabs>
        <w:numPr>
          <w:ilvl w:val="0"/>
          <w:numId w:val="15"/>
        </w:numPr>
        <w:rPr>
          <w:rFonts w:ascii="Arial" w:cs="Arial" w:eastAsia="Arial" w:hAnsi="Arial"/>
          <w:sz w:val="25"/>
          <w:szCs w:val="25"/>
          <w:b w:val="1"/>
          <w:bCs w:val="1"/>
          <w:color w:val="BD03F7"/>
        </w:rPr>
      </w:pPr>
      <w:r>
        <w:rPr>
          <w:rFonts w:ascii="Arial" w:cs="Arial" w:eastAsia="Arial" w:hAnsi="Arial"/>
          <w:sz w:val="18"/>
          <w:szCs w:val="18"/>
          <w:color w:val="auto"/>
        </w:rPr>
        <w:t>TE Connectivity Ltd.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Ms. Dugle’s experience as chairman and chief executive officer of a public engineering services firm and senior officer of a leading public technology company provides our Board expertise in information, technology, cybersecurity, corporate strategy, operations, and research and development, all of which are</w:t>
      </w:r>
    </w:p>
    <w:p>
      <w:pPr>
        <w:spacing w:after="0" w:line="1" w:lineRule="exact"/>
        <w:rPr>
          <w:sz w:val="20"/>
          <w:szCs w:val="20"/>
          <w:color w:val="auto"/>
        </w:rPr>
      </w:pPr>
    </w:p>
    <w:p>
      <w:pPr>
        <w:sectPr>
          <w:pgSz w:w="11900" w:h="16838" w:orient="portrait"/>
          <w:cols w:equalWidth="0" w:num="2">
            <w:col w:w="2720" w:space="100"/>
            <w:col w:w="8400"/>
          </w:cols>
          <w:pgMar w:left="34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line="203" w:lineRule="exact"/>
              <w:rPr>
                <w:sz w:val="20"/>
                <w:szCs w:val="20"/>
                <w:color w:val="auto"/>
              </w:rPr>
            </w:pPr>
            <w:r>
              <w:rPr>
                <w:rFonts w:ascii="Arial" w:cs="Arial" w:eastAsia="Arial" w:hAnsi="Arial"/>
                <w:sz w:val="18"/>
                <w:szCs w:val="18"/>
                <w:b w:val="1"/>
                <w:bCs w:val="1"/>
                <w:color w:val="auto"/>
              </w:rPr>
              <w:t>Committees</w:t>
            </w:r>
          </w:p>
        </w:tc>
        <w:tc>
          <w:tcPr>
            <w:tcW w:w="8420" w:type="dxa"/>
            <w:vAlign w:val="bottom"/>
          </w:tcPr>
          <w:p>
            <w:pPr>
              <w:ind w:left="180"/>
              <w:spacing w:after="0" w:line="203" w:lineRule="exact"/>
              <w:rPr>
                <w:sz w:val="20"/>
                <w:szCs w:val="20"/>
                <w:color w:val="auto"/>
              </w:rPr>
            </w:pPr>
            <w:r>
              <w:rPr>
                <w:rFonts w:ascii="Arial" w:cs="Arial" w:eastAsia="Arial" w:hAnsi="Arial"/>
                <w:sz w:val="18"/>
                <w:szCs w:val="18"/>
                <w:color w:val="auto"/>
                <w:w w:val="99"/>
              </w:rPr>
              <w:t>critical to achieving our strategic objectives. We believe these experiences, qualifications, attributes, and</w:t>
            </w: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8"/>
                <w:szCs w:val="18"/>
                <w:color w:val="auto"/>
              </w:rPr>
              <w:t>Governance and Sustainability,</w:t>
            </w:r>
          </w:p>
        </w:tc>
        <w:tc>
          <w:tcPr>
            <w:tcW w:w="8420" w:type="dxa"/>
            <w:vAlign w:val="bottom"/>
          </w:tcPr>
          <w:p>
            <w:pPr>
              <w:ind w:left="180"/>
              <w:spacing w:after="0" w:line="175" w:lineRule="exact"/>
              <w:rPr>
                <w:sz w:val="20"/>
                <w:szCs w:val="20"/>
                <w:color w:val="auto"/>
              </w:rPr>
            </w:pPr>
            <w:r>
              <w:rPr>
                <w:rFonts w:ascii="Arial" w:cs="Arial" w:eastAsia="Arial" w:hAnsi="Arial"/>
                <w:sz w:val="18"/>
                <w:szCs w:val="18"/>
                <w:color w:val="auto"/>
              </w:rPr>
              <w:t>skills qualify Ms. Dugle to serve as a member of our Board.</w:t>
            </w:r>
          </w:p>
        </w:tc>
      </w:tr>
      <w:tr>
        <w:trPr>
          <w:trHeight w:val="238"/>
        </w:trPr>
        <w:tc>
          <w:tcPr>
            <w:tcW w:w="2640" w:type="dxa"/>
            <w:vAlign w:val="bottom"/>
          </w:tcPr>
          <w:p>
            <w:pPr>
              <w:spacing w:after="0"/>
              <w:rPr>
                <w:sz w:val="20"/>
                <w:szCs w:val="20"/>
                <w:color w:val="auto"/>
              </w:rPr>
            </w:pPr>
            <w:r>
              <w:rPr>
                <w:rFonts w:ascii="Arial" w:cs="Arial" w:eastAsia="Arial" w:hAnsi="Arial"/>
                <w:sz w:val="18"/>
                <w:szCs w:val="18"/>
                <w:color w:val="auto"/>
              </w:rPr>
              <w:t>Compensation</w:t>
            </w:r>
          </w:p>
        </w:tc>
        <w:tc>
          <w:tcPr>
            <w:tcW w:w="8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616585</wp:posOffset>
            </wp:positionV>
            <wp:extent cx="70732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Steven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-2045970</wp:posOffset>
            </wp:positionV>
            <wp:extent cx="1177290" cy="16294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7290" cy="1629410"/>
                    </a:xfrm>
                    <a:prstGeom prst="rect">
                      <a:avLst/>
                    </a:prstGeom>
                    <a:noFill/>
                  </pic:spPr>
                </pic:pic>
              </a:graphicData>
            </a:graphic>
          </wp:anchor>
        </w:drawing>
      </w:r>
    </w:p>
    <w:p>
      <w:pPr>
        <w:spacing w:after="0"/>
        <w:rPr>
          <w:sz w:val="20"/>
          <w:szCs w:val="20"/>
          <w:color w:val="auto"/>
        </w:rPr>
      </w:pPr>
      <w:r>
        <w:rPr>
          <w:rFonts w:ascii="Arial" w:cs="Arial" w:eastAsia="Arial" w:hAnsi="Arial"/>
          <w:sz w:val="36"/>
          <w:szCs w:val="36"/>
          <w:b w:val="1"/>
          <w:bCs w:val="1"/>
          <w:color w:val="auto"/>
        </w:rPr>
        <w:t>Gomo</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Independent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Age | 73</w:t>
      </w:r>
    </w:p>
    <w:p>
      <w:pPr>
        <w:spacing w:after="0"/>
        <w:rPr>
          <w:sz w:val="20"/>
          <w:szCs w:val="20"/>
          <w:color w:val="auto"/>
        </w:rPr>
      </w:pPr>
      <w:r>
        <w:rPr>
          <w:rFonts w:ascii="Arial" w:cs="Arial" w:eastAsia="Arial" w:hAnsi="Arial"/>
          <w:sz w:val="18"/>
          <w:szCs w:val="18"/>
          <w:color w:val="auto"/>
        </w:rPr>
        <w:t>Director Since |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rPr>
          <w:sz w:val="20"/>
          <w:szCs w:val="20"/>
          <w:color w:val="auto"/>
        </w:rPr>
      </w:pPr>
      <w:r>
        <w:rPr>
          <w:rFonts w:ascii="Arial" w:cs="Arial" w:eastAsia="Arial" w:hAnsi="Arial"/>
          <w:sz w:val="17"/>
          <w:szCs w:val="17"/>
          <w:color w:val="auto"/>
        </w:rPr>
        <w:t>Audit, Finance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40" w:right="140" w:hanging="233"/>
        <w:spacing w:after="0" w:line="182" w:lineRule="auto"/>
        <w:tabs>
          <w:tab w:leader="none" w:pos="340" w:val="left"/>
        </w:tabs>
        <w:numPr>
          <w:ilvl w:val="0"/>
          <w:numId w:val="16"/>
        </w:numPr>
        <w:rPr>
          <w:rFonts w:ascii="Arial" w:cs="Arial" w:eastAsia="Arial" w:hAnsi="Arial"/>
          <w:sz w:val="41"/>
          <w:szCs w:val="41"/>
          <w:b w:val="1"/>
          <w:bCs w:val="1"/>
          <w:color w:val="BD03F7"/>
          <w:vertAlign w:val="subscript"/>
        </w:rPr>
      </w:pPr>
      <w:r>
        <w:rPr>
          <w:rFonts w:ascii="Arial" w:cs="Arial" w:eastAsia="Arial" w:hAnsi="Arial"/>
          <w:sz w:val="16"/>
          <w:szCs w:val="16"/>
          <w:color w:val="auto"/>
        </w:rPr>
        <w:t>Executive Vice President, Finance and Chief Financial Officer from October 2004 until his retirement in December 2011, and Senior Vice President, Finance and Chief Financial Officer from August 2002 to September 2004 at NetApp, Inc., a storage and data management company.</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40" w:hanging="233"/>
        <w:spacing w:after="0"/>
        <w:tabs>
          <w:tab w:leader="none" w:pos="340" w:val="left"/>
        </w:tabs>
        <w:numPr>
          <w:ilvl w:val="0"/>
          <w:numId w:val="17"/>
        </w:numPr>
        <w:rPr>
          <w:rFonts w:ascii="Arial" w:cs="Arial" w:eastAsia="Arial" w:hAnsi="Arial"/>
          <w:sz w:val="25"/>
          <w:szCs w:val="25"/>
          <w:b w:val="1"/>
          <w:bCs w:val="1"/>
          <w:color w:val="BD03F7"/>
        </w:rPr>
      </w:pPr>
      <w:r>
        <w:rPr>
          <w:rFonts w:ascii="Arial" w:cs="Arial" w:eastAsia="Arial" w:hAnsi="Arial"/>
          <w:sz w:val="18"/>
          <w:szCs w:val="18"/>
          <w:color w:val="auto"/>
        </w:rPr>
        <w:t>Nutanix, Inc.</w:t>
      </w:r>
    </w:p>
    <w:p>
      <w:pPr>
        <w:spacing w:after="0" w:line="61" w:lineRule="exact"/>
        <w:rPr>
          <w:rFonts w:ascii="Arial" w:cs="Arial" w:eastAsia="Arial" w:hAnsi="Arial"/>
          <w:sz w:val="25"/>
          <w:szCs w:val="25"/>
          <w:b w:val="1"/>
          <w:bCs w:val="1"/>
          <w:color w:val="BD03F7"/>
        </w:rPr>
      </w:pPr>
    </w:p>
    <w:p>
      <w:pPr>
        <w:ind w:left="340" w:hanging="233"/>
        <w:spacing w:after="0"/>
        <w:tabs>
          <w:tab w:leader="none" w:pos="340" w:val="left"/>
        </w:tabs>
        <w:numPr>
          <w:ilvl w:val="0"/>
          <w:numId w:val="17"/>
        </w:numPr>
        <w:rPr>
          <w:rFonts w:ascii="Arial" w:cs="Arial" w:eastAsia="Arial" w:hAnsi="Arial"/>
          <w:sz w:val="25"/>
          <w:szCs w:val="25"/>
          <w:b w:val="1"/>
          <w:bCs w:val="1"/>
          <w:color w:val="BD03F7"/>
        </w:rPr>
      </w:pPr>
      <w:r>
        <w:rPr>
          <w:rFonts w:ascii="Arial" w:cs="Arial" w:eastAsia="Arial" w:hAnsi="Arial"/>
          <w:sz w:val="18"/>
          <w:szCs w:val="18"/>
          <w:color w:val="auto"/>
        </w:rPr>
        <w:t>Enphase Energy, Inc.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Mr. Gomo’s experience as the chief financial officer of a public technology company provides our Board expertise in the technology industry, particularly in the areas of finance, accounting, treasury, investor relations, and securities, which contribute valuable insights and perspectives to our business and operations. We believe these experiences, qualifications, attributes, and skills qualify Mr. Gomo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1061720</wp:posOffset>
            </wp:positionV>
            <wp:extent cx="70732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1798" w:lineRule="exact"/>
        <w:rPr>
          <w:sz w:val="20"/>
          <w:szCs w:val="20"/>
          <w:color w:val="auto"/>
        </w:rPr>
      </w:pPr>
    </w:p>
    <w:p>
      <w:pPr>
        <w:sectPr>
          <w:pgSz w:w="11900" w:h="16838" w:orient="portrait"/>
          <w:cols w:equalWidth="0" w:num="2">
            <w:col w:w="2100" w:space="720"/>
            <w:col w:w="8400"/>
          </w:cols>
          <w:pgMar w:left="34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860"/>
        <w:spacing w:after="0"/>
        <w:rPr>
          <w:sz w:val="20"/>
          <w:szCs w:val="20"/>
          <w:color w:val="auto"/>
        </w:rPr>
      </w:pPr>
      <w:r>
        <w:rPr>
          <w:sz w:val="1"/>
          <w:szCs w:val="1"/>
          <w:color w:val="auto"/>
        </w:rPr>
        <w:drawing>
          <wp:inline distT="0" distB="0" distL="0" distR="0">
            <wp:extent cx="776605" cy="1619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1"/>
          <w:szCs w:val="11"/>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100330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type w:val="continuous"/>
        </w:sectPr>
      </w:pPr>
    </w:p>
    <w:bookmarkStart w:id="12" w:name="page13"/>
    <w:bookmarkEnd w:id="12"/>
    <w:p>
      <w:pPr>
        <w:ind w:left="9900"/>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641985</wp:posOffset>
            </wp:positionV>
            <wp:extent cx="70732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line="255" w:lineRule="auto"/>
        <w:rPr>
          <w:sz w:val="20"/>
          <w:szCs w:val="20"/>
          <w:color w:val="auto"/>
        </w:rPr>
      </w:pPr>
      <w:r>
        <w:rPr>
          <w:rFonts w:ascii="Arial" w:cs="Arial" w:eastAsia="Arial" w:hAnsi="Arial"/>
          <w:sz w:val="35"/>
          <w:szCs w:val="35"/>
          <w:b w:val="1"/>
          <w:bCs w:val="1"/>
          <w:color w:val="auto"/>
        </w:rPr>
        <w:t>Linnie M. Haynesworth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-2336165</wp:posOffset>
            </wp:positionV>
            <wp:extent cx="1177290" cy="16294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77290" cy="1629410"/>
                    </a:xfrm>
                    <a:prstGeom prst="rect">
                      <a:avLst/>
                    </a:prstGeom>
                    <a:noFill/>
                  </pic:spPr>
                </pic:pic>
              </a:graphicData>
            </a:graphic>
          </wp:anchor>
        </w:drawing>
      </w:r>
    </w:p>
    <w:p>
      <w:pPr>
        <w:ind w:left="20"/>
        <w:spacing w:after="0"/>
        <w:rPr>
          <w:sz w:val="20"/>
          <w:szCs w:val="20"/>
          <w:color w:val="auto"/>
        </w:rPr>
      </w:pPr>
      <w:r>
        <w:rPr>
          <w:rFonts w:ascii="Arial" w:cs="Arial" w:eastAsia="Arial" w:hAnsi="Arial"/>
          <w:sz w:val="21"/>
          <w:szCs w:val="21"/>
          <w:b w:val="1"/>
          <w:bCs w:val="1"/>
          <w:color w:val="auto"/>
        </w:rPr>
        <w:t>Independent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 | 68</w:t>
      </w:r>
    </w:p>
    <w:p>
      <w:pPr>
        <w:ind w:left="20"/>
        <w:spacing w:after="0"/>
        <w:rPr>
          <w:sz w:val="20"/>
          <w:szCs w:val="20"/>
          <w:color w:val="auto"/>
        </w:rPr>
      </w:pPr>
      <w:r>
        <w:rPr>
          <w:rFonts w:ascii="Arial" w:cs="Arial" w:eastAsia="Arial" w:hAnsi="Arial"/>
          <w:sz w:val="18"/>
          <w:szCs w:val="18"/>
          <w:color w:val="auto"/>
        </w:rPr>
        <w:t>Director Since | 2021</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Committees</w:t>
      </w:r>
    </w:p>
    <w:p>
      <w:pPr>
        <w:ind w:left="20"/>
        <w:spacing w:after="0"/>
        <w:rPr>
          <w:sz w:val="20"/>
          <w:szCs w:val="20"/>
          <w:color w:val="auto"/>
        </w:rPr>
      </w:pPr>
      <w:r>
        <w:rPr>
          <w:rFonts w:ascii="Arial" w:cs="Arial" w:eastAsia="Arial" w:hAnsi="Arial"/>
          <w:sz w:val="18"/>
          <w:szCs w:val="18"/>
          <w:color w:val="auto"/>
        </w:rPr>
        <w:t>Audit, Security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40" w:right="380" w:hanging="233"/>
        <w:spacing w:after="0" w:line="182" w:lineRule="auto"/>
        <w:tabs>
          <w:tab w:leader="none" w:pos="340" w:val="left"/>
        </w:tabs>
        <w:numPr>
          <w:ilvl w:val="0"/>
          <w:numId w:val="18"/>
        </w:numPr>
        <w:rPr>
          <w:rFonts w:ascii="Arial" w:cs="Arial" w:eastAsia="Arial" w:hAnsi="Arial"/>
          <w:sz w:val="41"/>
          <w:szCs w:val="41"/>
          <w:b w:val="1"/>
          <w:bCs w:val="1"/>
          <w:color w:val="BD03F7"/>
          <w:vertAlign w:val="subscript"/>
        </w:rPr>
      </w:pPr>
      <w:r>
        <w:rPr>
          <w:rFonts w:ascii="Arial" w:cs="Arial" w:eastAsia="Arial" w:hAnsi="Arial"/>
          <w:sz w:val="16"/>
          <w:szCs w:val="16"/>
          <w:color w:val="auto"/>
        </w:rPr>
        <w:t>Sector Vice President, Cyber and Intelligence Mission Solutions Division from January 2016 to 2019, and Sector Vice President and General Manager from December 2013 to 2019 at Northrop Grumman, a defense and space company.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40" w:hanging="233"/>
        <w:spacing w:after="0"/>
        <w:tabs>
          <w:tab w:leader="none" w:pos="340" w:val="left"/>
        </w:tabs>
        <w:numPr>
          <w:ilvl w:val="0"/>
          <w:numId w:val="19"/>
        </w:numPr>
        <w:rPr>
          <w:rFonts w:ascii="Arial" w:cs="Arial" w:eastAsia="Arial" w:hAnsi="Arial"/>
          <w:sz w:val="25"/>
          <w:szCs w:val="25"/>
          <w:b w:val="1"/>
          <w:bCs w:val="1"/>
          <w:color w:val="BD03F7"/>
        </w:rPr>
      </w:pPr>
      <w:r>
        <w:rPr>
          <w:rFonts w:ascii="Arial" w:cs="Arial" w:eastAsia="Arial" w:hAnsi="Arial"/>
          <w:sz w:val="18"/>
          <w:szCs w:val="18"/>
          <w:color w:val="auto"/>
        </w:rPr>
        <w:t>Truist Financial Corporation</w:t>
      </w:r>
    </w:p>
    <w:p>
      <w:pPr>
        <w:spacing w:after="0" w:line="61" w:lineRule="exact"/>
        <w:rPr>
          <w:rFonts w:ascii="Arial" w:cs="Arial" w:eastAsia="Arial" w:hAnsi="Arial"/>
          <w:sz w:val="25"/>
          <w:szCs w:val="25"/>
          <w:b w:val="1"/>
          <w:bCs w:val="1"/>
          <w:color w:val="BD03F7"/>
        </w:rPr>
      </w:pPr>
    </w:p>
    <w:p>
      <w:pPr>
        <w:ind w:left="340" w:hanging="233"/>
        <w:spacing w:after="0"/>
        <w:tabs>
          <w:tab w:leader="none" w:pos="340" w:val="left"/>
        </w:tabs>
        <w:numPr>
          <w:ilvl w:val="0"/>
          <w:numId w:val="19"/>
        </w:numPr>
        <w:rPr>
          <w:rFonts w:ascii="Arial" w:cs="Arial" w:eastAsia="Arial" w:hAnsi="Arial"/>
          <w:sz w:val="25"/>
          <w:szCs w:val="25"/>
          <w:b w:val="1"/>
          <w:bCs w:val="1"/>
          <w:color w:val="BD03F7"/>
        </w:rPr>
      </w:pPr>
      <w:r>
        <w:rPr>
          <w:rFonts w:ascii="Arial" w:cs="Arial" w:eastAsia="Arial" w:hAnsi="Arial"/>
          <w:sz w:val="18"/>
          <w:szCs w:val="18"/>
          <w:color w:val="auto"/>
        </w:rPr>
        <w:t>Automatic Data Processing, Inc.</w:t>
      </w:r>
    </w:p>
    <w:p>
      <w:pPr>
        <w:spacing w:after="0" w:line="61" w:lineRule="exact"/>
        <w:rPr>
          <w:rFonts w:ascii="Arial" w:cs="Arial" w:eastAsia="Arial" w:hAnsi="Arial"/>
          <w:sz w:val="25"/>
          <w:szCs w:val="25"/>
          <w:b w:val="1"/>
          <w:bCs w:val="1"/>
          <w:color w:val="BD03F7"/>
        </w:rPr>
      </w:pPr>
    </w:p>
    <w:p>
      <w:pPr>
        <w:ind w:left="340" w:hanging="233"/>
        <w:spacing w:after="0"/>
        <w:tabs>
          <w:tab w:leader="none" w:pos="340" w:val="left"/>
        </w:tabs>
        <w:numPr>
          <w:ilvl w:val="0"/>
          <w:numId w:val="19"/>
        </w:numPr>
        <w:rPr>
          <w:rFonts w:ascii="Arial" w:cs="Arial" w:eastAsia="Arial" w:hAnsi="Arial"/>
          <w:sz w:val="25"/>
          <w:szCs w:val="25"/>
          <w:b w:val="1"/>
          <w:bCs w:val="1"/>
          <w:color w:val="BD03F7"/>
        </w:rPr>
      </w:pPr>
      <w:r>
        <w:rPr>
          <w:rFonts w:ascii="Arial" w:cs="Arial" w:eastAsia="Arial" w:hAnsi="Arial"/>
          <w:sz w:val="18"/>
          <w:szCs w:val="18"/>
          <w:color w:val="auto"/>
        </w:rPr>
        <w:t>Eastman Chemical Company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Ms. Haynesworth’s experience as the sector vice president and general manager of a public defense and space company provides our Board expertise in technology integration, cybersecurity (including a Certificate in Cybersecurity Oversight), enterprise strategy, risk management, and large complex system development, delivery, and deployment, and contributes valuable insights and perspectives to our business and operations. Additionally, Ms. Haynesworth was a Member of the Defense Business Board of the United States Department of Defense from November 2021 to April 2025. We believe these experiences, qualifications, attributes, and skills qualify Ms. Haynesworth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781685</wp:posOffset>
            </wp:positionV>
            <wp:extent cx="70732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1099" w:lineRule="exact"/>
        <w:rPr>
          <w:sz w:val="20"/>
          <w:szCs w:val="20"/>
          <w:color w:val="auto"/>
        </w:rPr>
      </w:pPr>
    </w:p>
    <w:p>
      <w:pPr>
        <w:sectPr>
          <w:pgSz w:w="11900" w:h="16838" w:orient="portrait"/>
          <w:cols w:equalWidth="0" w:num="2">
            <w:col w:w="2280" w:space="560"/>
            <w:col w:w="84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 Mark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-1901825</wp:posOffset>
            </wp:positionV>
            <wp:extent cx="1177290" cy="146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77290" cy="146748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Independent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 | 71</w:t>
      </w:r>
    </w:p>
    <w:p>
      <w:pPr>
        <w:ind w:left="20"/>
        <w:spacing w:after="0"/>
        <w:rPr>
          <w:sz w:val="20"/>
          <w:szCs w:val="20"/>
          <w:color w:val="auto"/>
        </w:rPr>
      </w:pPr>
      <w:r>
        <w:rPr>
          <w:rFonts w:ascii="Arial" w:cs="Arial" w:eastAsia="Arial" w:hAnsi="Arial"/>
          <w:sz w:val="18"/>
          <w:szCs w:val="18"/>
          <w:color w:val="auto"/>
        </w:rPr>
        <w:t>Director Since | 2025</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Committees</w:t>
      </w:r>
    </w:p>
    <w:p>
      <w:pPr>
        <w:ind w:left="20"/>
        <w:spacing w:after="0" w:line="228" w:lineRule="auto"/>
        <w:rPr>
          <w:sz w:val="20"/>
          <w:szCs w:val="20"/>
          <w:color w:val="auto"/>
        </w:rPr>
      </w:pPr>
      <w:r>
        <w:rPr>
          <w:rFonts w:ascii="Arial" w:cs="Arial" w:eastAsia="Arial" w:hAnsi="Arial"/>
          <w:sz w:val="18"/>
          <w:szCs w:val="18"/>
          <w:color w:val="auto"/>
        </w:rPr>
        <w:t>Governance and Sustainability, Finance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5" w:lineRule="exact"/>
        <w:rPr>
          <w:sz w:val="20"/>
          <w:szCs w:val="20"/>
          <w:color w:val="auto"/>
        </w:rPr>
      </w:pPr>
    </w:p>
    <w:p>
      <w:pPr>
        <w:ind w:left="340" w:hanging="233"/>
        <w:spacing w:after="0"/>
        <w:tabs>
          <w:tab w:leader="none" w:pos="340" w:val="left"/>
        </w:tabs>
        <w:numPr>
          <w:ilvl w:val="0"/>
          <w:numId w:val="20"/>
        </w:numPr>
        <w:rPr>
          <w:rFonts w:ascii="Arial" w:cs="Arial" w:eastAsia="Arial" w:hAnsi="Arial"/>
          <w:sz w:val="42"/>
          <w:szCs w:val="42"/>
          <w:b w:val="1"/>
          <w:bCs w:val="1"/>
          <w:color w:val="BD03F7"/>
          <w:vertAlign w:val="subscript"/>
        </w:rPr>
      </w:pPr>
      <w:r>
        <w:rPr>
          <w:rFonts w:ascii="Arial" w:cs="Arial" w:eastAsia="Arial" w:hAnsi="Arial"/>
          <w:sz w:val="16"/>
          <w:szCs w:val="16"/>
          <w:color w:val="auto"/>
        </w:rPr>
        <w:t>Founder</w:t>
      </w:r>
      <w:r>
        <w:rPr>
          <w:rFonts w:ascii="Arial" w:cs="Arial" w:eastAsia="Arial" w:hAnsi="Arial"/>
          <w:sz w:val="30"/>
          <w:szCs w:val="30"/>
          <w:color w:val="auto"/>
          <w:vertAlign w:val="subscript"/>
        </w:rPr>
        <w:t>2024.</w:t>
      </w:r>
      <w:r>
        <w:rPr>
          <w:rFonts w:ascii="Arial" w:cs="Arial" w:eastAsia="Arial" w:hAnsi="Arial"/>
          <w:sz w:val="16"/>
          <w:szCs w:val="16"/>
          <w:color w:val="auto"/>
        </w:rPr>
        <w:t xml:space="preserve"> and Chairman of J&amp;M Copper Beech Ventures, a multi-strategy investment fund since April</w:t>
      </w:r>
    </w:p>
    <w:p>
      <w:pPr>
        <w:spacing w:after="0" w:line="17" w:lineRule="exact"/>
        <w:rPr>
          <w:rFonts w:ascii="Arial" w:cs="Arial" w:eastAsia="Arial" w:hAnsi="Arial"/>
          <w:sz w:val="42"/>
          <w:szCs w:val="42"/>
          <w:b w:val="1"/>
          <w:bCs w:val="1"/>
          <w:color w:val="BD03F7"/>
          <w:vertAlign w:val="subscript"/>
        </w:rPr>
      </w:pPr>
    </w:p>
    <w:p>
      <w:pPr>
        <w:ind w:left="340" w:right="520" w:hanging="233"/>
        <w:spacing w:after="0" w:line="181" w:lineRule="auto"/>
        <w:tabs>
          <w:tab w:leader="none" w:pos="340" w:val="left"/>
        </w:tabs>
        <w:numPr>
          <w:ilvl w:val="0"/>
          <w:numId w:val="20"/>
        </w:numPr>
        <w:rPr>
          <w:rFonts w:ascii="Arial" w:cs="Arial" w:eastAsia="Arial" w:hAnsi="Arial"/>
          <w:sz w:val="37"/>
          <w:szCs w:val="37"/>
          <w:b w:val="1"/>
          <w:bCs w:val="1"/>
          <w:color w:val="BD03F7"/>
          <w:vertAlign w:val="subscript"/>
        </w:rPr>
      </w:pPr>
      <w:r>
        <w:rPr>
          <w:rFonts w:ascii="Arial" w:cs="Arial" w:eastAsia="Arial" w:hAnsi="Arial"/>
          <w:sz w:val="15"/>
          <w:szCs w:val="15"/>
          <w:color w:val="auto"/>
        </w:rPr>
        <w:t>Executive Chairman of Taiwan Semiconductor Manufacturing Company Limited, a multinational semiconductor contract manufacturer, from June 2018 to June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40" w:hanging="233"/>
        <w:spacing w:after="0"/>
        <w:tabs>
          <w:tab w:leader="none" w:pos="340" w:val="left"/>
        </w:tabs>
        <w:numPr>
          <w:ilvl w:val="0"/>
          <w:numId w:val="21"/>
        </w:numPr>
        <w:rPr>
          <w:rFonts w:ascii="Arial" w:cs="Arial" w:eastAsia="Arial" w:hAnsi="Arial"/>
          <w:sz w:val="25"/>
          <w:szCs w:val="25"/>
          <w:b w:val="1"/>
          <w:bCs w:val="1"/>
          <w:color w:val="BD03F7"/>
        </w:rPr>
      </w:pPr>
      <w:r>
        <w:rPr>
          <w:rFonts w:ascii="Arial" w:cs="Arial" w:eastAsia="Arial" w:hAnsi="Arial"/>
          <w:sz w:val="18"/>
          <w:szCs w:val="18"/>
          <w:color w:val="auto"/>
        </w:rPr>
        <w:t>None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Mr. Liu’s experience holding operations leadership positions, including Executive Chairman, in Taiwan Semiconductor Manufacturing Company Limited, a public multinational semiconductor contract manufacturer, provides our Board expertise in our industry and technology, as well as finance, business development, manufacturing, international operations, corporate governance and information security expertise. We believe these experiences, qualifications, attributes, and skills qualify Mr. Liu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847090</wp:posOffset>
            </wp:positionV>
            <wp:extent cx="70732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1483" w:lineRule="exact"/>
        <w:rPr>
          <w:sz w:val="20"/>
          <w:szCs w:val="20"/>
          <w:color w:val="auto"/>
        </w:rPr>
      </w:pPr>
    </w:p>
    <w:p>
      <w:pPr>
        <w:sectPr>
          <w:pgSz w:w="11900" w:h="16838" w:orient="portrait"/>
          <w:cols w:equalWidth="0" w:num="2">
            <w:col w:w="2500" w:space="340"/>
            <w:col w:w="84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ind w:left="9828"/>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530860</wp:posOffset>
            </wp:positionV>
            <wp:extent cx="7073265" cy="1586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73265" cy="1586865"/>
                    </a:xfrm>
                    <a:prstGeom prst="rect">
                      <a:avLst/>
                    </a:prstGeom>
                    <a:noFill/>
                  </pic:spPr>
                </pic:pic>
              </a:graphicData>
            </a:graphic>
          </wp:anchor>
        </w:drawing>
      </w:r>
    </w:p>
    <w:p>
      <w:pPr>
        <w:sectPr>
          <w:pgSz w:w="11900" w:h="16838" w:orient="portrait"/>
          <w:cols w:equalWidth="0" w:num="1">
            <w:col w:w="11168"/>
          </w:cols>
          <w:pgMar w:left="392"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 w:right="1180"/>
        <w:spacing w:after="0" w:line="251" w:lineRule="auto"/>
        <w:rPr>
          <w:sz w:val="20"/>
          <w:szCs w:val="20"/>
          <w:color w:val="auto"/>
        </w:rPr>
      </w:pPr>
      <w:r>
        <w:rPr>
          <w:rFonts w:ascii="Arial" w:cs="Arial" w:eastAsia="Arial" w:hAnsi="Arial"/>
          <w:sz w:val="35"/>
          <w:szCs w:val="35"/>
          <w:b w:val="1"/>
          <w:bCs w:val="1"/>
          <w:color w:val="auto"/>
        </w:rPr>
        <w:t>Sanjay Mehrotra</w:t>
      </w:r>
    </w:p>
    <w:p>
      <w:pPr>
        <w:spacing w:after="0" w:line="2" w:lineRule="exact"/>
        <w:rPr>
          <w:sz w:val="20"/>
          <w:szCs w:val="20"/>
          <w:color w:val="auto"/>
        </w:rPr>
      </w:pPr>
    </w:p>
    <w:p>
      <w:pPr>
        <w:ind w:left="8"/>
        <w:spacing w:after="0" w:line="267" w:lineRule="auto"/>
        <w:rPr>
          <w:sz w:val="20"/>
          <w:szCs w:val="20"/>
          <w:color w:val="auto"/>
        </w:rPr>
      </w:pPr>
      <w:r>
        <w:rPr>
          <w:rFonts w:ascii="Arial" w:cs="Arial" w:eastAsia="Arial" w:hAnsi="Arial"/>
          <w:sz w:val="21"/>
          <w:szCs w:val="21"/>
          <w:b w:val="1"/>
          <w:bCs w:val="1"/>
          <w:color w:val="auto"/>
        </w:rPr>
        <w:t>Chairman, Chief Executive Officer</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color w:val="auto"/>
        </w:rPr>
        <w:t>Age | 67</w:t>
      </w:r>
    </w:p>
    <w:p>
      <w:pPr>
        <w:ind w:left="8"/>
        <w:spacing w:after="0"/>
        <w:rPr>
          <w:sz w:val="20"/>
          <w:szCs w:val="20"/>
          <w:color w:val="auto"/>
        </w:rPr>
      </w:pPr>
      <w:r>
        <w:rPr>
          <w:rFonts w:ascii="Arial" w:cs="Arial" w:eastAsia="Arial" w:hAnsi="Arial"/>
          <w:sz w:val="18"/>
          <w:szCs w:val="18"/>
          <w:color w:val="auto"/>
        </w:rPr>
        <w:t>Director Since |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60" w:right="480" w:hanging="246"/>
        <w:spacing w:after="0" w:line="181" w:lineRule="auto"/>
        <w:tabs>
          <w:tab w:leader="none" w:pos="360" w:val="left"/>
        </w:tabs>
        <w:numPr>
          <w:ilvl w:val="0"/>
          <w:numId w:val="22"/>
        </w:numPr>
        <w:rPr>
          <w:rFonts w:ascii="Arial" w:cs="Arial" w:eastAsia="Arial" w:hAnsi="Arial"/>
          <w:sz w:val="35"/>
          <w:szCs w:val="35"/>
          <w:b w:val="1"/>
          <w:bCs w:val="1"/>
          <w:color w:val="BD03F7"/>
          <w:vertAlign w:val="subscript"/>
        </w:rPr>
      </w:pPr>
      <w:r>
        <w:rPr>
          <w:rFonts w:ascii="Arial" w:cs="Arial" w:eastAsia="Arial" w:hAnsi="Arial"/>
          <w:sz w:val="15"/>
          <w:szCs w:val="15"/>
          <w:color w:val="auto"/>
        </w:rPr>
        <w:t>Mr. Mehrotra has served as Micron’s President, Chief Executive Officer, and Director since May 2017 and has served as Micron’s Chairman since January 2025.</w:t>
      </w:r>
    </w:p>
    <w:p>
      <w:pPr>
        <w:spacing w:after="0" w:line="247" w:lineRule="exact"/>
        <w:rPr>
          <w:rFonts w:ascii="Arial" w:cs="Arial" w:eastAsia="Arial" w:hAnsi="Arial"/>
          <w:sz w:val="35"/>
          <w:szCs w:val="35"/>
          <w:b w:val="1"/>
          <w:bCs w:val="1"/>
          <w:color w:val="BD03F7"/>
          <w:vertAlign w:val="subscript"/>
        </w:rPr>
      </w:pPr>
    </w:p>
    <w:p>
      <w:pPr>
        <w:ind w:left="360" w:right="240" w:hanging="246"/>
        <w:spacing w:after="0" w:line="184" w:lineRule="auto"/>
        <w:tabs>
          <w:tab w:leader="none" w:pos="360" w:val="left"/>
        </w:tabs>
        <w:numPr>
          <w:ilvl w:val="0"/>
          <w:numId w:val="22"/>
        </w:numPr>
        <w:rPr>
          <w:rFonts w:ascii="Arial" w:cs="Arial" w:eastAsia="Arial" w:hAnsi="Arial"/>
          <w:sz w:val="42"/>
          <w:szCs w:val="42"/>
          <w:b w:val="1"/>
          <w:bCs w:val="1"/>
          <w:color w:val="BD03F7"/>
          <w:vertAlign w:val="subscript"/>
        </w:rPr>
      </w:pPr>
      <w:r>
        <w:rPr>
          <w:rFonts w:ascii="Arial" w:cs="Arial" w:eastAsia="Arial" w:hAnsi="Arial"/>
          <w:sz w:val="16"/>
          <w:szCs w:val="16"/>
          <w:color w:val="auto"/>
        </w:rPr>
        <w:t>Prior to that, Mr. Mehrotra co-founded and led SanDisk Corporation as a start-up in 1988 until its eventual sale in May 2016, serving as its President and Chief Executive Officer from January 2011 to May 2016 and as a member of its Board of Directors from July 2010 to May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ind w:left="360" w:hanging="246"/>
        <w:spacing w:after="0" w:line="183" w:lineRule="auto"/>
        <w:tabs>
          <w:tab w:leader="none" w:pos="360" w:val="left"/>
        </w:tabs>
        <w:numPr>
          <w:ilvl w:val="0"/>
          <w:numId w:val="23"/>
        </w:numPr>
        <w:rPr>
          <w:rFonts w:ascii="Arial" w:cs="Arial" w:eastAsia="Arial" w:hAnsi="Arial"/>
          <w:sz w:val="31"/>
          <w:szCs w:val="31"/>
          <w:b w:val="1"/>
          <w:bCs w:val="1"/>
          <w:color w:val="BD03F7"/>
          <w:vertAlign w:val="subscript"/>
        </w:rPr>
      </w:pPr>
      <w:r>
        <w:rPr>
          <w:rFonts w:ascii="Arial" w:cs="Arial" w:eastAsia="Arial" w:hAnsi="Arial"/>
          <w:sz w:val="14"/>
          <w:szCs w:val="14"/>
          <w:color w:val="auto"/>
        </w:rPr>
        <w:t>CDW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3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Mr. Mehrotra has 45 years of experience in the semiconductor memory industry, and as a co-founder of SanDisk, he offers a unique perspective on the industry and has significant senior leadership and technological expertise. In addition, Mr. Mehrotra’s experience provides our Board expertise in finance, corporate development, corporate governance, and business strategy, all of which are critical to achieving our strategic objectives. We believe these experiences, qualifications, attributes, and skills qualify Mr. Mehrotra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540385</wp:posOffset>
            </wp:positionV>
            <wp:extent cx="70732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746" w:lineRule="exact"/>
        <w:rPr>
          <w:sz w:val="20"/>
          <w:szCs w:val="20"/>
          <w:color w:val="auto"/>
        </w:rPr>
      </w:pPr>
    </w:p>
    <w:p>
      <w:pPr>
        <w:sectPr>
          <w:pgSz w:w="11900" w:h="16838" w:orient="portrait"/>
          <w:cols w:equalWidth="0" w:num="2">
            <w:col w:w="2708" w:space="100"/>
            <w:col w:w="8360"/>
          </w:cols>
          <w:pgMar w:left="392"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 w:right="80" w:hanging="8"/>
        <w:spacing w:after="0" w:line="255" w:lineRule="auto"/>
        <w:tabs>
          <w:tab w:leader="none" w:pos="465" w:val="left"/>
        </w:tabs>
        <w:numPr>
          <w:ilvl w:val="0"/>
          <w:numId w:val="24"/>
        </w:numPr>
        <w:rPr>
          <w:rFonts w:ascii="Arial" w:cs="Arial" w:eastAsia="Arial" w:hAnsi="Arial"/>
          <w:sz w:val="35"/>
          <w:szCs w:val="35"/>
          <w:b w:val="1"/>
          <w:bCs w:val="1"/>
          <w:color w:val="auto"/>
        </w:rPr>
      </w:pPr>
      <w:r>
        <w:rPr>
          <w:rFonts w:ascii="Arial" w:cs="Arial" w:eastAsia="Arial" w:hAnsi="Arial"/>
          <w:sz w:val="35"/>
          <w:szCs w:val="35"/>
          <w:b w:val="1"/>
          <w:bCs w:val="1"/>
          <w:color w:val="auto"/>
        </w:rPr>
        <w:t>Christine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-2259330</wp:posOffset>
            </wp:positionV>
            <wp:extent cx="1177290" cy="1552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77290" cy="1552575"/>
                    </a:xfrm>
                    <a:prstGeom prst="rect">
                      <a:avLst/>
                    </a:prstGeom>
                    <a:noFill/>
                  </pic:spPr>
                </pic:pic>
              </a:graphicData>
            </a:graphic>
          </wp:anchor>
        </w:drawing>
      </w:r>
    </w:p>
    <w:p>
      <w:pPr>
        <w:ind w:left="8"/>
        <w:spacing w:after="0"/>
        <w:rPr>
          <w:sz w:val="20"/>
          <w:szCs w:val="20"/>
          <w:color w:val="auto"/>
        </w:rPr>
      </w:pPr>
      <w:r>
        <w:rPr>
          <w:rFonts w:ascii="Arial" w:cs="Arial" w:eastAsia="Arial" w:hAnsi="Arial"/>
          <w:sz w:val="21"/>
          <w:szCs w:val="21"/>
          <w:b w:val="1"/>
          <w:bCs w:val="1"/>
          <w:color w:val="auto"/>
        </w:rPr>
        <w:t>Independent</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8"/>
          <w:szCs w:val="18"/>
          <w:color w:val="auto"/>
        </w:rPr>
        <w:t>Age | 63</w:t>
      </w:r>
    </w:p>
    <w:p>
      <w:pPr>
        <w:ind w:left="8"/>
        <w:spacing w:after="0"/>
        <w:rPr>
          <w:sz w:val="20"/>
          <w:szCs w:val="20"/>
          <w:color w:val="auto"/>
        </w:rPr>
      </w:pPr>
      <w:r>
        <w:rPr>
          <w:rFonts w:ascii="Arial" w:cs="Arial" w:eastAsia="Arial" w:hAnsi="Arial"/>
          <w:sz w:val="18"/>
          <w:szCs w:val="18"/>
          <w:color w:val="auto"/>
        </w:rPr>
        <w:t>Director Since | 2025</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Committees</w:t>
      </w:r>
    </w:p>
    <w:p>
      <w:pPr>
        <w:ind w:left="8"/>
        <w:spacing w:after="0"/>
        <w:rPr>
          <w:sz w:val="20"/>
          <w:szCs w:val="20"/>
          <w:color w:val="auto"/>
        </w:rPr>
      </w:pPr>
      <w:r>
        <w:rPr>
          <w:rFonts w:ascii="Arial" w:cs="Arial" w:eastAsia="Arial" w:hAnsi="Arial"/>
          <w:sz w:val="18"/>
          <w:szCs w:val="18"/>
          <w:color w:val="auto"/>
        </w:rPr>
        <w:t>Audit, Security</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60" w:right="80" w:hanging="246"/>
        <w:spacing w:after="0" w:line="181" w:lineRule="auto"/>
        <w:tabs>
          <w:tab w:leader="none" w:pos="360" w:val="left"/>
        </w:tabs>
        <w:numPr>
          <w:ilvl w:val="0"/>
          <w:numId w:val="25"/>
        </w:numPr>
        <w:rPr>
          <w:rFonts w:ascii="Arial" w:cs="Arial" w:eastAsia="Arial" w:hAnsi="Arial"/>
          <w:sz w:val="47"/>
          <w:szCs w:val="47"/>
          <w:b w:val="1"/>
          <w:bCs w:val="1"/>
          <w:color w:val="BD03F7"/>
          <w:vertAlign w:val="subscript"/>
        </w:rPr>
      </w:pPr>
      <w:r>
        <w:rPr>
          <w:rFonts w:ascii="Arial" w:cs="Arial" w:eastAsia="Arial" w:hAnsi="Arial"/>
          <w:sz w:val="17"/>
          <w:szCs w:val="17"/>
          <w:color w:val="auto"/>
        </w:rPr>
        <w:t>Partner at Deloitte &amp; Touche LLP, the U.S. member firm of the global audit, tax, and advisory services firm, from August 2004 to May 2025, serving global technology clients in various leadership roles, including leading the firm’s Global Semiconductor Center of Excellence and leading the U.S. Technology, Media &amp; Telecommunications (TMT) Audit &amp; Assurance practice.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60" w:hanging="246"/>
        <w:spacing w:after="0"/>
        <w:tabs>
          <w:tab w:leader="none" w:pos="360" w:val="left"/>
        </w:tabs>
        <w:numPr>
          <w:ilvl w:val="0"/>
          <w:numId w:val="26"/>
        </w:numPr>
        <w:rPr>
          <w:rFonts w:ascii="Arial" w:cs="Arial" w:eastAsia="Arial" w:hAnsi="Arial"/>
          <w:sz w:val="25"/>
          <w:szCs w:val="25"/>
          <w:b w:val="1"/>
          <w:bCs w:val="1"/>
          <w:color w:val="BD03F7"/>
        </w:rPr>
      </w:pPr>
      <w:r>
        <w:rPr>
          <w:rFonts w:ascii="Arial" w:cs="Arial" w:eastAsia="Arial" w:hAnsi="Arial"/>
          <w:sz w:val="18"/>
          <w:szCs w:val="18"/>
          <w:color w:val="auto"/>
        </w:rPr>
        <w:t>Autodesk,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Ms. Simon’s experience advising numerous global technology clients on financial and accounting matters as a partner at Deloitte &amp; Touche LLP provides our Board deep technical expertise in financial and accounting matters, and contributes valuable insights and perspectives to our business and operations. We believe these experiences, qualifications, attributes, and skills qualify Ms. Simons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1070610</wp:posOffset>
            </wp:positionV>
            <wp:extent cx="70732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1876" w:lineRule="exact"/>
        <w:rPr>
          <w:sz w:val="20"/>
          <w:szCs w:val="20"/>
          <w:color w:val="auto"/>
        </w:rPr>
      </w:pPr>
    </w:p>
    <w:p>
      <w:pPr>
        <w:sectPr>
          <w:pgSz w:w="11900" w:h="16838" w:orient="portrait"/>
          <w:cols w:equalWidth="0" w:num="2">
            <w:col w:w="2088" w:space="720"/>
            <w:col w:w="8360"/>
          </w:cols>
          <w:pgMar w:left="392"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8"/>
        <w:spacing w:after="0"/>
        <w:rPr>
          <w:sz w:val="20"/>
          <w:szCs w:val="20"/>
          <w:color w:val="auto"/>
        </w:rPr>
      </w:pPr>
      <w:r>
        <w:rPr>
          <w:sz w:val="1"/>
          <w:szCs w:val="1"/>
          <w:color w:val="auto"/>
        </w:rPr>
        <w:drawing>
          <wp:inline distT="0" distB="0" distL="0" distR="0">
            <wp:extent cx="776605" cy="1619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1"/>
          <w:szCs w:val="11"/>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100330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8"/>
          </w:cols>
          <w:pgMar w:left="392" w:top="125" w:right="339" w:bottom="1440" w:gutter="0" w:footer="0" w:header="0"/>
          <w:type w:val="continuous"/>
        </w:sectPr>
      </w:pPr>
    </w:p>
    <w:bookmarkStart w:id="14" w:name="page15"/>
    <w:bookmarkEnd w:id="14"/>
    <w:p>
      <w:pPr>
        <w:ind w:left="9900"/>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530860</wp:posOffset>
            </wp:positionV>
            <wp:extent cx="70732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Robert 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-2056765</wp:posOffset>
            </wp:positionV>
            <wp:extent cx="1177290" cy="16294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77290" cy="162941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Independent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 | 65</w:t>
      </w:r>
    </w:p>
    <w:p>
      <w:pPr>
        <w:ind w:left="20"/>
        <w:spacing w:after="0"/>
        <w:rPr>
          <w:sz w:val="20"/>
          <w:szCs w:val="20"/>
          <w:color w:val="auto"/>
        </w:rPr>
      </w:pPr>
      <w:r>
        <w:rPr>
          <w:rFonts w:ascii="Arial" w:cs="Arial" w:eastAsia="Arial" w:hAnsi="Arial"/>
          <w:sz w:val="18"/>
          <w:szCs w:val="18"/>
          <w:color w:val="auto"/>
        </w:rPr>
        <w:t>Director Since | 2024</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Committees</w:t>
      </w:r>
    </w:p>
    <w:p>
      <w:pPr>
        <w:ind w:left="20"/>
        <w:spacing w:after="0"/>
        <w:rPr>
          <w:sz w:val="20"/>
          <w:szCs w:val="20"/>
          <w:color w:val="auto"/>
        </w:rPr>
      </w:pPr>
      <w:r>
        <w:rPr>
          <w:rFonts w:ascii="Arial" w:cs="Arial" w:eastAsia="Arial" w:hAnsi="Arial"/>
          <w:sz w:val="18"/>
          <w:szCs w:val="18"/>
          <w:color w:val="auto"/>
        </w:rPr>
        <w:t>Audit,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40" w:right="140" w:hanging="233"/>
        <w:spacing w:after="0" w:line="198" w:lineRule="auto"/>
        <w:tabs>
          <w:tab w:leader="none" w:pos="340" w:val="left"/>
        </w:tabs>
        <w:numPr>
          <w:ilvl w:val="0"/>
          <w:numId w:val="27"/>
        </w:numPr>
        <w:rPr>
          <w:rFonts w:ascii="Arial" w:cs="Arial" w:eastAsia="Arial" w:hAnsi="Arial"/>
          <w:sz w:val="50"/>
          <w:szCs w:val="50"/>
          <w:b w:val="1"/>
          <w:bCs w:val="1"/>
          <w:color w:val="BD03F7"/>
          <w:vertAlign w:val="subscript"/>
        </w:rPr>
      </w:pPr>
      <w:r>
        <w:rPr>
          <w:rFonts w:ascii="Arial" w:cs="Arial" w:eastAsia="Arial" w:hAnsi="Arial"/>
          <w:sz w:val="18"/>
          <w:szCs w:val="18"/>
          <w:color w:val="auto"/>
        </w:rPr>
        <w:t>Operating Partner at Andreessen Horowitz, a venture capital firm, since July 2021. Prior to that, Mr. Swan served at Intel Corporation, a semiconductor manufacturing company, as Chief Executive Officer from February 2019 to February 2021, as Interim Chief Executive Officer and Executive Vice President, Chief Financial Officer from June 2018 to January 2019 and as Executive Vice President, Chief Financial Officer from October 2016 to June 2018. Prior to joining Intel, Mr. Swan held several senior management roles at other companies, including Chief Financial Officer at eBay Inc., Electronic Data Systems Corp., TRW Inc., and Webvan Group, Inc., where he additionally served as Chief Operating Officer and Chief Executive Officer.</w:t>
      </w:r>
    </w:p>
    <w:p>
      <w:pPr>
        <w:spacing w:after="0" w:line="200" w:lineRule="exact"/>
        <w:rPr>
          <w:rFonts w:ascii="Arial" w:cs="Arial" w:eastAsia="Arial" w:hAnsi="Arial"/>
          <w:sz w:val="50"/>
          <w:szCs w:val="50"/>
          <w:b w:val="1"/>
          <w:bCs w:val="1"/>
          <w:color w:val="BD03F7"/>
          <w:vertAlign w:val="subscript"/>
        </w:rPr>
      </w:pPr>
    </w:p>
    <w:p>
      <w:pPr>
        <w:spacing w:after="0" w:line="222" w:lineRule="exact"/>
        <w:rPr>
          <w:rFonts w:ascii="Arial" w:cs="Arial" w:eastAsia="Arial" w:hAnsi="Arial"/>
          <w:sz w:val="50"/>
          <w:szCs w:val="50"/>
          <w:b w:val="1"/>
          <w:bCs w:val="1"/>
          <w:color w:val="BD03F7"/>
          <w:vertAlign w:val="subscript"/>
        </w:rPr>
      </w:pPr>
    </w:p>
    <w:p>
      <w:pPr>
        <w:ind w:left="340" w:right="260" w:hanging="233"/>
        <w:spacing w:after="0" w:line="183" w:lineRule="auto"/>
        <w:tabs>
          <w:tab w:leader="none" w:pos="340" w:val="left"/>
        </w:tabs>
        <w:numPr>
          <w:ilvl w:val="0"/>
          <w:numId w:val="27"/>
        </w:numPr>
        <w:rPr>
          <w:rFonts w:ascii="Arial" w:cs="Arial" w:eastAsia="Arial" w:hAnsi="Arial"/>
          <w:sz w:val="35"/>
          <w:szCs w:val="35"/>
          <w:b w:val="1"/>
          <w:bCs w:val="1"/>
          <w:color w:val="BD03F7"/>
          <w:vertAlign w:val="subscript"/>
        </w:rPr>
      </w:pPr>
      <w:r>
        <w:rPr>
          <w:rFonts w:ascii="Arial" w:cs="Arial" w:eastAsia="Arial" w:hAnsi="Arial"/>
          <w:sz w:val="15"/>
          <w:szCs w:val="15"/>
          <w:color w:val="auto"/>
        </w:rPr>
        <w:t>Within the past five years, Mr. Swan served on the Board of Directors of eBay and Intel and served on the Board of Commissioners of GoTo Group.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40" w:hanging="233"/>
        <w:spacing w:after="0"/>
        <w:tabs>
          <w:tab w:leader="none" w:pos="340" w:val="left"/>
        </w:tabs>
        <w:numPr>
          <w:ilvl w:val="0"/>
          <w:numId w:val="28"/>
        </w:numPr>
        <w:rPr>
          <w:rFonts w:ascii="Arial" w:cs="Arial" w:eastAsia="Arial" w:hAnsi="Arial"/>
          <w:sz w:val="25"/>
          <w:szCs w:val="25"/>
          <w:b w:val="1"/>
          <w:bCs w:val="1"/>
          <w:color w:val="BD03F7"/>
        </w:rPr>
      </w:pPr>
      <w:r>
        <w:rPr>
          <w:rFonts w:ascii="Arial" w:cs="Arial" w:eastAsia="Arial" w:hAnsi="Arial"/>
          <w:sz w:val="18"/>
          <w:szCs w:val="18"/>
          <w:color w:val="auto"/>
        </w:rPr>
        <w:t>Nike, Inc.</w:t>
      </w:r>
    </w:p>
    <w:p>
      <w:pPr>
        <w:spacing w:after="0" w:line="61" w:lineRule="exact"/>
        <w:rPr>
          <w:rFonts w:ascii="Arial" w:cs="Arial" w:eastAsia="Arial" w:hAnsi="Arial"/>
          <w:sz w:val="25"/>
          <w:szCs w:val="25"/>
          <w:b w:val="1"/>
          <w:bCs w:val="1"/>
          <w:color w:val="BD03F7"/>
        </w:rPr>
      </w:pPr>
    </w:p>
    <w:p>
      <w:pPr>
        <w:ind w:left="340" w:hanging="233"/>
        <w:spacing w:after="0"/>
        <w:tabs>
          <w:tab w:leader="none" w:pos="340" w:val="left"/>
        </w:tabs>
        <w:numPr>
          <w:ilvl w:val="0"/>
          <w:numId w:val="28"/>
        </w:numPr>
        <w:rPr>
          <w:rFonts w:ascii="Arial" w:cs="Arial" w:eastAsia="Arial" w:hAnsi="Arial"/>
          <w:sz w:val="25"/>
          <w:szCs w:val="25"/>
          <w:b w:val="1"/>
          <w:bCs w:val="1"/>
          <w:color w:val="BD03F7"/>
        </w:rPr>
      </w:pPr>
      <w:r>
        <w:rPr>
          <w:rFonts w:ascii="Arial" w:cs="Arial" w:eastAsia="Arial" w:hAnsi="Arial"/>
          <w:sz w:val="18"/>
          <w:szCs w:val="18"/>
          <w:color w:val="auto"/>
        </w:rPr>
        <w:t>Automatic Data Processing, Inc.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48" w:lineRule="exact"/>
        <w:rPr>
          <w:sz w:val="20"/>
          <w:szCs w:val="20"/>
          <w:color w:val="auto"/>
        </w:rPr>
      </w:pPr>
    </w:p>
    <w:p>
      <w:pPr>
        <w:ind w:right="760"/>
        <w:spacing w:after="0" w:line="233" w:lineRule="auto"/>
        <w:rPr>
          <w:sz w:val="20"/>
          <w:szCs w:val="20"/>
          <w:color w:val="auto"/>
        </w:rPr>
      </w:pPr>
      <w:r>
        <w:rPr>
          <w:rFonts w:ascii="Arial" w:cs="Arial" w:eastAsia="Arial" w:hAnsi="Arial"/>
          <w:sz w:val="17"/>
          <w:szCs w:val="17"/>
          <w:color w:val="auto"/>
        </w:rPr>
        <w:t>Mr. Swan’s experience as a former Chief Executive Officer and Chief Financial Officer of public technology companies in the semiconductor memory industry, including Intel, provides our Board</w:t>
      </w:r>
    </w:p>
    <w:p>
      <w:pPr>
        <w:spacing w:after="0" w:line="1" w:lineRule="exact"/>
        <w:rPr>
          <w:sz w:val="20"/>
          <w:szCs w:val="20"/>
          <w:color w:val="auto"/>
        </w:rPr>
      </w:pPr>
    </w:p>
    <w:p>
      <w:pPr>
        <w:ind w:right="460"/>
        <w:spacing w:after="0" w:line="233" w:lineRule="auto"/>
        <w:rPr>
          <w:sz w:val="20"/>
          <w:szCs w:val="20"/>
          <w:color w:val="auto"/>
        </w:rPr>
      </w:pPr>
      <w:r>
        <w:rPr>
          <w:rFonts w:ascii="Arial" w:cs="Arial" w:eastAsia="Arial" w:hAnsi="Arial"/>
          <w:sz w:val="17"/>
          <w:szCs w:val="17"/>
          <w:color w:val="auto"/>
        </w:rPr>
        <w:t>expertise in our industry and technology as well as finance, business development, manufacturing, operations, corporate governance and information security expertise. We believe these experiences, qualifications, attributes, and skills qualify Mr. Swan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227965</wp:posOffset>
            </wp:positionV>
            <wp:extent cx="71158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8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160"/>
            <w:col w:w="8400"/>
          </w:cols>
          <w:pgMar w:left="320" w:top="125" w:right="339" w:bottom="1440" w:gutter="0" w:footer="0" w:header="0"/>
          <w:type w:val="continuous"/>
        </w:sectPr>
      </w:pPr>
    </w:p>
    <w:p>
      <w:pPr>
        <w:spacing w:after="0" w:line="261"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auto"/>
        </w:rPr>
        <w:t>Professional Experience</w:t>
      </w:r>
    </w:p>
    <w:p>
      <w:pPr>
        <w:sectPr>
          <w:pgSz w:w="11900" w:h="16838" w:orient="portrait"/>
          <w:cols w:equalWidth="0" w:num="1">
            <w:col w:w="11240"/>
          </w:cols>
          <w:pgMar w:left="320" w:top="125" w:right="339" w:bottom="1440" w:gutter="0" w:footer="0" w:header="0"/>
          <w:type w:val="continuous"/>
        </w:sectPr>
      </w:pPr>
    </w:p>
    <w:p>
      <w:pPr>
        <w:spacing w:after="0" w:line="51" w:lineRule="exact"/>
        <w:rPr>
          <w:sz w:val="20"/>
          <w:szCs w:val="20"/>
          <w:color w:val="auto"/>
        </w:rPr>
      </w:pPr>
    </w:p>
    <w:p>
      <w:pPr>
        <w:ind w:left="2960"/>
        <w:spacing w:after="0"/>
        <w:rPr>
          <w:sz w:val="20"/>
          <w:szCs w:val="20"/>
          <w:color w:val="auto"/>
        </w:rPr>
      </w:pPr>
      <w:r>
        <w:rPr>
          <w:rFonts w:ascii="Arial" w:cs="Arial" w:eastAsia="Arial" w:hAnsi="Arial"/>
          <w:sz w:val="25"/>
          <w:szCs w:val="25"/>
          <w:b w:val="1"/>
          <w:bCs w:val="1"/>
          <w:color w:val="BD03F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1177290" cy="1536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77290" cy="153606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960"/>
        <w:spacing w:after="0"/>
        <w:rPr>
          <w:sz w:val="20"/>
          <w:szCs w:val="20"/>
          <w:color w:val="auto"/>
        </w:rPr>
      </w:pPr>
      <w:r>
        <w:rPr>
          <w:rFonts w:ascii="Arial" w:cs="Arial" w:eastAsia="Arial" w:hAnsi="Arial"/>
          <w:sz w:val="25"/>
          <w:szCs w:val="25"/>
          <w:b w:val="1"/>
          <w:bCs w:val="1"/>
          <w:color w:val="BD03F7"/>
        </w:rPr>
        <w:t>•</w:t>
      </w:r>
    </w:p>
    <w:p>
      <w:pPr>
        <w:spacing w:after="0" w:line="398" w:lineRule="exact"/>
        <w:rPr>
          <w:sz w:val="20"/>
          <w:szCs w:val="20"/>
          <w:color w:val="auto"/>
        </w:rPr>
      </w:pPr>
    </w:p>
    <w:p>
      <w:pPr>
        <w:ind w:left="2960"/>
        <w:spacing w:after="0"/>
        <w:rPr>
          <w:sz w:val="20"/>
          <w:szCs w:val="20"/>
          <w:color w:val="auto"/>
        </w:rPr>
      </w:pPr>
      <w:r>
        <w:rPr>
          <w:rFonts w:ascii="Arial" w:cs="Arial" w:eastAsia="Arial" w:hAnsi="Arial"/>
          <w:sz w:val="25"/>
          <w:szCs w:val="25"/>
          <w:b w:val="1"/>
          <w:bCs w:val="1"/>
          <w:color w:val="BD03F7"/>
        </w:rPr>
        <w:t>•</w:t>
      </w:r>
    </w:p>
    <w:p>
      <w:pPr>
        <w:spacing w:after="0" w:line="384" w:lineRule="exact"/>
        <w:rPr>
          <w:sz w:val="20"/>
          <w:szCs w:val="20"/>
          <w:color w:val="auto"/>
        </w:rPr>
      </w:pPr>
    </w:p>
    <w:p>
      <w:pPr>
        <w:ind w:left="2960"/>
        <w:spacing w:after="0"/>
        <w:rPr>
          <w:sz w:val="20"/>
          <w:szCs w:val="20"/>
          <w:color w:val="auto"/>
        </w:rPr>
      </w:pPr>
      <w:r>
        <w:rPr>
          <w:rFonts w:ascii="Arial" w:cs="Arial" w:eastAsia="Arial" w:hAnsi="Arial"/>
          <w:sz w:val="25"/>
          <w:szCs w:val="25"/>
          <w:b w:val="1"/>
          <w:bCs w:val="1"/>
          <w:color w:val="BD03F7"/>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color w:val="auto"/>
        </w:rPr>
        <w:t>Group Vice President of Engineering and Product Development of Johnson Controls International from 2013 to 2017. Ms. Wright also served as Vice President and General Manager for Johnson Controls’ Hybrid Systems business and as Chief Executive Officer of Johnson Controls-Saft from 2007 to 2009.</w:t>
      </w:r>
    </w:p>
    <w:p>
      <w:pPr>
        <w:spacing w:after="0" w:line="1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Prior to joining Johnson Controls, Ms. Wright served in the Office of the Chair and was Executive Vice President Engineering, Sales and Program Management at Collins &amp; Aikman Corporation from 2006 to 2007.</w:t>
      </w:r>
    </w:p>
    <w:p>
      <w:pPr>
        <w:spacing w:after="0" w:line="3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Prior to that, Ms. Wright held several executive positions at Ford Motor Company, including Chief Engineer, from 2003 to 2005, and Director of Sustainable Mobility Technologies and Hybrid and Fuel Cell Vehicle Programs from 2004 to 2005.</w:t>
      </w:r>
    </w:p>
    <w:p>
      <w:pPr>
        <w:spacing w:after="0" w:line="22" w:lineRule="exact"/>
        <w:rPr>
          <w:sz w:val="20"/>
          <w:szCs w:val="20"/>
          <w:color w:val="auto"/>
        </w:rPr>
      </w:pPr>
    </w:p>
    <w:p>
      <w:pPr>
        <w:ind w:right="800"/>
        <w:spacing w:after="0" w:line="269" w:lineRule="auto"/>
        <w:rPr>
          <w:sz w:val="20"/>
          <w:szCs w:val="20"/>
          <w:color w:val="auto"/>
        </w:rPr>
      </w:pPr>
      <w:r>
        <w:rPr>
          <w:rFonts w:ascii="Arial" w:cs="Arial" w:eastAsia="Arial" w:hAnsi="Arial"/>
          <w:sz w:val="18"/>
          <w:szCs w:val="18"/>
          <w:color w:val="auto"/>
        </w:rPr>
        <w:t>Within the past five years, Ms. Wright served on the Board of Directors of Maxim Integrated Products, Inc.</w:t>
      </w:r>
    </w:p>
    <w:p>
      <w:pPr>
        <w:spacing w:after="0" w:line="14" w:lineRule="exact"/>
        <w:rPr>
          <w:sz w:val="20"/>
          <w:szCs w:val="20"/>
          <w:color w:val="auto"/>
        </w:rPr>
      </w:pPr>
    </w:p>
    <w:p>
      <w:pPr>
        <w:sectPr>
          <w:pgSz w:w="11900" w:h="16838" w:orient="portrait"/>
          <w:cols w:equalWidth="0" w:num="2">
            <w:col w:w="3060" w:space="160"/>
            <w:col w:w="8020"/>
          </w:cols>
          <w:pgMar w:left="320" w:top="125" w:right="339" w:bottom="1440" w:gutter="0" w:footer="0" w:header="0"/>
          <w:type w:val="continuous"/>
        </w:sectPr>
      </w:pPr>
    </w:p>
    <w:p>
      <w:pPr>
        <w:ind w:left="20" w:right="1040"/>
        <w:spacing w:after="0" w:line="255" w:lineRule="auto"/>
        <w:rPr>
          <w:sz w:val="20"/>
          <w:szCs w:val="20"/>
          <w:color w:val="auto"/>
        </w:rPr>
      </w:pPr>
      <w:r>
        <w:rPr>
          <w:rFonts w:ascii="Arial" w:cs="Arial" w:eastAsia="Arial" w:hAnsi="Arial"/>
          <w:sz w:val="35"/>
          <w:szCs w:val="35"/>
          <w:b w:val="1"/>
          <w:bCs w:val="1"/>
          <w:color w:val="auto"/>
        </w:rPr>
        <w:t>MaryAnn Wright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Independent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 | 63</w:t>
      </w:r>
    </w:p>
    <w:p>
      <w:pPr>
        <w:ind w:left="20"/>
        <w:spacing w:after="0"/>
        <w:rPr>
          <w:sz w:val="20"/>
          <w:szCs w:val="20"/>
          <w:color w:val="auto"/>
        </w:rPr>
      </w:pPr>
      <w:r>
        <w:rPr>
          <w:rFonts w:ascii="Arial" w:cs="Arial" w:eastAsia="Arial" w:hAnsi="Arial"/>
          <w:sz w:val="18"/>
          <w:szCs w:val="18"/>
          <w:color w:val="auto"/>
        </w:rPr>
        <w:t>Director Since | 2019</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Committees</w:t>
      </w:r>
    </w:p>
    <w:p>
      <w:pPr>
        <w:ind w:left="20"/>
        <w:spacing w:after="0" w:line="228" w:lineRule="auto"/>
        <w:rPr>
          <w:sz w:val="20"/>
          <w:szCs w:val="20"/>
          <w:color w:val="auto"/>
        </w:rPr>
      </w:pPr>
      <w:r>
        <w:rPr>
          <w:rFonts w:ascii="Arial" w:cs="Arial" w:eastAsia="Arial" w:hAnsi="Arial"/>
          <w:sz w:val="18"/>
          <w:szCs w:val="18"/>
          <w:color w:val="auto"/>
        </w:rPr>
        <w:t>Compensation, Governance and Sustainability (Chair)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80" w:hanging="253"/>
        <w:spacing w:after="0"/>
        <w:tabs>
          <w:tab w:leader="none" w:pos="380" w:val="left"/>
        </w:tabs>
        <w:numPr>
          <w:ilvl w:val="0"/>
          <w:numId w:val="29"/>
        </w:numPr>
        <w:rPr>
          <w:rFonts w:ascii="Arial" w:cs="Arial" w:eastAsia="Arial" w:hAnsi="Arial"/>
          <w:sz w:val="25"/>
          <w:szCs w:val="25"/>
          <w:b w:val="1"/>
          <w:bCs w:val="1"/>
          <w:color w:val="BD03F7"/>
        </w:rPr>
      </w:pPr>
      <w:r>
        <w:rPr>
          <w:rFonts w:ascii="Arial" w:cs="Arial" w:eastAsia="Arial" w:hAnsi="Arial"/>
          <w:sz w:val="18"/>
          <w:szCs w:val="18"/>
          <w:color w:val="auto"/>
        </w:rPr>
        <w:t>Group 1 Automotive, Inc.</w:t>
      </w:r>
    </w:p>
    <w:p>
      <w:pPr>
        <w:spacing w:after="0" w:line="61" w:lineRule="exact"/>
        <w:rPr>
          <w:rFonts w:ascii="Arial" w:cs="Arial" w:eastAsia="Arial" w:hAnsi="Arial"/>
          <w:sz w:val="25"/>
          <w:szCs w:val="25"/>
          <w:b w:val="1"/>
          <w:bCs w:val="1"/>
          <w:color w:val="BD03F7"/>
        </w:rPr>
      </w:pPr>
    </w:p>
    <w:p>
      <w:pPr>
        <w:ind w:left="380" w:hanging="253"/>
        <w:spacing w:after="0"/>
        <w:tabs>
          <w:tab w:leader="none" w:pos="380" w:val="left"/>
        </w:tabs>
        <w:numPr>
          <w:ilvl w:val="0"/>
          <w:numId w:val="29"/>
        </w:numPr>
        <w:rPr>
          <w:rFonts w:ascii="Arial" w:cs="Arial" w:eastAsia="Arial" w:hAnsi="Arial"/>
          <w:sz w:val="25"/>
          <w:szCs w:val="25"/>
          <w:b w:val="1"/>
          <w:bCs w:val="1"/>
          <w:color w:val="BD03F7"/>
        </w:rPr>
      </w:pPr>
      <w:r>
        <w:rPr>
          <w:rFonts w:ascii="Arial" w:cs="Arial" w:eastAsia="Arial" w:hAnsi="Arial"/>
          <w:sz w:val="18"/>
          <w:szCs w:val="18"/>
          <w:color w:val="auto"/>
        </w:rPr>
        <w:t>Brunswick Corporation</w:t>
      </w:r>
    </w:p>
    <w:p>
      <w:pPr>
        <w:spacing w:after="0" w:line="61" w:lineRule="exact"/>
        <w:rPr>
          <w:rFonts w:ascii="Arial" w:cs="Arial" w:eastAsia="Arial" w:hAnsi="Arial"/>
          <w:sz w:val="25"/>
          <w:szCs w:val="25"/>
          <w:b w:val="1"/>
          <w:bCs w:val="1"/>
          <w:color w:val="BD03F7"/>
        </w:rPr>
      </w:pPr>
    </w:p>
    <w:p>
      <w:pPr>
        <w:ind w:left="380" w:hanging="253"/>
        <w:spacing w:after="0"/>
        <w:tabs>
          <w:tab w:leader="none" w:pos="380" w:val="left"/>
        </w:tabs>
        <w:numPr>
          <w:ilvl w:val="0"/>
          <w:numId w:val="29"/>
        </w:numPr>
        <w:rPr>
          <w:rFonts w:ascii="Arial" w:cs="Arial" w:eastAsia="Arial" w:hAnsi="Arial"/>
          <w:sz w:val="25"/>
          <w:szCs w:val="25"/>
          <w:b w:val="1"/>
          <w:bCs w:val="1"/>
          <w:color w:val="BD03F7"/>
        </w:rPr>
      </w:pPr>
      <w:r>
        <w:rPr>
          <w:rFonts w:ascii="Arial" w:cs="Arial" w:eastAsia="Arial" w:hAnsi="Arial"/>
          <w:sz w:val="18"/>
          <w:szCs w:val="18"/>
          <w:color w:val="auto"/>
        </w:rPr>
        <w:t>Solid Power,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48" w:lineRule="exact"/>
        <w:rPr>
          <w:sz w:val="20"/>
          <w:szCs w:val="20"/>
          <w:color w:val="auto"/>
        </w:rPr>
      </w:pPr>
    </w:p>
    <w:p>
      <w:pPr>
        <w:ind w:right="180"/>
        <w:spacing w:after="0" w:line="227" w:lineRule="auto"/>
        <w:rPr>
          <w:sz w:val="20"/>
          <w:szCs w:val="20"/>
          <w:color w:val="auto"/>
        </w:rPr>
      </w:pPr>
      <w:r>
        <w:rPr>
          <w:rFonts w:ascii="Arial" w:cs="Arial" w:eastAsia="Arial" w:hAnsi="Arial"/>
          <w:sz w:val="17"/>
          <w:szCs w:val="17"/>
          <w:color w:val="auto"/>
        </w:rPr>
        <w:t>Ms. Wright’s extensive experience in, and knowledge of, the automotive industry (OEM and Tier 1 supplier), public board experience and her expertise in vehicle, advance powertrain, and energy storage system technologies, provide our Board expertise in the technology industry as well as business</w:t>
      </w:r>
    </w:p>
    <w:p>
      <w:pPr>
        <w:spacing w:after="0" w:line="1" w:lineRule="exact"/>
        <w:rPr>
          <w:sz w:val="20"/>
          <w:szCs w:val="20"/>
          <w:color w:val="auto"/>
        </w:rPr>
      </w:pPr>
    </w:p>
    <w:p>
      <w:pPr>
        <w:ind w:right="160"/>
        <w:spacing w:after="0" w:line="220" w:lineRule="auto"/>
        <w:rPr>
          <w:sz w:val="20"/>
          <w:szCs w:val="20"/>
          <w:color w:val="auto"/>
        </w:rPr>
      </w:pPr>
      <w:r>
        <w:rPr>
          <w:rFonts w:ascii="Arial" w:cs="Arial" w:eastAsia="Arial" w:hAnsi="Arial"/>
          <w:sz w:val="18"/>
          <w:szCs w:val="18"/>
          <w:color w:val="auto"/>
        </w:rPr>
        <w:t>operations, finance, corporate development, corporate governance, and management, all of which are critical to achieving our strategic objectives. We believe these experiences, qualifications, attributes, and skills qualify Ms. Wright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159385</wp:posOffset>
            </wp:positionV>
            <wp:extent cx="71158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8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240"/>
            <w:col w:w="84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RETIRING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6944995" cy="1638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4995" cy="16383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Richard M.</w:t>
      </w:r>
    </w:p>
    <w:p>
      <w:pPr>
        <w:ind w:left="20"/>
        <w:spacing w:after="0"/>
        <w:rPr>
          <w:sz w:val="20"/>
          <w:szCs w:val="20"/>
          <w:color w:val="auto"/>
        </w:rPr>
      </w:pPr>
      <w:r>
        <w:rPr>
          <w:rFonts w:ascii="Arial" w:cs="Arial" w:eastAsia="Arial" w:hAnsi="Arial"/>
          <w:sz w:val="36"/>
          <w:szCs w:val="36"/>
          <w:b w:val="1"/>
          <w:bCs w:val="1"/>
          <w:color w:val="auto"/>
        </w:rPr>
        <w:t>Beyer</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Independent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 | 77</w:t>
      </w:r>
    </w:p>
    <w:p>
      <w:pPr>
        <w:ind w:left="20"/>
        <w:spacing w:after="0"/>
        <w:rPr>
          <w:sz w:val="20"/>
          <w:szCs w:val="20"/>
          <w:color w:val="auto"/>
        </w:rPr>
      </w:pPr>
      <w:r>
        <w:rPr>
          <w:rFonts w:ascii="Arial" w:cs="Arial" w:eastAsia="Arial" w:hAnsi="Arial"/>
          <w:sz w:val="18"/>
          <w:szCs w:val="18"/>
          <w:color w:val="auto"/>
        </w:rPr>
        <w:t>Director Since | 2013</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Committees</w:t>
      </w:r>
    </w:p>
    <w:p>
      <w:pPr>
        <w:ind w:left="20"/>
        <w:spacing w:after="0"/>
        <w:rPr>
          <w:sz w:val="20"/>
          <w:szCs w:val="20"/>
          <w:color w:val="auto"/>
        </w:rPr>
      </w:pPr>
      <w:r>
        <w:rPr>
          <w:rFonts w:ascii="Arial" w:cs="Arial" w:eastAsia="Arial" w:hAnsi="Arial"/>
          <w:sz w:val="17"/>
          <w:szCs w:val="17"/>
          <w:color w:val="auto"/>
        </w:rPr>
        <w:t>Compensation (Chair), Security</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60" w:right="980" w:hanging="240"/>
        <w:spacing w:after="0" w:line="180" w:lineRule="auto"/>
        <w:tabs>
          <w:tab w:leader="none" w:pos="360" w:val="left"/>
        </w:tabs>
        <w:numPr>
          <w:ilvl w:val="0"/>
          <w:numId w:val="30"/>
        </w:numPr>
        <w:rPr>
          <w:rFonts w:ascii="Arial" w:cs="Arial" w:eastAsia="Arial" w:hAnsi="Arial"/>
          <w:sz w:val="37"/>
          <w:szCs w:val="37"/>
          <w:b w:val="1"/>
          <w:bCs w:val="1"/>
          <w:color w:val="BD03F7"/>
          <w:vertAlign w:val="subscript"/>
        </w:rPr>
      </w:pPr>
      <w:r>
        <w:rPr>
          <w:rFonts w:ascii="Arial" w:cs="Arial" w:eastAsia="Arial" w:hAnsi="Arial"/>
          <w:sz w:val="15"/>
          <w:szCs w:val="15"/>
          <w:color w:val="auto"/>
        </w:rPr>
        <w:t>Chairman and Chief Executive Officer of Freescale Semiconductor, Inc., a semiconductor manufacturer, from 2008 through June 2012; director from 2008 to 2013.</w:t>
      </w:r>
    </w:p>
    <w:p>
      <w:pPr>
        <w:spacing w:after="0" w:line="245" w:lineRule="exact"/>
        <w:rPr>
          <w:rFonts w:ascii="Arial" w:cs="Arial" w:eastAsia="Arial" w:hAnsi="Arial"/>
          <w:sz w:val="37"/>
          <w:szCs w:val="37"/>
          <w:b w:val="1"/>
          <w:bCs w:val="1"/>
          <w:color w:val="BD03F7"/>
          <w:vertAlign w:val="subscript"/>
        </w:rPr>
      </w:pPr>
    </w:p>
    <w:p>
      <w:pPr>
        <w:ind w:left="360" w:right="760" w:hanging="240"/>
        <w:spacing w:after="0" w:line="183" w:lineRule="auto"/>
        <w:tabs>
          <w:tab w:leader="none" w:pos="360" w:val="left"/>
        </w:tabs>
        <w:numPr>
          <w:ilvl w:val="0"/>
          <w:numId w:val="30"/>
        </w:numPr>
        <w:rPr>
          <w:rFonts w:ascii="Arial" w:cs="Arial" w:eastAsia="Arial" w:hAnsi="Arial"/>
          <w:sz w:val="35"/>
          <w:szCs w:val="35"/>
          <w:b w:val="1"/>
          <w:bCs w:val="1"/>
          <w:color w:val="BD03F7"/>
          <w:vertAlign w:val="subscript"/>
        </w:rPr>
      </w:pPr>
      <w:r>
        <w:rPr>
          <w:rFonts w:ascii="Arial" w:cs="Arial" w:eastAsia="Arial" w:hAnsi="Arial"/>
          <w:sz w:val="15"/>
          <w:szCs w:val="15"/>
          <w:color w:val="auto"/>
        </w:rPr>
        <w:t>Prior to Freescale, Mr. Beyer was President, Chief Executive Officer and a director of Intersil Corporation, a semiconductor company, from 2002 to 2008.</w:t>
      </w:r>
    </w:p>
    <w:p>
      <w:pPr>
        <w:spacing w:after="0" w:line="45" w:lineRule="exact"/>
        <w:rPr>
          <w:rFonts w:ascii="Arial" w:cs="Arial" w:eastAsia="Arial" w:hAnsi="Arial"/>
          <w:sz w:val="35"/>
          <w:szCs w:val="35"/>
          <w:b w:val="1"/>
          <w:bCs w:val="1"/>
          <w:color w:val="BD03F7"/>
          <w:vertAlign w:val="subscript"/>
        </w:rPr>
      </w:pPr>
    </w:p>
    <w:p>
      <w:pPr>
        <w:ind w:left="360" w:right="760" w:hanging="240"/>
        <w:spacing w:after="0" w:line="180" w:lineRule="auto"/>
        <w:tabs>
          <w:tab w:leader="none" w:pos="360" w:val="left"/>
        </w:tabs>
        <w:numPr>
          <w:ilvl w:val="0"/>
          <w:numId w:val="30"/>
        </w:numPr>
        <w:rPr>
          <w:rFonts w:ascii="Arial" w:cs="Arial" w:eastAsia="Arial" w:hAnsi="Arial"/>
          <w:sz w:val="42"/>
          <w:szCs w:val="42"/>
          <w:b w:val="1"/>
          <w:bCs w:val="1"/>
          <w:color w:val="BD03F7"/>
          <w:vertAlign w:val="subscript"/>
        </w:rPr>
      </w:pPr>
      <w:r>
        <w:rPr>
          <w:rFonts w:ascii="Arial" w:cs="Arial" w:eastAsia="Arial" w:hAnsi="Arial"/>
          <w:sz w:val="16"/>
          <w:szCs w:val="16"/>
          <w:color w:val="auto"/>
        </w:rPr>
        <w:t>Mr. Beyer previously served as Chief Executive Officer of Elantec Semiconductor Inc. and in executive management roles at FVC.com, VLSI Technology, and National Semiconductor Corporation, and served three years as an officer in the United States Marine Corps.</w:t>
      </w:r>
    </w:p>
    <w:p>
      <w:pPr>
        <w:spacing w:after="0" w:line="235" w:lineRule="exact"/>
        <w:rPr>
          <w:rFonts w:ascii="Arial" w:cs="Arial" w:eastAsia="Arial" w:hAnsi="Arial"/>
          <w:sz w:val="42"/>
          <w:szCs w:val="42"/>
          <w:b w:val="1"/>
          <w:bCs w:val="1"/>
          <w:color w:val="BD03F7"/>
          <w:vertAlign w:val="subscript"/>
        </w:rPr>
      </w:pPr>
    </w:p>
    <w:p>
      <w:pPr>
        <w:ind w:left="360" w:right="1800" w:hanging="240"/>
        <w:spacing w:after="0" w:line="183" w:lineRule="auto"/>
        <w:tabs>
          <w:tab w:leader="none" w:pos="360" w:val="left"/>
        </w:tabs>
        <w:numPr>
          <w:ilvl w:val="0"/>
          <w:numId w:val="30"/>
        </w:numPr>
        <w:rPr>
          <w:rFonts w:ascii="Arial" w:cs="Arial" w:eastAsia="Arial" w:hAnsi="Arial"/>
          <w:sz w:val="35"/>
          <w:szCs w:val="35"/>
          <w:b w:val="1"/>
          <w:bCs w:val="1"/>
          <w:color w:val="BD03F7"/>
          <w:vertAlign w:val="subscript"/>
        </w:rPr>
      </w:pPr>
      <w:r>
        <w:rPr>
          <w:rFonts w:ascii="Arial" w:cs="Arial" w:eastAsia="Arial" w:hAnsi="Arial"/>
          <w:sz w:val="15"/>
          <w:szCs w:val="15"/>
          <w:color w:val="auto"/>
        </w:rPr>
        <w:t>Within the past five years, Mr. Beyer served on the Board of Directors of Dialog Semiconductor.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93" w:lineRule="exact"/>
        <w:rPr>
          <w:sz w:val="20"/>
          <w:szCs w:val="20"/>
          <w:color w:val="auto"/>
        </w:rPr>
      </w:pPr>
    </w:p>
    <w:p>
      <w:pPr>
        <w:ind w:left="360" w:hanging="240"/>
        <w:spacing w:after="0"/>
        <w:tabs>
          <w:tab w:leader="none" w:pos="360" w:val="left"/>
        </w:tabs>
        <w:numPr>
          <w:ilvl w:val="0"/>
          <w:numId w:val="31"/>
        </w:numPr>
        <w:rPr>
          <w:rFonts w:ascii="Arial" w:cs="Arial" w:eastAsia="Arial" w:hAnsi="Arial"/>
          <w:sz w:val="25"/>
          <w:szCs w:val="25"/>
          <w:b w:val="1"/>
          <w:bCs w:val="1"/>
          <w:color w:val="BD03F7"/>
        </w:rPr>
      </w:pPr>
      <w:r>
        <w:rPr>
          <w:rFonts w:ascii="Arial" w:cs="Arial" w:eastAsia="Arial" w:hAnsi="Arial"/>
          <w:sz w:val="18"/>
          <w:szCs w:val="18"/>
          <w:color w:val="auto"/>
        </w:rPr>
        <w:t>None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Mr. Beyer’s experience as the chief executive officer and a director at leading technology companies provides our Board expertise in the technology industry and also in corporate strategy, financial management, operations, marketing, and research and development, all of which are critical to achieving our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402590</wp:posOffset>
            </wp:positionV>
            <wp:extent cx="68853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85305" cy="8255"/>
                    </a:xfrm>
                    <a:prstGeom prst="rect">
                      <a:avLst/>
                    </a:prstGeom>
                    <a:noFill/>
                  </pic:spPr>
                </pic:pic>
              </a:graphicData>
            </a:graphic>
          </wp:anchor>
        </w:drawing>
      </w:r>
    </w:p>
    <w:p>
      <w:pPr>
        <w:spacing w:after="0" w:line="505" w:lineRule="exact"/>
        <w:rPr>
          <w:sz w:val="20"/>
          <w:szCs w:val="20"/>
          <w:color w:val="auto"/>
        </w:rPr>
      </w:pPr>
    </w:p>
    <w:p>
      <w:pPr>
        <w:sectPr>
          <w:pgSz w:w="11900" w:h="16838" w:orient="portrait"/>
          <w:cols w:equalWidth="0" w:num="2">
            <w:col w:w="2520" w:space="320"/>
            <w:col w:w="84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460"/>
        <w:spacing w:after="0" w:line="255" w:lineRule="auto"/>
        <w:rPr>
          <w:sz w:val="20"/>
          <w:szCs w:val="20"/>
          <w:color w:val="auto"/>
        </w:rPr>
      </w:pPr>
      <w:r>
        <w:rPr>
          <w:rFonts w:ascii="Arial" w:cs="Arial" w:eastAsia="Arial" w:hAnsi="Arial"/>
          <w:sz w:val="35"/>
          <w:szCs w:val="35"/>
          <w:b w:val="1"/>
          <w:bCs w:val="1"/>
          <w:color w:val="auto"/>
        </w:rPr>
        <w:t>Mary Pat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-2250440</wp:posOffset>
            </wp:positionV>
            <wp:extent cx="1177290" cy="154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77290" cy="1544320"/>
                    </a:xfrm>
                    <a:prstGeom prst="rect">
                      <a:avLst/>
                    </a:prstGeom>
                    <a:noFill/>
                  </pic:spPr>
                </pic:pic>
              </a:graphicData>
            </a:graphic>
          </wp:anchor>
        </w:drawing>
      </w:r>
    </w:p>
    <w:p>
      <w:pPr>
        <w:ind w:left="20"/>
        <w:spacing w:after="0"/>
        <w:rPr>
          <w:sz w:val="20"/>
          <w:szCs w:val="20"/>
          <w:color w:val="auto"/>
        </w:rPr>
      </w:pPr>
      <w:r>
        <w:rPr>
          <w:rFonts w:ascii="Arial" w:cs="Arial" w:eastAsia="Arial" w:hAnsi="Arial"/>
          <w:sz w:val="21"/>
          <w:szCs w:val="21"/>
          <w:b w:val="1"/>
          <w:bCs w:val="1"/>
          <w:color w:val="auto"/>
        </w:rPr>
        <w:t>Independent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 | 70</w:t>
      </w:r>
    </w:p>
    <w:p>
      <w:pPr>
        <w:ind w:left="20"/>
        <w:spacing w:after="0"/>
        <w:rPr>
          <w:sz w:val="20"/>
          <w:szCs w:val="20"/>
          <w:color w:val="auto"/>
        </w:rPr>
      </w:pPr>
      <w:r>
        <w:rPr>
          <w:rFonts w:ascii="Arial" w:cs="Arial" w:eastAsia="Arial" w:hAnsi="Arial"/>
          <w:sz w:val="18"/>
          <w:szCs w:val="18"/>
          <w:color w:val="auto"/>
        </w:rPr>
        <w:t>Director Since | 2018</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Committees</w:t>
      </w:r>
    </w:p>
    <w:p>
      <w:pPr>
        <w:ind w:left="20"/>
        <w:spacing w:after="0"/>
        <w:rPr>
          <w:sz w:val="20"/>
          <w:szCs w:val="20"/>
          <w:color w:val="auto"/>
        </w:rPr>
      </w:pPr>
      <w:r>
        <w:rPr>
          <w:rFonts w:ascii="Arial" w:cs="Arial" w:eastAsia="Arial" w:hAnsi="Arial"/>
          <w:sz w:val="17"/>
          <w:szCs w:val="17"/>
          <w:color w:val="auto"/>
        </w:rPr>
        <w:t>Audit (Chair), Finance</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39" w:lineRule="exact"/>
        <w:rPr>
          <w:sz w:val="20"/>
          <w:szCs w:val="20"/>
          <w:color w:val="auto"/>
        </w:rPr>
      </w:pPr>
    </w:p>
    <w:p>
      <w:pPr>
        <w:ind w:left="360" w:right="440" w:hanging="240"/>
        <w:spacing w:after="0" w:line="219" w:lineRule="auto"/>
        <w:tabs>
          <w:tab w:leader="none" w:pos="360" w:val="left"/>
        </w:tabs>
        <w:numPr>
          <w:ilvl w:val="0"/>
          <w:numId w:val="32"/>
        </w:numPr>
        <w:rPr>
          <w:rFonts w:ascii="Arial" w:cs="Arial" w:eastAsia="Arial" w:hAnsi="Arial"/>
          <w:sz w:val="47"/>
          <w:szCs w:val="47"/>
          <w:b w:val="1"/>
          <w:bCs w:val="1"/>
          <w:color w:val="BD03F7"/>
          <w:vertAlign w:val="subscript"/>
        </w:rPr>
      </w:pPr>
      <w:r>
        <w:rPr>
          <w:rFonts w:ascii="Arial" w:cs="Arial" w:eastAsia="Arial" w:hAnsi="Arial"/>
          <w:sz w:val="17"/>
          <w:szCs w:val="17"/>
          <w:color w:val="auto"/>
        </w:rPr>
        <w:t>Vice Chair of KPMG LLP, the U.S. member firm of the global audit, tax, and advisory services firm, from July 1998 until her retirement in December 2011. Ms. McCarthy joined KPMG in 1977, became a partner in 1987, and held numerous senior leadership positions with the firm during her tenure.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80" w:lineRule="exact"/>
        <w:rPr>
          <w:sz w:val="20"/>
          <w:szCs w:val="20"/>
          <w:color w:val="auto"/>
        </w:rPr>
      </w:pPr>
    </w:p>
    <w:p>
      <w:pPr>
        <w:ind w:left="360" w:hanging="240"/>
        <w:spacing w:after="0"/>
        <w:tabs>
          <w:tab w:leader="none" w:pos="360" w:val="left"/>
        </w:tabs>
        <w:numPr>
          <w:ilvl w:val="0"/>
          <w:numId w:val="33"/>
        </w:numPr>
        <w:rPr>
          <w:rFonts w:ascii="Arial" w:cs="Arial" w:eastAsia="Arial" w:hAnsi="Arial"/>
          <w:sz w:val="25"/>
          <w:szCs w:val="25"/>
          <w:b w:val="1"/>
          <w:bCs w:val="1"/>
          <w:color w:val="BD03F7"/>
        </w:rPr>
      </w:pPr>
      <w:r>
        <w:rPr>
          <w:rFonts w:ascii="Arial" w:cs="Arial" w:eastAsia="Arial" w:hAnsi="Arial"/>
          <w:sz w:val="18"/>
          <w:szCs w:val="18"/>
          <w:color w:val="auto"/>
        </w:rPr>
        <w:t>Palo Alto Networks,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Qualifications, and Expertise</w:t>
      </w:r>
    </w:p>
    <w:p>
      <w:pPr>
        <w:spacing w:after="0" w:line="62"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Ms. McCarthy’s experience advising numerous companies on financial and accounting matters as a Certified Public Accountant (ret.) provides our Board deep technical expertise in financial and accounting matters, and contributes valuable insights and perspectives to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1324610</wp:posOffset>
            </wp:positionV>
            <wp:extent cx="6885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85305" cy="8255"/>
                    </a:xfrm>
                    <a:prstGeom prst="rect">
                      <a:avLst/>
                    </a:prstGeom>
                    <a:noFill/>
                  </pic:spPr>
                </pic:pic>
              </a:graphicData>
            </a:graphic>
          </wp:anchor>
        </w:drawing>
      </w:r>
    </w:p>
    <w:p>
      <w:pPr>
        <w:spacing w:after="0" w:line="2224" w:lineRule="exact"/>
        <w:rPr>
          <w:sz w:val="20"/>
          <w:szCs w:val="20"/>
          <w:color w:val="auto"/>
        </w:rPr>
      </w:pPr>
    </w:p>
    <w:p>
      <w:pPr>
        <w:sectPr>
          <w:pgSz w:w="11900" w:h="16838" w:orient="portrait"/>
          <w:cols w:equalWidth="0" w:num="2">
            <w:col w:w="2120" w:space="720"/>
            <w:col w:w="8400"/>
          </w:cols>
          <w:pgMar w:left="320" w:top="125" w:right="3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between any of our directors or executive officers.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800"/>
        <w:spacing w:after="0"/>
        <w:rPr>
          <w:sz w:val="20"/>
          <w:szCs w:val="20"/>
          <w:color w:val="auto"/>
        </w:rPr>
      </w:pPr>
      <w:r>
        <w:rPr>
          <w:sz w:val="1"/>
          <w:szCs w:val="1"/>
          <w:color w:val="auto"/>
        </w:rPr>
        <w:drawing>
          <wp:inline distT="0" distB="0" distL="0" distR="0">
            <wp:extent cx="776605" cy="1619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2"/>
          <w:szCs w:val="12"/>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112395</wp:posOffset>
            </wp:positionV>
            <wp:extent cx="5631180" cy="1638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31180" cy="163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DIRECTOR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236220</wp:posOffset>
            </wp:positionV>
            <wp:extent cx="71329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160"/>
        <w:spacing w:after="0" w:line="267" w:lineRule="auto"/>
        <w:rPr>
          <w:sz w:val="20"/>
          <w:szCs w:val="20"/>
          <w:color w:val="auto"/>
        </w:rPr>
      </w:pPr>
      <w:r>
        <w:rPr>
          <w:rFonts w:ascii="Arial" w:cs="Arial" w:eastAsia="Arial" w:hAnsi="Arial"/>
          <w:sz w:val="18"/>
          <w:szCs w:val="18"/>
          <w:color w:val="auto"/>
        </w:rPr>
        <w:t>The skills that we value for our Board align with our vision to be a global leader in memory and storage solutions, to transform how the world uses information to enrich life for all. The below table provides an overview of the collective skills of our nominees and why each is essential to the oversight and successful execution of our strategy and values.</w:t>
      </w:r>
    </w:p>
    <w:p>
      <w:pPr>
        <w:spacing w:after="0" w:line="250" w:lineRule="exact"/>
        <w:rPr>
          <w:sz w:val="20"/>
          <w:szCs w:val="20"/>
          <w:color w:val="auto"/>
        </w:rPr>
      </w:pPr>
    </w:p>
    <w:p>
      <w:pPr>
        <w:ind w:left="800"/>
        <w:spacing w:after="0"/>
        <w:tabs>
          <w:tab w:leader="none" w:pos="5740" w:val="left"/>
        </w:tabs>
        <w:rPr>
          <w:sz w:val="20"/>
          <w:szCs w:val="20"/>
          <w:color w:val="auto"/>
        </w:rPr>
      </w:pPr>
      <w:r>
        <w:rPr>
          <w:rFonts w:ascii="Arial" w:cs="Arial" w:eastAsia="Arial" w:hAnsi="Arial"/>
          <w:sz w:val="18"/>
          <w:szCs w:val="18"/>
          <w:b w:val="1"/>
          <w:bCs w:val="1"/>
          <w:color w:val="auto"/>
        </w:rPr>
        <w:t>Skills and Experience</w:t>
      </w:r>
      <w:r>
        <w:rPr>
          <w:sz w:val="20"/>
          <w:szCs w:val="20"/>
          <w:color w:val="auto"/>
        </w:rPr>
        <w:tab/>
      </w:r>
      <w:r>
        <w:rPr>
          <w:rFonts w:ascii="Arial" w:cs="Arial" w:eastAsia="Arial" w:hAnsi="Arial"/>
          <w:sz w:val="17"/>
          <w:szCs w:val="17"/>
          <w:b w:val="1"/>
          <w:bCs w:val="1"/>
          <w:color w:val="auto"/>
        </w:rPr>
        <w:t>Alignment to Micron’s Strategy and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0478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4786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90"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Multinational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-178435</wp:posOffset>
            </wp:positionV>
            <wp:extent cx="324485" cy="324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Experience with businesses with significant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192405</wp:posOffset>
            </wp:positionV>
            <wp:extent cx="324485" cy="324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358"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Executive Leadership (public or private)</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Experience in a senior leadership role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Micron is a global leader in memory with over 53,000 employees spanning multiple countries. Our directors provide valuable business and cultural perspectives aligned to our core vision and mission.</w:t>
      </w:r>
    </w:p>
    <w:p>
      <w:pPr>
        <w:spacing w:after="0" w:line="13"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The scale and complexity of our industry requires leadership with strategic clarity and an understanding of how to execute our biggest goals.</w:t>
      </w:r>
    </w:p>
    <w:p>
      <w:pPr>
        <w:spacing w:after="0" w:line="8" w:lineRule="exact"/>
        <w:rPr>
          <w:sz w:val="20"/>
          <w:szCs w:val="20"/>
          <w:color w:val="auto"/>
        </w:rPr>
      </w:pPr>
    </w:p>
    <w:p>
      <w:pPr>
        <w:sectPr>
          <w:pgSz w:w="11900" w:h="16838" w:orient="portrait"/>
          <w:cols w:equalWidth="0" w:num="2">
            <w:col w:w="5620" w:space="140"/>
            <w:col w:w="5480"/>
          </w:cols>
          <w:pgMar w:left="320" w:top="125" w:right="339" w:bottom="1440" w:gutter="0" w:footer="0" w:header="0"/>
          <w:type w:val="continuous"/>
        </w:sectPr>
      </w:pPr>
    </w:p>
    <w:p>
      <w:pPr>
        <w:ind w:left="800"/>
        <w:spacing w:after="0"/>
        <w:rPr>
          <w:sz w:val="20"/>
          <w:szCs w:val="20"/>
          <w:color w:val="auto"/>
        </w:rPr>
      </w:pPr>
      <w:r>
        <w:rPr>
          <w:rFonts w:ascii="Arial" w:cs="Arial" w:eastAsia="Arial" w:hAnsi="Arial"/>
          <w:sz w:val="18"/>
          <w:szCs w:val="18"/>
          <w:color w:val="BD03F7"/>
        </w:rPr>
        <w:t>Operations/Manufacturing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324485" cy="324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6" w:lineRule="exact"/>
        <w:rPr>
          <w:sz w:val="20"/>
          <w:szCs w:val="20"/>
          <w:color w:val="auto"/>
        </w:rPr>
      </w:pPr>
    </w:p>
    <w:p>
      <w:pPr>
        <w:ind w:left="800" w:right="20"/>
        <w:spacing w:after="0" w:line="264" w:lineRule="auto"/>
        <w:rPr>
          <w:sz w:val="20"/>
          <w:szCs w:val="20"/>
          <w:color w:val="auto"/>
        </w:rPr>
      </w:pPr>
      <w:r>
        <w:rPr>
          <w:rFonts w:ascii="Arial" w:cs="Arial" w:eastAsia="Arial" w:hAnsi="Arial"/>
          <w:sz w:val="18"/>
          <w:szCs w:val="18"/>
          <w:color w:val="auto"/>
        </w:rPr>
        <w:t>Experience with global, large-scale complex operations or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18415</wp:posOffset>
            </wp:positionV>
            <wp:extent cx="324485" cy="324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71"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Strategy/Marketing</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Experience with sales or marketing strategy</w:t>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324485" cy="324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6"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color w:val="auto"/>
        </w:rPr>
        <w:t>Experience managing cybersecurity, information, and data security risks</w:t>
      </w:r>
    </w:p>
    <w:p>
      <w:pPr>
        <w:spacing w:after="0" w:line="118" w:lineRule="exact"/>
        <w:rPr>
          <w:sz w:val="20"/>
          <w:szCs w:val="20"/>
          <w:color w:val="auto"/>
        </w:rPr>
      </w:pPr>
    </w:p>
    <w:p>
      <w:pPr>
        <w:ind w:left="800" w:right="140"/>
        <w:spacing w:after="0" w:line="290" w:lineRule="auto"/>
        <w:rPr>
          <w:sz w:val="20"/>
          <w:szCs w:val="20"/>
          <w:color w:val="auto"/>
        </w:rPr>
      </w:pPr>
      <w:r>
        <w:rPr>
          <w:rFonts w:ascii="Arial" w:cs="Arial" w:eastAsia="Arial" w:hAnsi="Arial"/>
          <w:sz w:val="17"/>
          <w:szCs w:val="17"/>
          <w:color w:val="BD03F7"/>
        </w:rPr>
        <w:t xml:space="preserve">Governance/Public Company Board Service </w:t>
      </w:r>
      <w:r>
        <w:rPr>
          <w:rFonts w:ascii="Arial" w:cs="Arial" w:eastAsia="Arial" w:hAnsi="Arial"/>
          <w:sz w:val="17"/>
          <w:szCs w:val="17"/>
          <w:color w:val="000000"/>
        </w:rPr>
        <w:t>Experience on a public company’s board of directors overseeing corporate governance programs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-428625</wp:posOffset>
            </wp:positionV>
            <wp:extent cx="324485" cy="324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4485" cy="324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13970</wp:posOffset>
            </wp:positionV>
            <wp:extent cx="324485" cy="324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78"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Finance</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Experience overseeing financial reporting</w:t>
      </w:r>
    </w:p>
    <w:p>
      <w:pPr>
        <w:spacing w:after="0" w:line="20" w:lineRule="exact"/>
        <w:rPr>
          <w:sz w:val="20"/>
          <w:szCs w:val="20"/>
          <w:color w:val="auto"/>
        </w:rPr>
      </w:pPr>
      <w:r>
        <w:rPr>
          <w:sz w:val="20"/>
          <w:szCs w:val="20"/>
          <w:color w:val="auto"/>
        </w:rPr>
        <w:br w:type="column"/>
      </w:r>
    </w:p>
    <w:p>
      <w:pPr>
        <w:ind w:right="500"/>
        <w:spacing w:after="0" w:line="267" w:lineRule="auto"/>
        <w:rPr>
          <w:sz w:val="20"/>
          <w:szCs w:val="20"/>
          <w:color w:val="auto"/>
        </w:rPr>
      </w:pPr>
      <w:r>
        <w:rPr>
          <w:rFonts w:ascii="Arial" w:cs="Arial" w:eastAsia="Arial" w:hAnsi="Arial"/>
          <w:sz w:val="18"/>
          <w:szCs w:val="18"/>
          <w:color w:val="auto"/>
        </w:rPr>
        <w:t>Our business model involves a complex distribution and supply chain network. Our directors oversee and guide operational efficiencies in various facets of our operations.</w:t>
      </w:r>
    </w:p>
    <w:p>
      <w:pPr>
        <w:spacing w:after="0" w:line="89" w:lineRule="exact"/>
        <w:rPr>
          <w:sz w:val="20"/>
          <w:szCs w:val="20"/>
          <w:color w:val="auto"/>
        </w:rPr>
      </w:pPr>
    </w:p>
    <w:p>
      <w:pPr>
        <w:ind w:right="860"/>
        <w:spacing w:after="0" w:line="285" w:lineRule="auto"/>
        <w:rPr>
          <w:sz w:val="20"/>
          <w:szCs w:val="20"/>
          <w:color w:val="auto"/>
        </w:rPr>
      </w:pPr>
      <w:r>
        <w:rPr>
          <w:rFonts w:ascii="Arial" w:cs="Arial" w:eastAsia="Arial" w:hAnsi="Arial"/>
          <w:sz w:val="18"/>
          <w:szCs w:val="18"/>
          <w:color w:val="auto"/>
        </w:rPr>
        <w:t>We win by knowing our customers and our Board provides guidance in marketing and sales strategy.</w:t>
      </w:r>
    </w:p>
    <w:p>
      <w:pPr>
        <w:spacing w:after="0" w:line="8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Protecting our data and assets requires constant vigilance and awareness of cybersecurity threats. Having directors with a background in cyber oversight allows our Board to assist management in identifying and mitigating these threats.</w:t>
      </w:r>
    </w:p>
    <w:p>
      <w:pPr>
        <w:spacing w:after="0" w:line="121" w:lineRule="exact"/>
        <w:rPr>
          <w:sz w:val="20"/>
          <w:szCs w:val="20"/>
          <w:color w:val="auto"/>
        </w:rPr>
      </w:pPr>
    </w:p>
    <w:p>
      <w:pPr>
        <w:ind w:right="180"/>
        <w:spacing w:after="0" w:line="316" w:lineRule="auto"/>
        <w:rPr>
          <w:sz w:val="20"/>
          <w:szCs w:val="20"/>
          <w:color w:val="auto"/>
        </w:rPr>
      </w:pPr>
      <w:r>
        <w:rPr>
          <w:rFonts w:ascii="Arial" w:cs="Arial" w:eastAsia="Arial" w:hAnsi="Arial"/>
          <w:sz w:val="17"/>
          <w:szCs w:val="17"/>
          <w:color w:val="auto"/>
        </w:rPr>
        <w:t>Our Board emphasizes good board and governance practices and provides valuable oversight in our evolving regulatory environment.</w:t>
      </w:r>
    </w:p>
    <w:p>
      <w:pPr>
        <w:spacing w:after="0" w:line="76"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We are a large-scale technology company in a capital-intensive industry, which requires complex financial management. Our Board is an integral part of this function.</w:t>
      </w:r>
    </w:p>
    <w:p>
      <w:pPr>
        <w:spacing w:after="0" w:line="200" w:lineRule="exact"/>
        <w:rPr>
          <w:sz w:val="20"/>
          <w:szCs w:val="20"/>
          <w:color w:val="auto"/>
        </w:rPr>
      </w:pPr>
    </w:p>
    <w:p>
      <w:pPr>
        <w:sectPr>
          <w:pgSz w:w="11900" w:h="16838" w:orient="portrait"/>
          <w:cols w:equalWidth="0" w:num="2">
            <w:col w:w="5400" w:space="360"/>
            <w:col w:w="5480"/>
          </w:cols>
          <w:pgMar w:left="320" w:top="125"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9780"/>
        <w:spacing w:after="0"/>
        <w:rPr>
          <w:sz w:val="20"/>
          <w:szCs w:val="20"/>
          <w:color w:val="auto"/>
        </w:rPr>
      </w:pPr>
      <w:r>
        <w:rPr>
          <w:sz w:val="1"/>
          <w:szCs w:val="1"/>
          <w:color w:val="auto"/>
        </w:rPr>
        <w:drawing>
          <wp:inline distT="0" distB="0" distL="0" distR="0">
            <wp:extent cx="776605" cy="1619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96520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ind w:left="9900"/>
        <w:spacing w:after="0"/>
        <w:rPr>
          <w:sz w:val="20"/>
          <w:szCs w:val="20"/>
          <w:color w:val="auto"/>
        </w:rPr>
      </w:pPr>
      <w:r>
        <w:rPr>
          <w:rFonts w:ascii="Arial" w:cs="Arial" w:eastAsia="Arial" w:hAnsi="Arial"/>
          <w:sz w:val="15"/>
          <w:szCs w:val="15"/>
          <w:b w:val="1"/>
          <w:bCs w:val="1"/>
          <w:u w:val="single" w:color="auto"/>
          <w:color w:val="BD03F7"/>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Auditing/Accounting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-178435</wp:posOffset>
            </wp:positionV>
            <wp:extent cx="324485" cy="324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Experience overseeing auditing and accounting</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Strategy/Innovation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-110490</wp:posOffset>
            </wp:positionV>
            <wp:extent cx="324485" cy="3244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ind w:left="800"/>
        <w:spacing w:after="0" w:line="248" w:lineRule="auto"/>
        <w:rPr>
          <w:sz w:val="20"/>
          <w:szCs w:val="20"/>
          <w:color w:val="auto"/>
        </w:rPr>
      </w:pPr>
      <w:r>
        <w:rPr>
          <w:rFonts w:ascii="Arial" w:cs="Arial" w:eastAsia="Arial" w:hAnsi="Arial"/>
          <w:sz w:val="18"/>
          <w:szCs w:val="18"/>
          <w:color w:val="auto"/>
        </w:rPr>
        <w:t>Experience setting and executing corporate strategies geared towards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95885</wp:posOffset>
            </wp:positionV>
            <wp:extent cx="324485" cy="324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Risk Management</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Experience assessing and responding to enterprise risks</w:t>
      </w:r>
    </w:p>
    <w:p>
      <w:pPr>
        <w:spacing w:after="0" w:line="218"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324485" cy="3244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ind w:left="800" w:right="360"/>
        <w:spacing w:after="0" w:line="248" w:lineRule="auto"/>
        <w:rPr>
          <w:sz w:val="20"/>
          <w:szCs w:val="20"/>
          <w:color w:val="auto"/>
        </w:rPr>
      </w:pPr>
      <w:r>
        <w:rPr>
          <w:rFonts w:ascii="Arial" w:cs="Arial" w:eastAsia="Arial" w:hAnsi="Arial"/>
          <w:sz w:val="18"/>
          <w:szCs w:val="18"/>
          <w:color w:val="auto"/>
        </w:rPr>
        <w:t>Experience in human capital management in large global organizations</w:t>
      </w:r>
    </w:p>
    <w:p>
      <w:pPr>
        <w:spacing w:after="0" w:line="266"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Technology/Semiconductor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324485" cy="324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6" w:lineRule="exact"/>
        <w:rPr>
          <w:sz w:val="20"/>
          <w:szCs w:val="20"/>
          <w:color w:val="auto"/>
        </w:rPr>
      </w:pPr>
    </w:p>
    <w:p>
      <w:pPr>
        <w:ind w:left="800" w:right="240"/>
        <w:spacing w:after="0" w:line="264" w:lineRule="auto"/>
        <w:rPr>
          <w:sz w:val="20"/>
          <w:szCs w:val="20"/>
          <w:color w:val="auto"/>
        </w:rPr>
      </w:pPr>
      <w:r>
        <w:rPr>
          <w:rFonts w:ascii="Arial" w:cs="Arial" w:eastAsia="Arial" w:hAnsi="Arial"/>
          <w:sz w:val="18"/>
          <w:szCs w:val="18"/>
          <w:color w:val="auto"/>
        </w:rPr>
        <w:t>Experience in the semiconductor industry or other relevant technology industries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BD03F7"/>
        </w:rPr>
        <w:t>Public Policy/Political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324485" cy="324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ind w:left="800" w:right="120"/>
        <w:spacing w:after="0" w:line="248" w:lineRule="auto"/>
        <w:rPr>
          <w:sz w:val="20"/>
          <w:szCs w:val="20"/>
          <w:color w:val="auto"/>
        </w:rPr>
      </w:pPr>
      <w:r>
        <w:rPr>
          <w:rFonts w:ascii="Arial" w:cs="Arial" w:eastAsia="Arial" w:hAnsi="Arial"/>
          <w:sz w:val="18"/>
          <w:szCs w:val="18"/>
          <w:color w:val="auto"/>
        </w:rPr>
        <w:t>Experience obtained through substantive engagements with policymakers or government agencies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Experience with accounting or auditing allows our Board to provide key oversight of our financial reporting processes and internal controls.</w:t>
      </w:r>
    </w:p>
    <w:p>
      <w:pPr>
        <w:spacing w:after="0" w:line="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Innovation is at the heart of Micron and our Board’s experience with emerging technologies and strategic planning gives us valuable perspective as we assess and execute on our strategic objectives.</w:t>
      </w:r>
    </w:p>
    <w:p>
      <w:pPr>
        <w:spacing w:after="0" w:line="67" w:lineRule="exact"/>
        <w:rPr>
          <w:sz w:val="20"/>
          <w:szCs w:val="20"/>
          <w:color w:val="auto"/>
        </w:rPr>
      </w:pPr>
    </w:p>
    <w:p>
      <w:pPr>
        <w:ind w:right="520"/>
        <w:spacing w:after="0" w:line="285" w:lineRule="auto"/>
        <w:rPr>
          <w:sz w:val="20"/>
          <w:szCs w:val="20"/>
          <w:color w:val="auto"/>
        </w:rPr>
      </w:pPr>
      <w:r>
        <w:rPr>
          <w:rFonts w:ascii="Arial" w:cs="Arial" w:eastAsia="Arial" w:hAnsi="Arial"/>
          <w:sz w:val="18"/>
          <w:szCs w:val="18"/>
          <w:color w:val="auto"/>
        </w:rPr>
        <w:t>Risk management oversight experience promotes our ability to detect, evaluate, and respond to enterprise risks.</w:t>
      </w:r>
    </w:p>
    <w:p>
      <w:pPr>
        <w:spacing w:after="0" w:line="59"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Our people are integral to our success, and we care about their successes as well. Our Board’s experiences with management, talent retention and development, and corporate culture provides key insights for our continued investment in our people globally.</w:t>
      </w:r>
    </w:p>
    <w:p>
      <w:pPr>
        <w:spacing w:after="0" w:line="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benefit from our Board’s experience and knowledge of the business, technology, products, operations and challenges that impact semiconductor companies or other companies in the technology sector.</w:t>
      </w:r>
    </w:p>
    <w:p>
      <w:pPr>
        <w:spacing w:after="0" w:line="13"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Experience working with policymakers or government agencies provides the necessary insight into the political and regulatory matters that impact our Company and its stakeholders. Our Board helps to guide our engagement with regulators and policymakers.</w:t>
      </w:r>
    </w:p>
    <w:p>
      <w:pPr>
        <w:spacing w:after="0" w:line="200" w:lineRule="exact"/>
        <w:rPr>
          <w:sz w:val="20"/>
          <w:szCs w:val="20"/>
          <w:color w:val="auto"/>
        </w:rPr>
      </w:pPr>
    </w:p>
    <w:p>
      <w:pPr>
        <w:sectPr>
          <w:pgSz w:w="11900" w:h="16838" w:orient="portrait"/>
          <w:cols w:equalWidth="0" w:num="2">
            <w:col w:w="5660" w:space="100"/>
            <w:col w:w="54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SUMMARY OF SKILLS AND EXPERIENCE OF NOMINEES</w:t>
      </w:r>
    </w:p>
    <w:p>
      <w:pPr>
        <w:spacing w:after="0" w:line="238" w:lineRule="exact"/>
        <w:rPr>
          <w:sz w:val="20"/>
          <w:szCs w:val="20"/>
          <w:color w:val="auto"/>
        </w:rPr>
      </w:pPr>
    </w:p>
    <w:p>
      <w:pPr>
        <w:ind w:left="100" w:right="600"/>
        <w:spacing w:after="0" w:line="250" w:lineRule="auto"/>
        <w:rPr>
          <w:sz w:val="20"/>
          <w:szCs w:val="20"/>
          <w:color w:val="auto"/>
        </w:rPr>
      </w:pPr>
      <w:r>
        <w:rPr>
          <w:rFonts w:ascii="Arial" w:cs="Arial" w:eastAsia="Arial" w:hAnsi="Arial"/>
          <w:sz w:val="17"/>
          <w:szCs w:val="17"/>
          <w:color w:val="auto"/>
        </w:rPr>
        <w:t>The Governance and Sustainability Committee oversees the Board’s composition and identifies and continually refines the list of skills, attributes, and experiences that it believes will result in an effective, dynamic, and diverse Board. The Governance and Sustainability</w:t>
      </w:r>
    </w:p>
    <w:p>
      <w:pPr>
        <w:ind w:left="100" w:right="100"/>
        <w:spacing w:after="0" w:line="237" w:lineRule="auto"/>
        <w:rPr>
          <w:sz w:val="20"/>
          <w:szCs w:val="20"/>
          <w:color w:val="auto"/>
        </w:rPr>
      </w:pPr>
      <w:r>
        <w:rPr>
          <w:rFonts w:ascii="Arial" w:cs="Arial" w:eastAsia="Arial" w:hAnsi="Arial"/>
          <w:sz w:val="18"/>
          <w:szCs w:val="18"/>
          <w:color w:val="auto"/>
        </w:rPr>
        <w:t>Committee uses the insights this matrix provides to recommend committee assignments and inform searches for new director candidates or opportunities to refresh Board composition. From time to time the Governance and Sustainability Committee will undertake a comprehensive review and refresh of the skills matrix. In their most recent annual update in Fiscal 2024, the Governance and Sustainability Committee refreshed the skills matrix to ensure its alignment with our business, including defining the skills and adding a statement on the importance of each skill.</w:t>
      </w:r>
    </w:p>
    <w:p>
      <w:pPr>
        <w:spacing w:after="0" w:line="223" w:lineRule="exact"/>
        <w:rPr>
          <w:sz w:val="20"/>
          <w:szCs w:val="20"/>
          <w:color w:val="auto"/>
        </w:rPr>
      </w:pPr>
    </w:p>
    <w:p>
      <w:pPr>
        <w:ind w:left="100" w:right="400"/>
        <w:spacing w:after="0" w:line="285" w:lineRule="auto"/>
        <w:rPr>
          <w:sz w:val="20"/>
          <w:szCs w:val="20"/>
          <w:color w:val="auto"/>
        </w:rPr>
      </w:pPr>
      <w:r>
        <w:rPr>
          <w:rFonts w:ascii="Arial" w:cs="Arial" w:eastAsia="Arial" w:hAnsi="Arial"/>
          <w:sz w:val="18"/>
          <w:szCs w:val="18"/>
          <w:color w:val="auto"/>
        </w:rPr>
        <w:t>The following table highlights the specific skills, experience, qualifications and attributes that each of our nominees brings to the Board. A particular nominee may possess other skills, experience, qualifications or attributes even though they are not indicated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Borders>
              <w:top w:val="single" w:sz="8" w:color="BD03F7"/>
            </w:tcBorders>
          </w:tcPr>
          <w:p>
            <w:pPr>
              <w:spacing w:after="0"/>
              <w:rPr>
                <w:sz w:val="15"/>
                <w:szCs w:val="15"/>
                <w:color w:val="auto"/>
              </w:rPr>
            </w:pPr>
          </w:p>
        </w:tc>
        <w:tc>
          <w:tcPr>
            <w:tcW w:w="2080" w:type="dxa"/>
            <w:vAlign w:val="bottom"/>
            <w:tcBorders>
              <w:top w:val="single" w:sz="8" w:color="BD03F7"/>
            </w:tcBorders>
            <w:vMerge w:val="restart"/>
          </w:tcPr>
          <w:p>
            <w:pPr>
              <w:jc w:val="center"/>
              <w:ind w:right="19"/>
              <w:spacing w:after="0"/>
              <w:rPr>
                <w:sz w:val="20"/>
                <w:szCs w:val="20"/>
                <w:color w:val="auto"/>
              </w:rPr>
            </w:pPr>
            <w:r>
              <w:rPr>
                <w:rFonts w:ascii="Arial" w:cs="Arial" w:eastAsia="Arial" w:hAnsi="Arial"/>
                <w:sz w:val="16"/>
                <w:szCs w:val="16"/>
                <w:b w:val="1"/>
                <w:bCs w:val="1"/>
                <w:color w:val="BD03F7"/>
              </w:rPr>
              <w:t>Skills and Experience</w:t>
            </w:r>
          </w:p>
        </w:tc>
        <w:tc>
          <w:tcPr>
            <w:tcW w:w="1100" w:type="dxa"/>
            <w:vAlign w:val="bottom"/>
            <w:tcBorders>
              <w:top w:val="single" w:sz="8" w:color="BD03F7"/>
            </w:tcBorders>
            <w:vMerge w:val="restart"/>
          </w:tcPr>
          <w:p>
            <w:pPr>
              <w:jc w:val="center"/>
              <w:spacing w:after="0"/>
              <w:rPr>
                <w:sz w:val="20"/>
                <w:szCs w:val="20"/>
                <w:color w:val="auto"/>
              </w:rPr>
            </w:pPr>
            <w:r>
              <w:rPr>
                <w:rFonts w:ascii="Arial" w:cs="Arial" w:eastAsia="Arial" w:hAnsi="Arial"/>
                <w:sz w:val="16"/>
                <w:szCs w:val="16"/>
                <w:color w:val="auto"/>
              </w:rPr>
              <w:t>Lynn A. Dugle</w:t>
            </w:r>
          </w:p>
        </w:tc>
        <w:tc>
          <w:tcPr>
            <w:tcW w:w="110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w w:val="98"/>
              </w:rPr>
              <w:t>Steven J.</w:t>
            </w:r>
          </w:p>
        </w:tc>
        <w:tc>
          <w:tcPr>
            <w:tcW w:w="112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w w:val="98"/>
              </w:rPr>
              <w:t>Linnie M.</w:t>
            </w:r>
          </w:p>
        </w:tc>
        <w:tc>
          <w:tcPr>
            <w:tcW w:w="1100" w:type="dxa"/>
            <w:vAlign w:val="bottom"/>
            <w:tcBorders>
              <w:top w:val="single" w:sz="8" w:color="BD03F7"/>
            </w:tcBorders>
            <w:vMerge w:val="restart"/>
          </w:tcPr>
          <w:p>
            <w:pPr>
              <w:jc w:val="center"/>
              <w:spacing w:after="0"/>
              <w:rPr>
                <w:sz w:val="20"/>
                <w:szCs w:val="20"/>
                <w:color w:val="auto"/>
              </w:rPr>
            </w:pPr>
            <w:r>
              <w:rPr>
                <w:rFonts w:ascii="Arial" w:cs="Arial" w:eastAsia="Arial" w:hAnsi="Arial"/>
                <w:sz w:val="16"/>
                <w:szCs w:val="16"/>
                <w:color w:val="auto"/>
                <w:w w:val="97"/>
              </w:rPr>
              <w:t>T. Mark Liu</w:t>
            </w:r>
          </w:p>
        </w:tc>
        <w:tc>
          <w:tcPr>
            <w:tcW w:w="112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rPr>
              <w:t>Sanjay</w:t>
            </w:r>
          </w:p>
        </w:tc>
        <w:tc>
          <w:tcPr>
            <w:tcW w:w="110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w w:val="99"/>
              </w:rPr>
              <w:t>A. Christine</w:t>
            </w:r>
          </w:p>
        </w:tc>
        <w:tc>
          <w:tcPr>
            <w:tcW w:w="1120" w:type="dxa"/>
            <w:vAlign w:val="bottom"/>
            <w:tcBorders>
              <w:top w:val="single" w:sz="8" w:color="BD03F7"/>
            </w:tcBorders>
            <w:vMerge w:val="restart"/>
          </w:tcPr>
          <w:p>
            <w:pPr>
              <w:ind w:left="100"/>
              <w:spacing w:after="0"/>
              <w:rPr>
                <w:sz w:val="20"/>
                <w:szCs w:val="20"/>
                <w:color w:val="auto"/>
              </w:rPr>
            </w:pPr>
            <w:r>
              <w:rPr>
                <w:rFonts w:ascii="Arial" w:cs="Arial" w:eastAsia="Arial" w:hAnsi="Arial"/>
                <w:sz w:val="16"/>
                <w:szCs w:val="16"/>
                <w:color w:val="auto"/>
              </w:rPr>
              <w:t>Robert Swan</w:t>
            </w:r>
          </w:p>
        </w:tc>
        <w:tc>
          <w:tcPr>
            <w:tcW w:w="1120" w:type="dxa"/>
            <w:vAlign w:val="bottom"/>
            <w:tcBorders>
              <w:top w:val="single" w:sz="8" w:color="BD03F7"/>
            </w:tcBorders>
          </w:tcPr>
          <w:p>
            <w:pPr>
              <w:jc w:val="center"/>
              <w:spacing w:after="0" w:line="175" w:lineRule="exact"/>
              <w:rPr>
                <w:sz w:val="20"/>
                <w:szCs w:val="20"/>
                <w:color w:val="auto"/>
              </w:rPr>
            </w:pPr>
            <w:r>
              <w:rPr>
                <w:rFonts w:ascii="Arial" w:cs="Arial" w:eastAsia="Arial" w:hAnsi="Arial"/>
                <w:sz w:val="16"/>
                <w:szCs w:val="16"/>
                <w:color w:val="auto"/>
                <w:w w:val="99"/>
              </w:rPr>
              <w:t>MaryAnn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Gomo</w:t>
            </w:r>
          </w:p>
        </w:tc>
        <w:tc>
          <w:tcPr>
            <w:tcW w:w="1120" w:type="dxa"/>
            <w:vAlign w:val="bottom"/>
          </w:tcPr>
          <w:p>
            <w:pPr>
              <w:jc w:val="center"/>
              <w:spacing w:after="0"/>
              <w:rPr>
                <w:sz w:val="20"/>
                <w:szCs w:val="20"/>
                <w:color w:val="auto"/>
              </w:rPr>
            </w:pPr>
            <w:r>
              <w:rPr>
                <w:rFonts w:ascii="Arial" w:cs="Arial" w:eastAsia="Arial" w:hAnsi="Arial"/>
                <w:sz w:val="16"/>
                <w:szCs w:val="16"/>
                <w:color w:val="auto"/>
              </w:rPr>
              <w:t>Haynesworth</w:t>
            </w:r>
          </w:p>
        </w:tc>
        <w:tc>
          <w:tcPr>
            <w:tcW w:w="1100" w:type="dxa"/>
            <w:vAlign w:val="bottom"/>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Mehrotra</w:t>
            </w:r>
          </w:p>
        </w:tc>
        <w:tc>
          <w:tcPr>
            <w:tcW w:w="1100" w:type="dxa"/>
            <w:vAlign w:val="bottom"/>
          </w:tcPr>
          <w:p>
            <w:pPr>
              <w:jc w:val="center"/>
              <w:spacing w:after="0"/>
              <w:rPr>
                <w:sz w:val="20"/>
                <w:szCs w:val="20"/>
                <w:color w:val="auto"/>
              </w:rPr>
            </w:pPr>
            <w:r>
              <w:rPr>
                <w:rFonts w:ascii="Arial" w:cs="Arial" w:eastAsia="Arial" w:hAnsi="Arial"/>
                <w:sz w:val="16"/>
                <w:szCs w:val="16"/>
                <w:color w:val="auto"/>
              </w:rPr>
              <w:t>Simons</w:t>
            </w:r>
          </w:p>
        </w:tc>
        <w:tc>
          <w:tcPr>
            <w:tcW w:w="1120" w:type="dxa"/>
            <w:vAlign w:val="bottom"/>
            <w:vMerge w:val="continue"/>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rPr>
              <w:t>Wright</w:t>
            </w:r>
          </w:p>
        </w:tc>
        <w:tc>
          <w:tcPr>
            <w:tcW w:w="0" w:type="dxa"/>
            <w:vAlign w:val="bottom"/>
          </w:tcPr>
          <w:p>
            <w:pPr>
              <w:spacing w:after="0"/>
              <w:rPr>
                <w:sz w:val="1"/>
                <w:szCs w:val="1"/>
                <w:color w:val="auto"/>
              </w:rPr>
            </w:pPr>
          </w:p>
        </w:tc>
      </w:tr>
      <w:tr>
        <w:trPr>
          <w:trHeight w:val="302"/>
        </w:trPr>
        <w:tc>
          <w:tcPr>
            <w:tcW w:w="100" w:type="dxa"/>
            <w:vAlign w:val="bottom"/>
            <w:tcBorders>
              <w:top w:val="single" w:sz="8" w:color="BD03F7"/>
            </w:tcBorders>
          </w:tcPr>
          <w:p>
            <w:pPr>
              <w:spacing w:after="0"/>
              <w:rPr>
                <w:sz w:val="24"/>
                <w:szCs w:val="24"/>
                <w:color w:val="auto"/>
              </w:rPr>
            </w:pPr>
          </w:p>
        </w:tc>
        <w:tc>
          <w:tcPr>
            <w:tcW w:w="2080" w:type="dxa"/>
            <w:vAlign w:val="bottom"/>
            <w:tcBorders>
              <w:top w:val="single" w:sz="8" w:color="BD03F7"/>
            </w:tcBorders>
          </w:tcPr>
          <w:p>
            <w:pPr>
              <w:jc w:val="center"/>
              <w:ind w:right="19"/>
              <w:spacing w:after="0"/>
              <w:rPr>
                <w:sz w:val="20"/>
                <w:szCs w:val="20"/>
                <w:color w:val="auto"/>
              </w:rPr>
            </w:pPr>
            <w:r>
              <w:rPr>
                <w:rFonts w:ascii="Arial" w:cs="Arial" w:eastAsia="Arial" w:hAnsi="Arial"/>
                <w:sz w:val="16"/>
                <w:szCs w:val="16"/>
                <w:color w:val="auto"/>
              </w:rPr>
              <w:t>Multinational experience</w:t>
            </w:r>
          </w:p>
        </w:tc>
        <w:tc>
          <w:tcPr>
            <w:tcW w:w="1100" w:type="dxa"/>
            <w:vAlign w:val="bottom"/>
            <w:tcBorders>
              <w:top w:val="single" w:sz="8" w:color="BD03F7"/>
            </w:tcBorders>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1100" w:type="dxa"/>
            <w:vAlign w:val="bottom"/>
            <w:tcBorders>
              <w:top w:val="single" w:sz="8" w:color="BD03F7"/>
            </w:tcBorders>
          </w:tcPr>
          <w:p>
            <w:pPr>
              <w:jc w:val="center"/>
              <w:spacing w:after="0"/>
              <w:rPr>
                <w:sz w:val="20"/>
                <w:szCs w:val="20"/>
                <w:color w:val="auto"/>
              </w:rPr>
            </w:pPr>
            <w:r>
              <w:rPr>
                <w:rFonts w:ascii="Arial" w:cs="Arial" w:eastAsia="Arial" w:hAnsi="Arial"/>
                <w:sz w:val="25"/>
                <w:szCs w:val="25"/>
                <w:color w:val="BD03F7"/>
              </w:rPr>
              <w:t>•</w:t>
            </w:r>
          </w:p>
        </w:tc>
        <w:tc>
          <w:tcPr>
            <w:tcW w:w="1120" w:type="dxa"/>
            <w:vAlign w:val="bottom"/>
            <w:tcBorders>
              <w:top w:val="single" w:sz="8" w:color="BD03F7"/>
            </w:tcBorders>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Borders>
              <w:top w:val="single" w:sz="8" w:color="BD03F7"/>
            </w:tcBorders>
          </w:tcPr>
          <w:p>
            <w:pPr>
              <w:jc w:val="center"/>
              <w:spacing w:after="0"/>
              <w:rPr>
                <w:sz w:val="20"/>
                <w:szCs w:val="20"/>
                <w:color w:val="auto"/>
              </w:rPr>
            </w:pPr>
            <w:r>
              <w:rPr>
                <w:rFonts w:ascii="Arial" w:cs="Arial" w:eastAsia="Arial" w:hAnsi="Arial"/>
                <w:sz w:val="25"/>
                <w:szCs w:val="25"/>
                <w:color w:val="BD03F7"/>
              </w:rPr>
              <w:t>•</w:t>
            </w:r>
          </w:p>
        </w:tc>
        <w:tc>
          <w:tcPr>
            <w:tcW w:w="1120" w:type="dxa"/>
            <w:vAlign w:val="bottom"/>
            <w:tcBorders>
              <w:top w:val="single" w:sz="8" w:color="BD03F7"/>
            </w:tcBorders>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Borders>
              <w:top w:val="single" w:sz="8" w:color="BD03F7"/>
            </w:tcBorders>
          </w:tcPr>
          <w:p>
            <w:pPr>
              <w:jc w:val="center"/>
              <w:spacing w:after="0"/>
              <w:rPr>
                <w:sz w:val="20"/>
                <w:szCs w:val="20"/>
                <w:color w:val="auto"/>
              </w:rPr>
            </w:pPr>
            <w:r>
              <w:rPr>
                <w:rFonts w:ascii="Arial" w:cs="Arial" w:eastAsia="Arial" w:hAnsi="Arial"/>
                <w:sz w:val="25"/>
                <w:szCs w:val="25"/>
                <w:color w:val="BD03F7"/>
              </w:rPr>
              <w:t>•</w:t>
            </w:r>
          </w:p>
        </w:tc>
        <w:tc>
          <w:tcPr>
            <w:tcW w:w="1120" w:type="dxa"/>
            <w:vAlign w:val="bottom"/>
            <w:tcBorders>
              <w:top w:val="single" w:sz="8" w:color="BD03F7"/>
            </w:tcBorders>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20" w:type="dxa"/>
            <w:vAlign w:val="bottom"/>
            <w:tcBorders>
              <w:top w:val="single" w:sz="8" w:color="BD03F7"/>
            </w:tcBorders>
          </w:tcPr>
          <w:p>
            <w:pPr>
              <w:jc w:val="center"/>
              <w:spacing w:after="0"/>
              <w:rPr>
                <w:sz w:val="20"/>
                <w:szCs w:val="20"/>
                <w:color w:val="auto"/>
              </w:rPr>
            </w:pPr>
            <w:r>
              <w:rPr>
                <w:rFonts w:ascii="Arial" w:cs="Arial" w:eastAsia="Arial" w:hAnsi="Arial"/>
                <w:sz w:val="25"/>
                <w:szCs w:val="25"/>
                <w:color w:val="BD03F7"/>
                <w:w w:val="90"/>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8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Executive leadership (public</w:t>
            </w:r>
          </w:p>
        </w:tc>
        <w:tc>
          <w:tcPr>
            <w:tcW w:w="110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1100" w:type="dxa"/>
            <w:vAlign w:val="bottom"/>
            <w:vMerge w:val="restart"/>
          </w:tcPr>
          <w:p>
            <w:pPr>
              <w:jc w:val="center"/>
              <w:spacing w:after="0"/>
              <w:rPr>
                <w:sz w:val="20"/>
                <w:szCs w:val="20"/>
                <w:color w:val="auto"/>
              </w:rPr>
            </w:pPr>
            <w:r>
              <w:rPr>
                <w:rFonts w:ascii="Arial" w:cs="Arial" w:eastAsia="Arial" w:hAnsi="Arial"/>
                <w:sz w:val="25"/>
                <w:szCs w:val="25"/>
                <w:color w:val="BD03F7"/>
              </w:rPr>
              <w:t>•</w:t>
            </w:r>
          </w:p>
        </w:tc>
        <w:tc>
          <w:tcPr>
            <w:tcW w:w="112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vMerge w:val="restart"/>
          </w:tcPr>
          <w:p>
            <w:pPr>
              <w:jc w:val="center"/>
              <w:spacing w:after="0"/>
              <w:rPr>
                <w:sz w:val="20"/>
                <w:szCs w:val="20"/>
                <w:color w:val="auto"/>
              </w:rPr>
            </w:pPr>
            <w:r>
              <w:rPr>
                <w:rFonts w:ascii="Arial" w:cs="Arial" w:eastAsia="Arial" w:hAnsi="Arial"/>
                <w:sz w:val="25"/>
                <w:szCs w:val="25"/>
                <w:color w:val="BD03F7"/>
              </w:rPr>
              <w:t>•</w:t>
            </w:r>
          </w:p>
        </w:tc>
        <w:tc>
          <w:tcPr>
            <w:tcW w:w="112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vMerge w:val="restart"/>
          </w:tcPr>
          <w:p>
            <w:pPr>
              <w:jc w:val="center"/>
              <w:spacing w:after="0"/>
              <w:rPr>
                <w:sz w:val="20"/>
                <w:szCs w:val="20"/>
                <w:color w:val="auto"/>
              </w:rPr>
            </w:pPr>
            <w:r>
              <w:rPr>
                <w:rFonts w:ascii="Arial" w:cs="Arial" w:eastAsia="Arial" w:hAnsi="Arial"/>
                <w:sz w:val="25"/>
                <w:szCs w:val="25"/>
                <w:color w:val="BD03F7"/>
              </w:rPr>
              <w:t>•</w:t>
            </w:r>
          </w:p>
        </w:tc>
        <w:tc>
          <w:tcPr>
            <w:tcW w:w="112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w w:val="99"/>
              </w:rPr>
              <w:t>or private)</w:t>
            </w:r>
          </w:p>
        </w:tc>
        <w:tc>
          <w:tcPr>
            <w:tcW w:w="1100" w:type="dxa"/>
            <w:vAlign w:val="bottom"/>
            <w:vMerge w:val="continue"/>
            <w:shd w:val="clear" w:color="auto" w:fill="F2F2F2"/>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vMerge w:val="continue"/>
            <w:shd w:val="clear" w:color="auto" w:fill="F2F2F2"/>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vMerge w:val="continue"/>
            <w:shd w:val="clear" w:color="auto" w:fill="F2F2F2"/>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vMerge w:val="continue"/>
            <w:shd w:val="clear" w:color="auto" w:fill="F2F2F2"/>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w w:val="99"/>
              </w:rPr>
              <w:t>Operations/Manufacturing</w:t>
            </w:r>
          </w:p>
        </w:tc>
        <w:tc>
          <w:tcPr>
            <w:tcW w:w="110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spacing w:after="0"/>
              <w:rPr>
                <w:sz w:val="24"/>
                <w:szCs w:val="24"/>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400" w:type="dxa"/>
            <w:vAlign w:val="bottom"/>
            <w:gridSpan w:val="2"/>
          </w:tcPr>
          <w:p>
            <w:pPr>
              <w:jc w:val="center"/>
              <w:ind w:right="280"/>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rPr>
              <w:t>Strategy/Marketing</w:t>
            </w:r>
          </w:p>
        </w:tc>
        <w:tc>
          <w:tcPr>
            <w:tcW w:w="1100" w:type="dxa"/>
            <w:vAlign w:val="bottom"/>
            <w:shd w:val="clear" w:color="auto" w:fill="F2F2F2"/>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400" w:type="dxa"/>
            <w:vAlign w:val="bottom"/>
            <w:gridSpan w:val="2"/>
          </w:tcPr>
          <w:p>
            <w:pPr>
              <w:jc w:val="center"/>
              <w:ind w:right="280"/>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rPr>
              <w:t>Cybersecurity</w:t>
            </w:r>
          </w:p>
        </w:tc>
        <w:tc>
          <w:tcPr>
            <w:tcW w:w="110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80" w:type="dxa"/>
            <w:vAlign w:val="bottom"/>
            <w:gridSpan w:val="2"/>
          </w:tcPr>
          <w:p>
            <w:pPr>
              <w:jc w:val="center"/>
              <w:spacing w:after="0" w:line="162" w:lineRule="exact"/>
              <w:rPr>
                <w:sz w:val="20"/>
                <w:szCs w:val="20"/>
                <w:color w:val="auto"/>
              </w:rPr>
            </w:pPr>
            <w:r>
              <w:rPr>
                <w:rFonts w:ascii="Arial" w:cs="Arial" w:eastAsia="Arial" w:hAnsi="Arial"/>
                <w:sz w:val="16"/>
                <w:szCs w:val="16"/>
                <w:color w:val="auto"/>
                <w:w w:val="99"/>
              </w:rPr>
              <w:t>Governance/Public Company</w:t>
            </w:r>
          </w:p>
        </w:tc>
        <w:tc>
          <w:tcPr>
            <w:tcW w:w="110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1100" w:type="dxa"/>
            <w:vAlign w:val="bottom"/>
            <w:vMerge w:val="restart"/>
          </w:tcPr>
          <w:p>
            <w:pPr>
              <w:jc w:val="center"/>
              <w:spacing w:after="0"/>
              <w:rPr>
                <w:sz w:val="20"/>
                <w:szCs w:val="20"/>
                <w:color w:val="auto"/>
              </w:rPr>
            </w:pPr>
            <w:r>
              <w:rPr>
                <w:rFonts w:ascii="Arial" w:cs="Arial" w:eastAsia="Arial" w:hAnsi="Arial"/>
                <w:sz w:val="25"/>
                <w:szCs w:val="25"/>
                <w:color w:val="BD03F7"/>
              </w:rPr>
              <w:t>•</w:t>
            </w:r>
          </w:p>
        </w:tc>
        <w:tc>
          <w:tcPr>
            <w:tcW w:w="112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vMerge w:val="restart"/>
          </w:tcPr>
          <w:p>
            <w:pPr>
              <w:jc w:val="center"/>
              <w:spacing w:after="0"/>
              <w:rPr>
                <w:sz w:val="20"/>
                <w:szCs w:val="20"/>
                <w:color w:val="auto"/>
              </w:rPr>
            </w:pPr>
            <w:r>
              <w:rPr>
                <w:rFonts w:ascii="Arial" w:cs="Arial" w:eastAsia="Arial" w:hAnsi="Arial"/>
                <w:sz w:val="25"/>
                <w:szCs w:val="25"/>
                <w:color w:val="BD03F7"/>
              </w:rPr>
              <w:t>•</w:t>
            </w:r>
          </w:p>
        </w:tc>
        <w:tc>
          <w:tcPr>
            <w:tcW w:w="112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vMerge w:val="restart"/>
          </w:tcPr>
          <w:p>
            <w:pPr>
              <w:jc w:val="center"/>
              <w:spacing w:after="0"/>
              <w:rPr>
                <w:sz w:val="20"/>
                <w:szCs w:val="20"/>
                <w:color w:val="auto"/>
              </w:rPr>
            </w:pPr>
            <w:r>
              <w:rPr>
                <w:rFonts w:ascii="Arial" w:cs="Arial" w:eastAsia="Arial" w:hAnsi="Arial"/>
                <w:sz w:val="25"/>
                <w:szCs w:val="25"/>
                <w:color w:val="BD03F7"/>
              </w:rPr>
              <w:t>•</w:t>
            </w:r>
          </w:p>
        </w:tc>
        <w:tc>
          <w:tcPr>
            <w:tcW w:w="112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w w:val="99"/>
              </w:rPr>
              <w:t>Board Service</w:t>
            </w:r>
          </w:p>
        </w:tc>
        <w:tc>
          <w:tcPr>
            <w:tcW w:w="1100" w:type="dxa"/>
            <w:vAlign w:val="bottom"/>
            <w:vMerge w:val="continue"/>
            <w:shd w:val="clear" w:color="auto" w:fill="F2F2F2"/>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vMerge w:val="continue"/>
            <w:shd w:val="clear" w:color="auto" w:fill="F2F2F2"/>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vMerge w:val="continue"/>
            <w:shd w:val="clear" w:color="auto" w:fill="F2F2F2"/>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vMerge w:val="continue"/>
            <w:shd w:val="clear" w:color="auto" w:fill="F2F2F2"/>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w w:val="98"/>
              </w:rPr>
              <w:t>Finance</w:t>
            </w:r>
          </w:p>
        </w:tc>
        <w:tc>
          <w:tcPr>
            <w:tcW w:w="110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400" w:type="dxa"/>
            <w:vAlign w:val="bottom"/>
            <w:gridSpan w:val="2"/>
          </w:tcPr>
          <w:p>
            <w:pPr>
              <w:jc w:val="center"/>
              <w:ind w:right="280"/>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rPr>
              <w:t>Auditing/Accounting</w:t>
            </w:r>
          </w:p>
        </w:tc>
        <w:tc>
          <w:tcPr>
            <w:tcW w:w="1100" w:type="dxa"/>
            <w:vAlign w:val="bottom"/>
            <w:shd w:val="clear" w:color="auto" w:fill="F2F2F2"/>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rPr>
              <w:t>Strategy/Innovation</w:t>
            </w:r>
          </w:p>
        </w:tc>
        <w:tc>
          <w:tcPr>
            <w:tcW w:w="110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400" w:type="dxa"/>
            <w:vAlign w:val="bottom"/>
            <w:gridSpan w:val="2"/>
          </w:tcPr>
          <w:p>
            <w:pPr>
              <w:jc w:val="center"/>
              <w:ind w:right="280"/>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2080" w:type="dxa"/>
            <w:vAlign w:val="bottom"/>
          </w:tcPr>
          <w:p>
            <w:pPr>
              <w:jc w:val="center"/>
              <w:ind w:right="19"/>
              <w:spacing w:after="0"/>
              <w:rPr>
                <w:sz w:val="20"/>
                <w:szCs w:val="20"/>
                <w:color w:val="auto"/>
              </w:rPr>
            </w:pPr>
            <w:r>
              <w:rPr>
                <w:rFonts w:ascii="Arial" w:cs="Arial" w:eastAsia="Arial" w:hAnsi="Arial"/>
                <w:sz w:val="16"/>
                <w:szCs w:val="16"/>
                <w:color w:val="auto"/>
              </w:rPr>
              <w:t>Risk Management</w:t>
            </w:r>
          </w:p>
        </w:tc>
        <w:tc>
          <w:tcPr>
            <w:tcW w:w="110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400" w:type="dxa"/>
            <w:vAlign w:val="bottom"/>
            <w:gridSpan w:val="2"/>
          </w:tcPr>
          <w:p>
            <w:pPr>
              <w:jc w:val="center"/>
              <w:ind w:right="280"/>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09"/>
        </w:trPr>
        <w:tc>
          <w:tcPr>
            <w:tcW w:w="2180" w:type="dxa"/>
            <w:vAlign w:val="bottom"/>
            <w:gridSpan w:val="2"/>
          </w:tcPr>
          <w:p>
            <w:pPr>
              <w:jc w:val="center"/>
              <w:spacing w:after="0"/>
              <w:rPr>
                <w:sz w:val="20"/>
                <w:szCs w:val="20"/>
                <w:color w:val="auto"/>
              </w:rPr>
            </w:pPr>
            <w:r>
              <w:rPr>
                <w:rFonts w:ascii="Arial" w:cs="Arial" w:eastAsia="Arial" w:hAnsi="Arial"/>
                <w:sz w:val="16"/>
                <w:szCs w:val="16"/>
                <w:color w:val="auto"/>
              </w:rPr>
              <w:t>Human Capital Management</w:t>
            </w:r>
          </w:p>
        </w:tc>
        <w:tc>
          <w:tcPr>
            <w:tcW w:w="110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spacing w:after="0"/>
              <w:rPr>
                <w:sz w:val="24"/>
                <w:szCs w:val="24"/>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400" w:type="dxa"/>
            <w:vAlign w:val="bottom"/>
            <w:gridSpan w:val="2"/>
          </w:tcPr>
          <w:p>
            <w:pPr>
              <w:jc w:val="center"/>
              <w:ind w:right="280"/>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w w:val="99"/>
              </w:rPr>
              <w:t>Technology/Semiconductor</w:t>
            </w:r>
          </w:p>
        </w:tc>
        <w:tc>
          <w:tcPr>
            <w:tcW w:w="1100" w:type="dxa"/>
            <w:vAlign w:val="bottom"/>
            <w:shd w:val="clear" w:color="auto" w:fill="F2F2F2"/>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400" w:type="dxa"/>
            <w:vAlign w:val="bottom"/>
            <w:gridSpan w:val="2"/>
          </w:tcPr>
          <w:p>
            <w:pPr>
              <w:jc w:val="center"/>
              <w:ind w:right="280"/>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331"/>
        </w:trPr>
        <w:tc>
          <w:tcPr>
            <w:tcW w:w="2180" w:type="dxa"/>
            <w:vAlign w:val="bottom"/>
            <w:gridSpan w:val="2"/>
          </w:tcPr>
          <w:p>
            <w:pPr>
              <w:jc w:val="center"/>
              <w:spacing w:after="0"/>
              <w:rPr>
                <w:sz w:val="20"/>
                <w:szCs w:val="20"/>
                <w:color w:val="auto"/>
              </w:rPr>
            </w:pPr>
            <w:r>
              <w:rPr>
                <w:rFonts w:ascii="Arial" w:cs="Arial" w:eastAsia="Arial" w:hAnsi="Arial"/>
                <w:sz w:val="16"/>
                <w:szCs w:val="16"/>
                <w:color w:val="auto"/>
                <w:w w:val="99"/>
              </w:rPr>
              <w:t>Public Policy/Political Affairs</w:t>
            </w:r>
          </w:p>
        </w:tc>
        <w:tc>
          <w:tcPr>
            <w:tcW w:w="1100" w:type="dxa"/>
            <w:vAlign w:val="bottom"/>
            <w:shd w:val="clear" w:color="auto" w:fill="F2F2F2"/>
          </w:tcPr>
          <w:p>
            <w:pPr>
              <w:jc w:val="center"/>
              <w:spacing w:after="0"/>
              <w:rPr>
                <w:sz w:val="20"/>
                <w:szCs w:val="20"/>
                <w:color w:val="auto"/>
              </w:rPr>
            </w:pPr>
            <w:r>
              <w:rPr>
                <w:rFonts w:ascii="Arial" w:cs="Arial" w:eastAsia="Arial" w:hAnsi="Arial"/>
                <w:sz w:val="25"/>
                <w:szCs w:val="25"/>
                <w:color w:val="BD03F7"/>
              </w:rPr>
              <w:t>•</w:t>
            </w:r>
          </w:p>
        </w:tc>
        <w:tc>
          <w:tcPr>
            <w:tcW w:w="1100" w:type="dxa"/>
            <w:vAlign w:val="bottom"/>
          </w:tcPr>
          <w:p>
            <w:pPr>
              <w:spacing w:after="0"/>
              <w:rPr>
                <w:sz w:val="24"/>
                <w:szCs w:val="24"/>
                <w:color w:val="auto"/>
              </w:rPr>
            </w:pPr>
          </w:p>
        </w:tc>
        <w:tc>
          <w:tcPr>
            <w:tcW w:w="1120" w:type="dxa"/>
            <w:vAlign w:val="bottom"/>
            <w:shd w:val="clear" w:color="auto" w:fill="F2F2F2"/>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5"/>
                <w:szCs w:val="25"/>
                <w:color w:val="BD03F7"/>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100" w:type="dxa"/>
            <w:vAlign w:val="bottom"/>
          </w:tcPr>
          <w:p>
            <w:pPr>
              <w:spacing w:after="0"/>
              <w:rPr>
                <w:sz w:val="24"/>
                <w:szCs w:val="24"/>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25"/>
                <w:szCs w:val="25"/>
                <w:color w:val="BD03F7"/>
                <w:w w:val="90"/>
              </w:rPr>
              <w:t>•</w:t>
            </w:r>
          </w:p>
        </w:tc>
        <w:tc>
          <w:tcPr>
            <w:tcW w:w="1400" w:type="dxa"/>
            <w:vAlign w:val="bottom"/>
            <w:gridSpan w:val="2"/>
          </w:tcPr>
          <w:p>
            <w:pPr>
              <w:jc w:val="center"/>
              <w:ind w:right="280"/>
              <w:spacing w:after="0"/>
              <w:rPr>
                <w:sz w:val="20"/>
                <w:szCs w:val="20"/>
                <w:color w:val="auto"/>
              </w:rPr>
            </w:pPr>
            <w:r>
              <w:rPr>
                <w:rFonts w:ascii="Arial" w:cs="Arial" w:eastAsia="Arial" w:hAnsi="Arial"/>
                <w:sz w:val="25"/>
                <w:szCs w:val="25"/>
                <w:color w:val="BD03F7"/>
                <w:w w:val="90"/>
              </w:rPr>
              <w:t>•</w:t>
            </w:r>
          </w:p>
        </w:tc>
        <w:tc>
          <w:tcPr>
            <w:tcW w:w="0" w:type="dxa"/>
            <w:vAlign w:val="bottom"/>
          </w:tcPr>
          <w:p>
            <w:pPr>
              <w:spacing w:after="0"/>
              <w:rPr>
                <w:sz w:val="1"/>
                <w:szCs w:val="1"/>
                <w:color w:val="auto"/>
              </w:rPr>
            </w:pPr>
          </w:p>
        </w:tc>
      </w:tr>
      <w:tr>
        <w:trPr>
          <w:trHeight w:val="217"/>
        </w:trPr>
        <w:tc>
          <w:tcPr>
            <w:tcW w:w="100" w:type="dxa"/>
            <w:vAlign w:val="bottom"/>
            <w:tcBorders>
              <w:top w:val="single" w:sz="8" w:color="BD03F7"/>
            </w:tcBorders>
          </w:tcPr>
          <w:p>
            <w:pPr>
              <w:spacing w:after="0"/>
              <w:rPr>
                <w:sz w:val="18"/>
                <w:szCs w:val="18"/>
                <w:color w:val="auto"/>
              </w:rPr>
            </w:pPr>
          </w:p>
        </w:tc>
        <w:tc>
          <w:tcPr>
            <w:tcW w:w="2080" w:type="dxa"/>
            <w:vAlign w:val="bottom"/>
            <w:tcBorders>
              <w:top w:val="single" w:sz="8" w:color="BD03F7"/>
            </w:tcBorders>
          </w:tcPr>
          <w:p>
            <w:pPr>
              <w:jc w:val="center"/>
              <w:ind w:right="39"/>
              <w:spacing w:after="0"/>
              <w:rPr>
                <w:sz w:val="20"/>
                <w:szCs w:val="20"/>
                <w:color w:val="auto"/>
              </w:rPr>
            </w:pPr>
            <w:r>
              <w:rPr>
                <w:rFonts w:ascii="Arial" w:cs="Arial" w:eastAsia="Arial" w:hAnsi="Arial"/>
                <w:sz w:val="16"/>
                <w:szCs w:val="16"/>
                <w:color w:val="auto"/>
                <w:w w:val="98"/>
              </w:rPr>
              <w:t>Age</w:t>
            </w:r>
          </w:p>
        </w:tc>
        <w:tc>
          <w:tcPr>
            <w:tcW w:w="1100" w:type="dxa"/>
            <w:vAlign w:val="bottom"/>
            <w:tcBorders>
              <w:top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9"/>
              </w:rPr>
              <w:t>66</w:t>
            </w:r>
          </w:p>
        </w:tc>
        <w:tc>
          <w:tcPr>
            <w:tcW w:w="1100" w:type="dxa"/>
            <w:vAlign w:val="bottom"/>
            <w:tcBorders>
              <w:top w:val="single" w:sz="8" w:color="BD03F7"/>
            </w:tcBorders>
          </w:tcPr>
          <w:p>
            <w:pPr>
              <w:jc w:val="center"/>
              <w:spacing w:after="0"/>
              <w:rPr>
                <w:sz w:val="20"/>
                <w:szCs w:val="20"/>
                <w:color w:val="auto"/>
              </w:rPr>
            </w:pPr>
            <w:r>
              <w:rPr>
                <w:rFonts w:ascii="Arial" w:cs="Arial" w:eastAsia="Arial" w:hAnsi="Arial"/>
                <w:sz w:val="18"/>
                <w:szCs w:val="18"/>
                <w:color w:val="auto"/>
                <w:w w:val="89"/>
              </w:rPr>
              <w:t>73</w:t>
            </w:r>
          </w:p>
        </w:tc>
        <w:tc>
          <w:tcPr>
            <w:tcW w:w="1120" w:type="dxa"/>
            <w:vAlign w:val="bottom"/>
            <w:tcBorders>
              <w:top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9"/>
              </w:rPr>
              <w:t>68</w:t>
            </w:r>
          </w:p>
        </w:tc>
        <w:tc>
          <w:tcPr>
            <w:tcW w:w="1100" w:type="dxa"/>
            <w:vAlign w:val="bottom"/>
            <w:tcBorders>
              <w:top w:val="single" w:sz="8" w:color="BD03F7"/>
            </w:tcBorders>
          </w:tcPr>
          <w:p>
            <w:pPr>
              <w:jc w:val="center"/>
              <w:spacing w:after="0"/>
              <w:rPr>
                <w:sz w:val="20"/>
                <w:szCs w:val="20"/>
                <w:color w:val="auto"/>
              </w:rPr>
            </w:pPr>
            <w:r>
              <w:rPr>
                <w:rFonts w:ascii="Arial" w:cs="Arial" w:eastAsia="Arial" w:hAnsi="Arial"/>
                <w:sz w:val="18"/>
                <w:szCs w:val="18"/>
                <w:color w:val="auto"/>
                <w:w w:val="99"/>
              </w:rPr>
              <w:t>71</w:t>
            </w:r>
          </w:p>
        </w:tc>
        <w:tc>
          <w:tcPr>
            <w:tcW w:w="1120" w:type="dxa"/>
            <w:vAlign w:val="bottom"/>
            <w:tcBorders>
              <w:top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9"/>
              </w:rPr>
              <w:t>67</w:t>
            </w:r>
          </w:p>
        </w:tc>
        <w:tc>
          <w:tcPr>
            <w:tcW w:w="1100" w:type="dxa"/>
            <w:vAlign w:val="bottom"/>
            <w:tcBorders>
              <w:top w:val="single" w:sz="8" w:color="BD03F7"/>
            </w:tcBorders>
          </w:tcPr>
          <w:p>
            <w:pPr>
              <w:jc w:val="center"/>
              <w:spacing w:after="0"/>
              <w:rPr>
                <w:sz w:val="20"/>
                <w:szCs w:val="20"/>
                <w:color w:val="auto"/>
              </w:rPr>
            </w:pPr>
            <w:r>
              <w:rPr>
                <w:rFonts w:ascii="Arial" w:cs="Arial" w:eastAsia="Arial" w:hAnsi="Arial"/>
                <w:sz w:val="18"/>
                <w:szCs w:val="18"/>
                <w:color w:val="auto"/>
                <w:w w:val="99"/>
              </w:rPr>
              <w:t>63</w:t>
            </w:r>
          </w:p>
        </w:tc>
        <w:tc>
          <w:tcPr>
            <w:tcW w:w="1120" w:type="dxa"/>
            <w:vAlign w:val="bottom"/>
            <w:tcBorders>
              <w:top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9"/>
              </w:rPr>
              <w:t>65</w:t>
            </w:r>
          </w:p>
        </w:tc>
        <w:tc>
          <w:tcPr>
            <w:tcW w:w="1120" w:type="dxa"/>
            <w:vAlign w:val="bottom"/>
            <w:tcBorders>
              <w:top w:val="single" w:sz="8" w:color="BD03F7"/>
            </w:tcBorders>
          </w:tcPr>
          <w:p>
            <w:pPr>
              <w:jc w:val="center"/>
              <w:spacing w:after="0"/>
              <w:rPr>
                <w:sz w:val="20"/>
                <w:szCs w:val="20"/>
                <w:color w:val="auto"/>
              </w:rPr>
            </w:pPr>
            <w:r>
              <w:rPr>
                <w:rFonts w:ascii="Arial" w:cs="Arial" w:eastAsia="Arial" w:hAnsi="Arial"/>
                <w:sz w:val="18"/>
                <w:szCs w:val="18"/>
                <w:color w:val="auto"/>
                <w:w w:val="99"/>
              </w:rPr>
              <w:t>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w w:val="99"/>
              </w:rPr>
              <w:t>Director Since</w:t>
            </w:r>
          </w:p>
        </w:tc>
        <w:tc>
          <w:tcPr>
            <w:tcW w:w="11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2020</w:t>
            </w: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2018</w:t>
            </w:r>
          </w:p>
        </w:tc>
        <w:tc>
          <w:tcPr>
            <w:tcW w:w="11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2021</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11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2017</w:t>
            </w: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2025</w:t>
            </w:r>
          </w:p>
        </w:tc>
        <w:tc>
          <w:tcPr>
            <w:tcW w:w="11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2024</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color w:val="auto"/>
                <w:w w:val="96"/>
              </w:rPr>
              <w:t>Tenure (Years)</w:t>
            </w:r>
          </w:p>
        </w:tc>
        <w:tc>
          <w:tcPr>
            <w:tcW w:w="11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1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4</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8</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1</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00" w:type="dxa"/>
            <w:vAlign w:val="bottom"/>
            <w:shd w:val="clear" w:color="auto" w:fill="F2F2F2"/>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shd w:val="clear" w:color="auto" w:fill="F2F2F2"/>
          </w:tcPr>
          <w:p>
            <w:pPr>
              <w:jc w:val="center"/>
              <w:spacing w:after="0" w:line="180" w:lineRule="exact"/>
              <w:rPr>
                <w:sz w:val="20"/>
                <w:szCs w:val="20"/>
                <w:color w:val="auto"/>
              </w:rPr>
            </w:pPr>
            <w:r>
              <w:rPr>
                <w:rFonts w:ascii="Arial" w:cs="Arial" w:eastAsia="Arial" w:hAnsi="Arial"/>
                <w:sz w:val="18"/>
                <w:szCs w:val="18"/>
                <w:color w:val="auto"/>
                <w:w w:val="98"/>
              </w:rPr>
              <w:t>Female,</w:t>
            </w:r>
          </w:p>
        </w:tc>
        <w:tc>
          <w:tcPr>
            <w:tcW w:w="1100" w:type="dxa"/>
            <w:vAlign w:val="bottom"/>
          </w:tcPr>
          <w:p>
            <w:pPr>
              <w:spacing w:after="0"/>
              <w:rPr>
                <w:sz w:val="15"/>
                <w:szCs w:val="15"/>
                <w:color w:val="auto"/>
              </w:rPr>
            </w:pPr>
          </w:p>
        </w:tc>
        <w:tc>
          <w:tcPr>
            <w:tcW w:w="1120" w:type="dxa"/>
            <w:vAlign w:val="bottom"/>
            <w:shd w:val="clear" w:color="auto" w:fill="F2F2F2"/>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shd w:val="clear" w:color="auto" w:fill="F2F2F2"/>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080" w:type="dxa"/>
            <w:vAlign w:val="bottom"/>
            <w:vMerge w:val="restart"/>
          </w:tcPr>
          <w:p>
            <w:pPr>
              <w:jc w:val="center"/>
              <w:ind w:right="39"/>
              <w:spacing w:after="0"/>
              <w:rPr>
                <w:sz w:val="20"/>
                <w:szCs w:val="20"/>
                <w:color w:val="auto"/>
              </w:rPr>
            </w:pPr>
            <w:r>
              <w:rPr>
                <w:rFonts w:ascii="Arial" w:cs="Arial" w:eastAsia="Arial" w:hAnsi="Arial"/>
                <w:sz w:val="16"/>
                <w:szCs w:val="16"/>
                <w:color w:val="auto"/>
              </w:rPr>
              <w:t>Demographics</w:t>
            </w:r>
          </w:p>
        </w:tc>
        <w:tc>
          <w:tcPr>
            <w:tcW w:w="110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rPr>
              <w:t>Female,</w:t>
            </w:r>
          </w:p>
        </w:tc>
        <w:tc>
          <w:tcPr>
            <w:tcW w:w="1100" w:type="dxa"/>
            <w:vAlign w:val="bottom"/>
          </w:tcPr>
          <w:p>
            <w:pPr>
              <w:spacing w:after="0"/>
              <w:rPr>
                <w:sz w:val="15"/>
                <w:szCs w:val="15"/>
                <w:color w:val="auto"/>
              </w:rPr>
            </w:pPr>
          </w:p>
        </w:tc>
        <w:tc>
          <w:tcPr>
            <w:tcW w:w="1120" w:type="dxa"/>
            <w:vAlign w:val="bottom"/>
            <w:shd w:val="clear" w:color="auto" w:fill="F2F2F2"/>
          </w:tcPr>
          <w:p>
            <w:pPr>
              <w:jc w:val="center"/>
              <w:spacing w:after="0" w:line="182" w:lineRule="exact"/>
              <w:rPr>
                <w:sz w:val="20"/>
                <w:szCs w:val="20"/>
                <w:color w:val="auto"/>
              </w:rPr>
            </w:pPr>
            <w:r>
              <w:rPr>
                <w:rFonts w:ascii="Arial" w:cs="Arial" w:eastAsia="Arial" w:hAnsi="Arial"/>
                <w:sz w:val="18"/>
                <w:szCs w:val="18"/>
                <w:color w:val="auto"/>
                <w:w w:val="99"/>
              </w:rPr>
              <w:t>African</w:t>
            </w:r>
          </w:p>
        </w:tc>
        <w:tc>
          <w:tcPr>
            <w:tcW w:w="1100" w:type="dxa"/>
            <w:vAlign w:val="bottom"/>
          </w:tcPr>
          <w:p>
            <w:pPr>
              <w:spacing w:after="0"/>
              <w:rPr>
                <w:sz w:val="15"/>
                <w:szCs w:val="15"/>
                <w:color w:val="auto"/>
              </w:rPr>
            </w:pPr>
          </w:p>
        </w:tc>
        <w:tc>
          <w:tcPr>
            <w:tcW w:w="1120" w:type="dxa"/>
            <w:vAlign w:val="bottom"/>
            <w:shd w:val="clear" w:color="auto" w:fill="F2F2F2"/>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Female,</w:t>
            </w:r>
          </w:p>
        </w:tc>
        <w:tc>
          <w:tcPr>
            <w:tcW w:w="1120" w:type="dxa"/>
            <w:vAlign w:val="bottom"/>
            <w:shd w:val="clear" w:color="auto" w:fill="F2F2F2"/>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8"/>
              </w:rPr>
              <w:t>Female,</w:t>
            </w: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100" w:type="dxa"/>
            <w:vAlign w:val="bottom"/>
            <w:vMerge w:val="continue"/>
            <w:shd w:val="clear" w:color="auto" w:fill="F2F2F2"/>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vMerge w:val="restart"/>
            <w:shd w:val="clear" w:color="auto" w:fill="F2F2F2"/>
          </w:tcPr>
          <w:p>
            <w:pPr>
              <w:jc w:val="center"/>
              <w:spacing w:after="0" w:line="180" w:lineRule="exact"/>
              <w:rPr>
                <w:sz w:val="20"/>
                <w:szCs w:val="20"/>
                <w:color w:val="auto"/>
              </w:rPr>
            </w:pPr>
            <w:r>
              <w:rPr>
                <w:rFonts w:ascii="Arial" w:cs="Arial" w:eastAsia="Arial" w:hAnsi="Arial"/>
                <w:sz w:val="18"/>
                <w:szCs w:val="18"/>
                <w:color w:val="auto"/>
                <w:w w:val="98"/>
              </w:rPr>
              <w:t>American or</w:t>
            </w:r>
          </w:p>
        </w:tc>
        <w:tc>
          <w:tcPr>
            <w:tcW w:w="1100" w:type="dxa"/>
            <w:vAlign w:val="bottom"/>
          </w:tcPr>
          <w:p>
            <w:pPr>
              <w:spacing w:after="0"/>
              <w:rPr>
                <w:sz w:val="10"/>
                <w:szCs w:val="10"/>
                <w:color w:val="auto"/>
              </w:rPr>
            </w:pPr>
          </w:p>
        </w:tc>
        <w:tc>
          <w:tcPr>
            <w:tcW w:w="1120" w:type="dxa"/>
            <w:vAlign w:val="bottom"/>
            <w:shd w:val="clear" w:color="auto" w:fill="F2F2F2"/>
          </w:tcPr>
          <w:p>
            <w:pPr>
              <w:spacing w:after="0"/>
              <w:rPr>
                <w:sz w:val="10"/>
                <w:szCs w:val="10"/>
                <w:color w:val="auto"/>
              </w:rPr>
            </w:pPr>
          </w:p>
        </w:tc>
        <w:tc>
          <w:tcPr>
            <w:tcW w:w="1100" w:type="dxa"/>
            <w:vAlign w:val="bottom"/>
            <w:vMerge w:val="continue"/>
          </w:tcPr>
          <w:p>
            <w:pPr>
              <w:spacing w:after="0"/>
              <w:rPr>
                <w:sz w:val="10"/>
                <w:szCs w:val="10"/>
                <w:color w:val="auto"/>
              </w:rPr>
            </w:pPr>
          </w:p>
        </w:tc>
        <w:tc>
          <w:tcPr>
            <w:tcW w:w="1120" w:type="dxa"/>
            <w:vAlign w:val="bottom"/>
            <w:shd w:val="clear" w:color="auto" w:fill="F2F2F2"/>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100" w:type="dxa"/>
            <w:vAlign w:val="bottom"/>
            <w:vMerge w:val="continue"/>
            <w:shd w:val="clear" w:color="auto" w:fill="F2F2F2"/>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8"/>
              </w:rPr>
              <w:t>Male, White</w:t>
            </w:r>
          </w:p>
        </w:tc>
        <w:tc>
          <w:tcPr>
            <w:tcW w:w="1120" w:type="dxa"/>
            <w:vAlign w:val="bottom"/>
            <w:vMerge w:val="continue"/>
            <w:shd w:val="clear" w:color="auto" w:fill="F2F2F2"/>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Male, Asian</w:t>
            </w:r>
          </w:p>
        </w:tc>
        <w:tc>
          <w:tcPr>
            <w:tcW w:w="11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Male, Asian</w:t>
            </w:r>
          </w:p>
        </w:tc>
        <w:tc>
          <w:tcPr>
            <w:tcW w:w="1100" w:type="dxa"/>
            <w:vAlign w:val="bottom"/>
            <w:vMerge w:val="continue"/>
          </w:tcPr>
          <w:p>
            <w:pPr>
              <w:spacing w:after="0"/>
              <w:rPr>
                <w:sz w:val="4"/>
                <w:szCs w:val="4"/>
                <w:color w:val="auto"/>
              </w:rPr>
            </w:pPr>
          </w:p>
        </w:tc>
        <w:tc>
          <w:tcPr>
            <w:tcW w:w="1120" w:type="dxa"/>
            <w:vAlign w:val="bottom"/>
            <w:vMerge w:val="restart"/>
            <w:shd w:val="clear" w:color="auto" w:fill="F2F2F2"/>
          </w:tcPr>
          <w:p>
            <w:pPr>
              <w:ind w:left="100"/>
              <w:spacing w:after="0"/>
              <w:rPr>
                <w:sz w:val="20"/>
                <w:szCs w:val="20"/>
                <w:color w:val="auto"/>
              </w:rPr>
            </w:pPr>
            <w:r>
              <w:rPr>
                <w:rFonts w:ascii="Arial" w:cs="Arial" w:eastAsia="Arial" w:hAnsi="Arial"/>
                <w:sz w:val="18"/>
                <w:szCs w:val="18"/>
                <w:color w:val="auto"/>
              </w:rPr>
              <w:t>Male, White</w:t>
            </w: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Borders>
              <w:bottom w:val="single" w:sz="8" w:color="BD03F7"/>
            </w:tcBorders>
          </w:tcPr>
          <w:p>
            <w:pPr>
              <w:spacing w:after="0"/>
              <w:rPr>
                <w:sz w:val="19"/>
                <w:szCs w:val="19"/>
                <w:color w:val="auto"/>
              </w:rPr>
            </w:pPr>
          </w:p>
        </w:tc>
        <w:tc>
          <w:tcPr>
            <w:tcW w:w="2080" w:type="dxa"/>
            <w:vAlign w:val="bottom"/>
            <w:tcBorders>
              <w:bottom w:val="single" w:sz="8" w:color="BD03F7"/>
            </w:tcBorders>
          </w:tcPr>
          <w:p>
            <w:pPr>
              <w:spacing w:after="0"/>
              <w:rPr>
                <w:sz w:val="19"/>
                <w:szCs w:val="19"/>
                <w:color w:val="auto"/>
              </w:rPr>
            </w:pPr>
          </w:p>
        </w:tc>
        <w:tc>
          <w:tcPr>
            <w:tcW w:w="110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9"/>
              </w:rPr>
              <w:t>White</w:t>
            </w:r>
          </w:p>
        </w:tc>
        <w:tc>
          <w:tcPr>
            <w:tcW w:w="1100" w:type="dxa"/>
            <w:vAlign w:val="bottom"/>
            <w:tcBorders>
              <w:bottom w:val="single" w:sz="8" w:color="BD03F7"/>
            </w:tcBorders>
            <w:vMerge w:val="continue"/>
          </w:tcPr>
          <w:p>
            <w:pPr>
              <w:spacing w:after="0"/>
              <w:rPr>
                <w:sz w:val="19"/>
                <w:szCs w:val="19"/>
                <w:color w:val="auto"/>
              </w:rPr>
            </w:pPr>
          </w:p>
        </w:tc>
        <w:tc>
          <w:tcPr>
            <w:tcW w:w="112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w w:val="99"/>
              </w:rPr>
              <w:t>Black</w:t>
            </w:r>
          </w:p>
        </w:tc>
        <w:tc>
          <w:tcPr>
            <w:tcW w:w="1100" w:type="dxa"/>
            <w:vAlign w:val="bottom"/>
            <w:tcBorders>
              <w:bottom w:val="single" w:sz="8" w:color="BD03F7"/>
            </w:tcBorders>
            <w:vMerge w:val="continue"/>
          </w:tcPr>
          <w:p>
            <w:pPr>
              <w:spacing w:after="0"/>
              <w:rPr>
                <w:sz w:val="19"/>
                <w:szCs w:val="19"/>
                <w:color w:val="auto"/>
              </w:rPr>
            </w:pPr>
          </w:p>
        </w:tc>
        <w:tc>
          <w:tcPr>
            <w:tcW w:w="1120" w:type="dxa"/>
            <w:vAlign w:val="bottom"/>
            <w:tcBorders>
              <w:bottom w:val="single" w:sz="8" w:color="BD03F7"/>
            </w:tcBorders>
            <w:vMerge w:val="continue"/>
            <w:shd w:val="clear" w:color="auto" w:fill="F2F2F2"/>
          </w:tcPr>
          <w:p>
            <w:pPr>
              <w:spacing w:after="0"/>
              <w:rPr>
                <w:sz w:val="19"/>
                <w:szCs w:val="19"/>
                <w:color w:val="auto"/>
              </w:rPr>
            </w:pPr>
          </w:p>
        </w:tc>
        <w:tc>
          <w:tcPr>
            <w:tcW w:w="1100" w:type="dxa"/>
            <w:vAlign w:val="bottom"/>
            <w:tcBorders>
              <w:bottom w:val="single" w:sz="8" w:color="BD03F7"/>
            </w:tcBorders>
          </w:tcPr>
          <w:p>
            <w:pPr>
              <w:jc w:val="center"/>
              <w:spacing w:after="0"/>
              <w:rPr>
                <w:sz w:val="20"/>
                <w:szCs w:val="20"/>
                <w:color w:val="auto"/>
              </w:rPr>
            </w:pPr>
            <w:r>
              <w:rPr>
                <w:rFonts w:ascii="Arial" w:cs="Arial" w:eastAsia="Arial" w:hAnsi="Arial"/>
                <w:sz w:val="18"/>
                <w:szCs w:val="18"/>
                <w:color w:val="auto"/>
                <w:w w:val="99"/>
              </w:rPr>
              <w:t>White</w:t>
            </w:r>
          </w:p>
        </w:tc>
        <w:tc>
          <w:tcPr>
            <w:tcW w:w="1120" w:type="dxa"/>
            <w:vAlign w:val="bottom"/>
            <w:tcBorders>
              <w:bottom w:val="single" w:sz="8" w:color="BD03F7"/>
            </w:tcBorders>
            <w:vMerge w:val="continue"/>
            <w:shd w:val="clear" w:color="auto" w:fill="F2F2F2"/>
          </w:tcPr>
          <w:p>
            <w:pPr>
              <w:spacing w:after="0"/>
              <w:rPr>
                <w:sz w:val="19"/>
                <w:szCs w:val="19"/>
                <w:color w:val="auto"/>
              </w:rPr>
            </w:pPr>
          </w:p>
        </w:tc>
        <w:tc>
          <w:tcPr>
            <w:tcW w:w="1120" w:type="dxa"/>
            <w:vAlign w:val="bottom"/>
            <w:tcBorders>
              <w:bottom w:val="single" w:sz="8" w:color="BD03F7"/>
            </w:tcBorders>
          </w:tcPr>
          <w:p>
            <w:pPr>
              <w:jc w:val="center"/>
              <w:spacing w:after="0"/>
              <w:rPr>
                <w:sz w:val="20"/>
                <w:szCs w:val="20"/>
                <w:color w:val="auto"/>
              </w:rPr>
            </w:pPr>
            <w:r>
              <w:rPr>
                <w:rFonts w:ascii="Arial" w:cs="Arial" w:eastAsia="Arial" w:hAnsi="Arial"/>
                <w:sz w:val="18"/>
                <w:szCs w:val="18"/>
                <w:color w:val="auto"/>
                <w:w w:val="95"/>
              </w:rPr>
              <w:t>White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1"/>
        </w:trPr>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7179945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6279515</wp:posOffset>
            </wp:positionH>
            <wp:positionV relativeFrom="paragraph">
              <wp:posOffset>-314960</wp:posOffset>
            </wp:positionV>
            <wp:extent cx="776605" cy="161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6605" cy="16192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80"/>
        <w:spacing w:after="0"/>
        <w:rPr>
          <w:sz w:val="20"/>
          <w:szCs w:val="20"/>
          <w:color w:val="auto"/>
        </w:rPr>
      </w:pPr>
      <w:r>
        <w:rPr>
          <w:rFonts w:ascii="Arial" w:cs="Arial" w:eastAsia="Arial" w:hAnsi="Arial"/>
          <w:sz w:val="36"/>
          <w:szCs w:val="36"/>
          <w:b w:val="1"/>
          <w:bCs w:val="1"/>
          <w:color w:val="auto"/>
        </w:rPr>
        <w:t>DIRECTOR NOMINATIONS AND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230505</wp:posOffset>
            </wp:positionV>
            <wp:extent cx="67868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86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NOMINATION PROCESS</w:t>
      </w:r>
    </w:p>
    <w:p>
      <w:pPr>
        <w:spacing w:after="0" w:line="236" w:lineRule="exact"/>
        <w:rPr>
          <w:sz w:val="20"/>
          <w:szCs w:val="20"/>
          <w:color w:val="auto"/>
        </w:rPr>
      </w:pPr>
    </w:p>
    <w:p>
      <w:pPr>
        <w:ind w:left="660" w:right="260"/>
        <w:spacing w:after="0" w:line="269" w:lineRule="auto"/>
        <w:rPr>
          <w:sz w:val="20"/>
          <w:szCs w:val="20"/>
          <w:color w:val="auto"/>
        </w:rPr>
      </w:pPr>
      <w:r>
        <w:rPr>
          <w:rFonts w:ascii="Arial" w:cs="Arial" w:eastAsia="Arial" w:hAnsi="Arial"/>
          <w:sz w:val="18"/>
          <w:szCs w:val="18"/>
          <w:color w:val="auto"/>
        </w:rPr>
        <w:t>The Governance and Sustainability Committee is responsible for identifying and evaluating potential director candidates, reviewing Board and Committee composition, and making recommendations to the full Board.</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362"/>
        </w:trPr>
        <w:tc>
          <w:tcPr>
            <w:tcW w:w="660" w:type="dxa"/>
            <w:vAlign w:val="bottom"/>
          </w:tcPr>
          <w:p>
            <w:pPr>
              <w:ind w:left="340"/>
              <w:spacing w:after="0"/>
              <w:rPr>
                <w:sz w:val="20"/>
                <w:szCs w:val="20"/>
                <w:color w:val="auto"/>
              </w:rPr>
            </w:pPr>
            <w:r>
              <w:rPr>
                <w:rFonts w:ascii="Arial" w:cs="Arial" w:eastAsia="Arial" w:hAnsi="Arial"/>
                <w:sz w:val="29"/>
                <w:szCs w:val="29"/>
                <w:b w:val="1"/>
                <w:bCs w:val="1"/>
                <w:color w:val="auto"/>
              </w:rPr>
              <w:t>1</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29"/>
                <w:szCs w:val="29"/>
                <w:b w:val="1"/>
                <w:bCs w:val="1"/>
                <w:color w:val="auto"/>
              </w:rPr>
              <w:t>2</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29"/>
                <w:szCs w:val="29"/>
                <w:b w:val="1"/>
                <w:bCs w:val="1"/>
                <w:color w:val="auto"/>
              </w:rPr>
              <w:t>3</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160" w:type="dxa"/>
            <w:vAlign w:val="bottom"/>
            <w:gridSpan w:val="3"/>
          </w:tcPr>
          <w:p>
            <w:pPr>
              <w:ind w:left="20"/>
              <w:spacing w:after="0" w:line="202" w:lineRule="exact"/>
              <w:rPr>
                <w:sz w:val="20"/>
                <w:szCs w:val="20"/>
                <w:color w:val="auto"/>
              </w:rPr>
            </w:pPr>
            <w:r>
              <w:rPr>
                <w:rFonts w:ascii="Arial" w:cs="Arial" w:eastAsia="Arial" w:hAnsi="Arial"/>
                <w:sz w:val="20"/>
                <w:szCs w:val="20"/>
                <w:color w:val="auto"/>
              </w:rPr>
              <w:t>Director Succession Planning</w:t>
            </w:r>
          </w:p>
        </w:tc>
        <w:tc>
          <w:tcPr>
            <w:tcW w:w="3420" w:type="dxa"/>
            <w:vAlign w:val="bottom"/>
            <w:gridSpan w:val="3"/>
          </w:tcPr>
          <w:p>
            <w:pPr>
              <w:spacing w:after="0" w:line="202" w:lineRule="exact"/>
              <w:rPr>
                <w:sz w:val="20"/>
                <w:szCs w:val="20"/>
                <w:color w:val="auto"/>
              </w:rPr>
            </w:pPr>
            <w:r>
              <w:rPr>
                <w:rFonts w:ascii="Arial" w:cs="Arial" w:eastAsia="Arial" w:hAnsi="Arial"/>
                <w:sz w:val="20"/>
                <w:szCs w:val="20"/>
                <w:color w:val="auto"/>
              </w:rPr>
              <w:t>Board and Committee Self-</w:t>
            </w:r>
          </w:p>
        </w:tc>
        <w:tc>
          <w:tcPr>
            <w:tcW w:w="3320" w:type="dxa"/>
            <w:vAlign w:val="bottom"/>
            <w:gridSpan w:val="2"/>
          </w:tcPr>
          <w:p>
            <w:pPr>
              <w:ind w:left="20"/>
              <w:spacing w:after="0" w:line="202" w:lineRule="exact"/>
              <w:rPr>
                <w:sz w:val="20"/>
                <w:szCs w:val="20"/>
                <w:color w:val="auto"/>
              </w:rPr>
            </w:pPr>
            <w:r>
              <w:rPr>
                <w:rFonts w:ascii="Arial" w:cs="Arial" w:eastAsia="Arial" w:hAnsi="Arial"/>
                <w:sz w:val="20"/>
                <w:szCs w:val="20"/>
                <w:color w:val="auto"/>
              </w:rPr>
              <w:t>Tenure, Skills &amp; Background</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3"/>
          </w:tcPr>
          <w:p>
            <w:pPr>
              <w:spacing w:after="0"/>
              <w:rPr>
                <w:sz w:val="20"/>
                <w:szCs w:val="20"/>
                <w:color w:val="auto"/>
              </w:rPr>
            </w:pPr>
            <w:r>
              <w:rPr>
                <w:rFonts w:ascii="Arial" w:cs="Arial" w:eastAsia="Arial" w:hAnsi="Arial"/>
                <w:sz w:val="20"/>
                <w:szCs w:val="20"/>
                <w:color w:val="auto"/>
              </w:rPr>
              <w:t>Evaluations</w:t>
            </w:r>
          </w:p>
        </w:tc>
        <w:tc>
          <w:tcPr>
            <w:tcW w:w="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660" w:type="dxa"/>
            <w:vAlign w:val="bottom"/>
            <w:tcBorders>
              <w:top w:val="single" w:sz="8" w:color="BD03F7"/>
            </w:tcBorders>
          </w:tcPr>
          <w:p>
            <w:pPr>
              <w:spacing w:after="0"/>
              <w:rPr>
                <w:sz w:val="16"/>
                <w:szCs w:val="16"/>
                <w:color w:val="auto"/>
              </w:rPr>
            </w:pPr>
          </w:p>
        </w:tc>
        <w:tc>
          <w:tcPr>
            <w:tcW w:w="2400" w:type="dxa"/>
            <w:vAlign w:val="bottom"/>
            <w:tcBorders>
              <w:top w:val="single" w:sz="8" w:color="BD03F7"/>
            </w:tcBorders>
          </w:tcPr>
          <w:p>
            <w:pPr>
              <w:ind w:left="140"/>
              <w:spacing w:after="0" w:line="186" w:lineRule="exact"/>
              <w:rPr>
                <w:sz w:val="20"/>
                <w:szCs w:val="20"/>
                <w:color w:val="auto"/>
              </w:rPr>
            </w:pPr>
            <w:r>
              <w:rPr>
                <w:rFonts w:ascii="Arial" w:cs="Arial" w:eastAsia="Arial" w:hAnsi="Arial"/>
                <w:sz w:val="20"/>
                <w:szCs w:val="20"/>
                <w:color w:val="auto"/>
              </w:rPr>
              <w:t>The Governance and</w:t>
            </w:r>
          </w:p>
        </w:tc>
        <w:tc>
          <w:tcPr>
            <w:tcW w:w="100" w:type="dxa"/>
            <w:vAlign w:val="bottom"/>
          </w:tcPr>
          <w:p>
            <w:pPr>
              <w:spacing w:after="0"/>
              <w:rPr>
                <w:sz w:val="16"/>
                <w:szCs w:val="16"/>
                <w:color w:val="auto"/>
              </w:rPr>
            </w:pPr>
          </w:p>
        </w:tc>
        <w:tc>
          <w:tcPr>
            <w:tcW w:w="680" w:type="dxa"/>
            <w:vAlign w:val="bottom"/>
            <w:tcBorders>
              <w:top w:val="single" w:sz="8" w:color="BD03F7"/>
            </w:tcBorders>
          </w:tcPr>
          <w:p>
            <w:pPr>
              <w:spacing w:after="0"/>
              <w:rPr>
                <w:sz w:val="16"/>
                <w:szCs w:val="16"/>
                <w:color w:val="auto"/>
              </w:rPr>
            </w:pPr>
          </w:p>
        </w:tc>
        <w:tc>
          <w:tcPr>
            <w:tcW w:w="2620" w:type="dxa"/>
            <w:vAlign w:val="bottom"/>
            <w:tcBorders>
              <w:top w:val="single" w:sz="8" w:color="BD03F7"/>
            </w:tcBorders>
          </w:tcPr>
          <w:p>
            <w:pPr>
              <w:ind w:left="160"/>
              <w:spacing w:after="0" w:line="186" w:lineRule="exact"/>
              <w:rPr>
                <w:sz w:val="20"/>
                <w:szCs w:val="20"/>
                <w:color w:val="auto"/>
              </w:rPr>
            </w:pPr>
            <w:r>
              <w:rPr>
                <w:rFonts w:ascii="Arial" w:cs="Arial" w:eastAsia="Arial" w:hAnsi="Arial"/>
                <w:sz w:val="20"/>
                <w:szCs w:val="20"/>
                <w:color w:val="auto"/>
              </w:rPr>
              <w:t>Annual Board and</w:t>
            </w:r>
          </w:p>
        </w:tc>
        <w:tc>
          <w:tcPr>
            <w:tcW w:w="120" w:type="dxa"/>
            <w:vAlign w:val="bottom"/>
          </w:tcPr>
          <w:p>
            <w:pPr>
              <w:spacing w:after="0"/>
              <w:rPr>
                <w:sz w:val="16"/>
                <w:szCs w:val="16"/>
                <w:color w:val="auto"/>
              </w:rPr>
            </w:pPr>
          </w:p>
        </w:tc>
        <w:tc>
          <w:tcPr>
            <w:tcW w:w="700" w:type="dxa"/>
            <w:vAlign w:val="bottom"/>
            <w:tcBorders>
              <w:top w:val="single" w:sz="8" w:color="BD03F7"/>
            </w:tcBorders>
          </w:tcPr>
          <w:p>
            <w:pPr>
              <w:spacing w:after="0"/>
              <w:rPr>
                <w:sz w:val="16"/>
                <w:szCs w:val="16"/>
                <w:color w:val="auto"/>
              </w:rPr>
            </w:pPr>
          </w:p>
        </w:tc>
        <w:tc>
          <w:tcPr>
            <w:tcW w:w="2620" w:type="dxa"/>
            <w:vAlign w:val="bottom"/>
            <w:tcBorders>
              <w:top w:val="single" w:sz="8" w:color="BD03F7"/>
            </w:tcBorders>
          </w:tcPr>
          <w:p>
            <w:pPr>
              <w:ind w:left="160"/>
              <w:spacing w:after="0" w:line="186" w:lineRule="exact"/>
              <w:rPr>
                <w:sz w:val="20"/>
                <w:szCs w:val="20"/>
                <w:color w:val="auto"/>
              </w:rPr>
            </w:pPr>
            <w:r>
              <w:rPr>
                <w:rFonts w:ascii="Arial" w:cs="Arial" w:eastAsia="Arial" w:hAnsi="Arial"/>
                <w:sz w:val="20"/>
                <w:szCs w:val="20"/>
                <w:color w:val="auto"/>
                <w:w w:val="98"/>
              </w:rPr>
              <w:t>To ensure the Board has an</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00" w:type="dxa"/>
            <w:vAlign w:val="bottom"/>
            <w:gridSpan w:val="2"/>
          </w:tcPr>
          <w:p>
            <w:pPr>
              <w:ind w:left="140"/>
              <w:spacing w:after="0" w:line="202" w:lineRule="exact"/>
              <w:rPr>
                <w:sz w:val="20"/>
                <w:szCs w:val="20"/>
                <w:color w:val="auto"/>
              </w:rPr>
            </w:pPr>
            <w:r>
              <w:rPr>
                <w:rFonts w:ascii="Arial" w:cs="Arial" w:eastAsia="Arial" w:hAnsi="Arial"/>
                <w:sz w:val="20"/>
                <w:szCs w:val="20"/>
                <w:color w:val="auto"/>
              </w:rPr>
              <w:t>Sustainability Committee</w:t>
            </w:r>
          </w:p>
        </w:tc>
        <w:tc>
          <w:tcPr>
            <w:tcW w:w="680" w:type="dxa"/>
            <w:vAlign w:val="bottom"/>
          </w:tcPr>
          <w:p>
            <w:pPr>
              <w:spacing w:after="0"/>
              <w:rPr>
                <w:sz w:val="17"/>
                <w:szCs w:val="17"/>
                <w:color w:val="auto"/>
              </w:rPr>
            </w:pPr>
          </w:p>
        </w:tc>
        <w:tc>
          <w:tcPr>
            <w:tcW w:w="2740" w:type="dxa"/>
            <w:vAlign w:val="bottom"/>
            <w:gridSpan w:val="2"/>
          </w:tcPr>
          <w:p>
            <w:pPr>
              <w:ind w:left="160"/>
              <w:spacing w:after="0" w:line="202" w:lineRule="exact"/>
              <w:rPr>
                <w:sz w:val="20"/>
                <w:szCs w:val="20"/>
                <w:color w:val="auto"/>
              </w:rPr>
            </w:pPr>
            <w:r>
              <w:rPr>
                <w:rFonts w:ascii="Arial" w:cs="Arial" w:eastAsia="Arial" w:hAnsi="Arial"/>
                <w:sz w:val="20"/>
                <w:szCs w:val="20"/>
                <w:color w:val="auto"/>
              </w:rPr>
              <w:t>Committee evaluations help</w:t>
            </w:r>
          </w:p>
        </w:tc>
        <w:tc>
          <w:tcPr>
            <w:tcW w:w="700" w:type="dxa"/>
            <w:vAlign w:val="bottom"/>
          </w:tcPr>
          <w:p>
            <w:pPr>
              <w:spacing w:after="0"/>
              <w:rPr>
                <w:sz w:val="17"/>
                <w:szCs w:val="17"/>
                <w:color w:val="auto"/>
              </w:rPr>
            </w:pPr>
          </w:p>
        </w:tc>
        <w:tc>
          <w:tcPr>
            <w:tcW w:w="2620" w:type="dxa"/>
            <w:vAlign w:val="bottom"/>
          </w:tcPr>
          <w:p>
            <w:pPr>
              <w:ind w:left="160"/>
              <w:spacing w:after="0" w:line="202" w:lineRule="exact"/>
              <w:rPr>
                <w:sz w:val="20"/>
                <w:szCs w:val="20"/>
                <w:color w:val="auto"/>
              </w:rPr>
            </w:pPr>
            <w:r>
              <w:rPr>
                <w:rFonts w:ascii="Arial" w:cs="Arial" w:eastAsia="Arial" w:hAnsi="Arial"/>
                <w:sz w:val="20"/>
                <w:szCs w:val="20"/>
                <w:color w:val="auto"/>
              </w:rPr>
              <w:t>appropriate balance of</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500" w:type="dxa"/>
            <w:vAlign w:val="bottom"/>
            <w:gridSpan w:val="2"/>
          </w:tcPr>
          <w:p>
            <w:pPr>
              <w:ind w:left="140"/>
              <w:spacing w:after="0" w:line="196" w:lineRule="exact"/>
              <w:rPr>
                <w:sz w:val="20"/>
                <w:szCs w:val="20"/>
                <w:color w:val="auto"/>
              </w:rPr>
            </w:pPr>
            <w:r>
              <w:rPr>
                <w:rFonts w:ascii="Arial" w:cs="Arial" w:eastAsia="Arial" w:hAnsi="Arial"/>
                <w:sz w:val="20"/>
                <w:szCs w:val="20"/>
                <w:color w:val="auto"/>
              </w:rPr>
              <w:t>conducts regular reviews</w:t>
            </w:r>
          </w:p>
        </w:tc>
        <w:tc>
          <w:tcPr>
            <w:tcW w:w="680" w:type="dxa"/>
            <w:vAlign w:val="bottom"/>
          </w:tcPr>
          <w:p>
            <w:pPr>
              <w:spacing w:after="0"/>
              <w:rPr>
                <w:sz w:val="17"/>
                <w:szCs w:val="17"/>
                <w:color w:val="auto"/>
              </w:rPr>
            </w:pPr>
          </w:p>
        </w:tc>
        <w:tc>
          <w:tcPr>
            <w:tcW w:w="2740" w:type="dxa"/>
            <w:vAlign w:val="bottom"/>
            <w:gridSpan w:val="2"/>
          </w:tcPr>
          <w:p>
            <w:pPr>
              <w:ind w:left="160"/>
              <w:spacing w:after="0" w:line="196" w:lineRule="exact"/>
              <w:rPr>
                <w:sz w:val="20"/>
                <w:szCs w:val="20"/>
                <w:color w:val="auto"/>
              </w:rPr>
            </w:pPr>
            <w:r>
              <w:rPr>
                <w:rFonts w:ascii="Arial" w:cs="Arial" w:eastAsia="Arial" w:hAnsi="Arial"/>
                <w:sz w:val="20"/>
                <w:szCs w:val="20"/>
                <w:color w:val="auto"/>
              </w:rPr>
              <w:t>identify director skills that</w:t>
            </w:r>
          </w:p>
        </w:tc>
        <w:tc>
          <w:tcPr>
            <w:tcW w:w="700" w:type="dxa"/>
            <w:vAlign w:val="bottom"/>
          </w:tcPr>
          <w:p>
            <w:pPr>
              <w:spacing w:after="0"/>
              <w:rPr>
                <w:sz w:val="17"/>
                <w:szCs w:val="17"/>
                <w:color w:val="auto"/>
              </w:rPr>
            </w:pPr>
          </w:p>
        </w:tc>
        <w:tc>
          <w:tcPr>
            <w:tcW w:w="2620" w:type="dxa"/>
            <w:vAlign w:val="bottom"/>
          </w:tcPr>
          <w:p>
            <w:pPr>
              <w:ind w:left="160"/>
              <w:spacing w:after="0" w:line="196" w:lineRule="exact"/>
              <w:rPr>
                <w:sz w:val="20"/>
                <w:szCs w:val="20"/>
                <w:color w:val="auto"/>
              </w:rPr>
            </w:pPr>
            <w:r>
              <w:rPr>
                <w:rFonts w:ascii="Arial" w:cs="Arial" w:eastAsia="Arial" w:hAnsi="Arial"/>
                <w:sz w:val="20"/>
                <w:szCs w:val="20"/>
                <w:color w:val="auto"/>
              </w:rPr>
              <w:t>experience, continuity and</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500" w:type="dxa"/>
            <w:vAlign w:val="bottom"/>
            <w:gridSpan w:val="2"/>
          </w:tcPr>
          <w:p>
            <w:pPr>
              <w:ind w:left="140"/>
              <w:spacing w:after="0" w:line="193" w:lineRule="exact"/>
              <w:rPr>
                <w:sz w:val="20"/>
                <w:szCs w:val="20"/>
                <w:color w:val="auto"/>
              </w:rPr>
            </w:pPr>
            <w:r>
              <w:rPr>
                <w:rFonts w:ascii="Arial" w:cs="Arial" w:eastAsia="Arial" w:hAnsi="Arial"/>
                <w:sz w:val="20"/>
                <w:szCs w:val="20"/>
                <w:color w:val="auto"/>
              </w:rPr>
              <w:t>of the size and</w:t>
            </w:r>
          </w:p>
        </w:tc>
        <w:tc>
          <w:tcPr>
            <w:tcW w:w="680" w:type="dxa"/>
            <w:vAlign w:val="bottom"/>
          </w:tcPr>
          <w:p>
            <w:pPr>
              <w:spacing w:after="0"/>
              <w:rPr>
                <w:sz w:val="16"/>
                <w:szCs w:val="16"/>
                <w:color w:val="auto"/>
              </w:rPr>
            </w:pPr>
          </w:p>
        </w:tc>
        <w:tc>
          <w:tcPr>
            <w:tcW w:w="2740" w:type="dxa"/>
            <w:vAlign w:val="bottom"/>
            <w:gridSpan w:val="2"/>
          </w:tcPr>
          <w:p>
            <w:pPr>
              <w:ind w:left="160"/>
              <w:spacing w:after="0" w:line="193" w:lineRule="exact"/>
              <w:rPr>
                <w:sz w:val="20"/>
                <w:szCs w:val="20"/>
                <w:color w:val="auto"/>
              </w:rPr>
            </w:pPr>
            <w:r>
              <w:rPr>
                <w:rFonts w:ascii="Arial" w:cs="Arial" w:eastAsia="Arial" w:hAnsi="Arial"/>
                <w:sz w:val="20"/>
                <w:szCs w:val="20"/>
                <w:color w:val="auto"/>
              </w:rPr>
              <w:t>would enhance Board</w:t>
            </w:r>
          </w:p>
        </w:tc>
        <w:tc>
          <w:tcPr>
            <w:tcW w:w="700" w:type="dxa"/>
            <w:vAlign w:val="bottom"/>
          </w:tcPr>
          <w:p>
            <w:pPr>
              <w:spacing w:after="0"/>
              <w:rPr>
                <w:sz w:val="16"/>
                <w:szCs w:val="16"/>
                <w:color w:val="auto"/>
              </w:rPr>
            </w:pPr>
          </w:p>
        </w:tc>
        <w:tc>
          <w:tcPr>
            <w:tcW w:w="2620" w:type="dxa"/>
            <w:vAlign w:val="bottom"/>
          </w:tcPr>
          <w:p>
            <w:pPr>
              <w:ind w:left="160"/>
              <w:spacing w:after="0" w:line="193" w:lineRule="exact"/>
              <w:rPr>
                <w:sz w:val="20"/>
                <w:szCs w:val="20"/>
                <w:color w:val="auto"/>
              </w:rPr>
            </w:pPr>
            <w:r>
              <w:rPr>
                <w:rFonts w:ascii="Arial" w:cs="Arial" w:eastAsia="Arial" w:hAnsi="Arial"/>
                <w:sz w:val="20"/>
                <w:szCs w:val="20"/>
                <w:color w:val="auto"/>
              </w:rPr>
              <w:t>fresh perspective, the</w:t>
            </w:r>
          </w:p>
        </w:tc>
        <w:tc>
          <w:tcPr>
            <w:tcW w:w="0" w:type="dxa"/>
            <w:vAlign w:val="bottom"/>
          </w:tcPr>
          <w:p>
            <w:pPr>
              <w:spacing w:after="0"/>
              <w:rPr>
                <w:sz w:val="1"/>
                <w:szCs w:val="1"/>
                <w:color w:val="auto"/>
              </w:rPr>
            </w:pPr>
          </w:p>
        </w:tc>
      </w:tr>
      <w:tr>
        <w:trPr>
          <w:trHeight w:val="202"/>
        </w:trPr>
        <w:tc>
          <w:tcPr>
            <w:tcW w:w="660" w:type="dxa"/>
            <w:vAlign w:val="bottom"/>
            <w:vMerge w:val="restart"/>
          </w:tcPr>
          <w:p>
            <w:pPr>
              <w:ind w:left="340"/>
              <w:spacing w:after="0"/>
              <w:rPr>
                <w:sz w:val="20"/>
                <w:szCs w:val="20"/>
                <w:color w:val="auto"/>
              </w:rPr>
            </w:pPr>
            <w:r>
              <w:rPr>
                <w:rFonts w:ascii="Arial" w:cs="Arial" w:eastAsia="Arial" w:hAnsi="Arial"/>
                <w:sz w:val="29"/>
                <w:szCs w:val="29"/>
                <w:color w:val="BD03F7"/>
              </w:rPr>
              <w:t>•</w:t>
            </w:r>
          </w:p>
        </w:tc>
        <w:tc>
          <w:tcPr>
            <w:tcW w:w="2500" w:type="dxa"/>
            <w:vAlign w:val="bottom"/>
            <w:gridSpan w:val="2"/>
          </w:tcPr>
          <w:p>
            <w:pPr>
              <w:ind w:left="140"/>
              <w:spacing w:after="0" w:line="202" w:lineRule="exact"/>
              <w:rPr>
                <w:sz w:val="20"/>
                <w:szCs w:val="20"/>
                <w:color w:val="auto"/>
              </w:rPr>
            </w:pPr>
            <w:r>
              <w:rPr>
                <w:rFonts w:ascii="Arial" w:cs="Arial" w:eastAsia="Arial" w:hAnsi="Arial"/>
                <w:sz w:val="20"/>
                <w:szCs w:val="20"/>
                <w:color w:val="auto"/>
              </w:rPr>
              <w:t>composition of the Board,</w:t>
            </w:r>
          </w:p>
        </w:tc>
        <w:tc>
          <w:tcPr>
            <w:tcW w:w="680" w:type="dxa"/>
            <w:vAlign w:val="bottom"/>
            <w:vMerge w:val="restart"/>
          </w:tcPr>
          <w:p>
            <w:pPr>
              <w:ind w:left="340"/>
              <w:spacing w:after="0"/>
              <w:rPr>
                <w:sz w:val="20"/>
                <w:szCs w:val="20"/>
                <w:color w:val="auto"/>
              </w:rPr>
            </w:pPr>
            <w:r>
              <w:rPr>
                <w:rFonts w:ascii="Arial" w:cs="Arial" w:eastAsia="Arial" w:hAnsi="Arial"/>
                <w:sz w:val="29"/>
                <w:szCs w:val="29"/>
                <w:color w:val="BD03F7"/>
              </w:rPr>
              <w:t>•</w:t>
            </w:r>
          </w:p>
        </w:tc>
        <w:tc>
          <w:tcPr>
            <w:tcW w:w="2740" w:type="dxa"/>
            <w:vAlign w:val="bottom"/>
            <w:gridSpan w:val="2"/>
          </w:tcPr>
          <w:p>
            <w:pPr>
              <w:ind w:left="160"/>
              <w:spacing w:after="0" w:line="202" w:lineRule="exact"/>
              <w:rPr>
                <w:sz w:val="20"/>
                <w:szCs w:val="20"/>
                <w:color w:val="auto"/>
              </w:rPr>
            </w:pPr>
            <w:r>
              <w:rPr>
                <w:rFonts w:ascii="Arial" w:cs="Arial" w:eastAsia="Arial" w:hAnsi="Arial"/>
                <w:sz w:val="20"/>
                <w:szCs w:val="20"/>
                <w:color w:val="auto"/>
              </w:rPr>
              <w:t>effectiveness, and areas for</w:t>
            </w:r>
          </w:p>
        </w:tc>
        <w:tc>
          <w:tcPr>
            <w:tcW w:w="700" w:type="dxa"/>
            <w:vAlign w:val="bottom"/>
            <w:vMerge w:val="restart"/>
          </w:tcPr>
          <w:p>
            <w:pPr>
              <w:ind w:left="360"/>
              <w:spacing w:after="0"/>
              <w:rPr>
                <w:sz w:val="20"/>
                <w:szCs w:val="20"/>
                <w:color w:val="auto"/>
              </w:rPr>
            </w:pPr>
            <w:r>
              <w:rPr>
                <w:rFonts w:ascii="Arial" w:cs="Arial" w:eastAsia="Arial" w:hAnsi="Arial"/>
                <w:sz w:val="29"/>
                <w:szCs w:val="29"/>
                <w:color w:val="BD03F7"/>
              </w:rPr>
              <w:t>•</w:t>
            </w:r>
          </w:p>
        </w:tc>
        <w:tc>
          <w:tcPr>
            <w:tcW w:w="2620" w:type="dxa"/>
            <w:vAlign w:val="bottom"/>
          </w:tcPr>
          <w:p>
            <w:pPr>
              <w:ind w:left="160"/>
              <w:spacing w:after="0" w:line="202" w:lineRule="exact"/>
              <w:rPr>
                <w:sz w:val="20"/>
                <w:szCs w:val="20"/>
                <w:color w:val="auto"/>
              </w:rPr>
            </w:pPr>
            <w:r>
              <w:rPr>
                <w:rFonts w:ascii="Arial" w:cs="Arial" w:eastAsia="Arial" w:hAnsi="Arial"/>
                <w:sz w:val="20"/>
                <w:szCs w:val="20"/>
                <w:color w:val="auto"/>
              </w:rPr>
              <w:t>Board considers length of</w:t>
            </w: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2500" w:type="dxa"/>
            <w:vAlign w:val="bottom"/>
            <w:gridSpan w:val="2"/>
          </w:tcPr>
          <w:p>
            <w:pPr>
              <w:ind w:left="140"/>
              <w:spacing w:after="0" w:line="196" w:lineRule="exact"/>
              <w:rPr>
                <w:sz w:val="20"/>
                <w:szCs w:val="20"/>
                <w:color w:val="auto"/>
              </w:rPr>
            </w:pPr>
            <w:r>
              <w:rPr>
                <w:rFonts w:ascii="Arial" w:cs="Arial" w:eastAsia="Arial" w:hAnsi="Arial"/>
                <w:sz w:val="20"/>
                <w:szCs w:val="20"/>
                <w:color w:val="auto"/>
              </w:rPr>
              <w:t>including anticipating</w:t>
            </w:r>
          </w:p>
        </w:tc>
        <w:tc>
          <w:tcPr>
            <w:tcW w:w="680" w:type="dxa"/>
            <w:vAlign w:val="bottom"/>
            <w:vMerge w:val="continue"/>
          </w:tcPr>
          <w:p>
            <w:pPr>
              <w:spacing w:after="0"/>
              <w:rPr>
                <w:sz w:val="17"/>
                <w:szCs w:val="17"/>
                <w:color w:val="auto"/>
              </w:rPr>
            </w:pPr>
          </w:p>
        </w:tc>
        <w:tc>
          <w:tcPr>
            <w:tcW w:w="2740" w:type="dxa"/>
            <w:vAlign w:val="bottom"/>
            <w:gridSpan w:val="2"/>
          </w:tcPr>
          <w:p>
            <w:pPr>
              <w:ind w:left="160"/>
              <w:spacing w:after="0" w:line="196" w:lineRule="exact"/>
              <w:rPr>
                <w:sz w:val="20"/>
                <w:szCs w:val="20"/>
                <w:color w:val="auto"/>
              </w:rPr>
            </w:pPr>
            <w:r>
              <w:rPr>
                <w:rFonts w:ascii="Arial" w:cs="Arial" w:eastAsia="Arial" w:hAnsi="Arial"/>
                <w:sz w:val="20"/>
                <w:szCs w:val="20"/>
                <w:color w:val="auto"/>
              </w:rPr>
              <w:t>improvement.</w:t>
            </w:r>
          </w:p>
        </w:tc>
        <w:tc>
          <w:tcPr>
            <w:tcW w:w="700" w:type="dxa"/>
            <w:vAlign w:val="bottom"/>
            <w:vMerge w:val="continue"/>
          </w:tcPr>
          <w:p>
            <w:pPr>
              <w:spacing w:after="0"/>
              <w:rPr>
                <w:sz w:val="17"/>
                <w:szCs w:val="17"/>
                <w:color w:val="auto"/>
              </w:rPr>
            </w:pPr>
          </w:p>
        </w:tc>
        <w:tc>
          <w:tcPr>
            <w:tcW w:w="2620" w:type="dxa"/>
            <w:vAlign w:val="bottom"/>
          </w:tcPr>
          <w:p>
            <w:pPr>
              <w:ind w:left="160"/>
              <w:spacing w:after="0" w:line="196" w:lineRule="exact"/>
              <w:rPr>
                <w:sz w:val="20"/>
                <w:szCs w:val="20"/>
                <w:color w:val="auto"/>
              </w:rPr>
            </w:pPr>
            <w:r>
              <w:rPr>
                <w:rFonts w:ascii="Arial" w:cs="Arial" w:eastAsia="Arial" w:hAnsi="Arial"/>
                <w:sz w:val="20"/>
                <w:szCs w:val="20"/>
                <w:color w:val="auto"/>
              </w:rPr>
              <w:t>tenure when reviewing</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500" w:type="dxa"/>
            <w:vAlign w:val="bottom"/>
            <w:gridSpan w:val="2"/>
          </w:tcPr>
          <w:p>
            <w:pPr>
              <w:ind w:left="140"/>
              <w:spacing w:after="0" w:line="193" w:lineRule="exact"/>
              <w:rPr>
                <w:sz w:val="20"/>
                <w:szCs w:val="20"/>
                <w:color w:val="auto"/>
              </w:rPr>
            </w:pPr>
            <w:r>
              <w:rPr>
                <w:rFonts w:ascii="Arial" w:cs="Arial" w:eastAsia="Arial" w:hAnsi="Arial"/>
                <w:sz w:val="20"/>
                <w:szCs w:val="20"/>
                <w:color w:val="auto"/>
              </w:rPr>
              <w:t>vacancies and required</w:t>
            </w:r>
          </w:p>
        </w:tc>
        <w:tc>
          <w:tcPr>
            <w:tcW w:w="6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20" w:type="dxa"/>
            <w:vAlign w:val="bottom"/>
          </w:tcPr>
          <w:p>
            <w:pPr>
              <w:ind w:left="160"/>
              <w:spacing w:after="0" w:line="193" w:lineRule="exact"/>
              <w:rPr>
                <w:sz w:val="20"/>
                <w:szCs w:val="20"/>
                <w:color w:val="auto"/>
              </w:rPr>
            </w:pPr>
            <w:r>
              <w:rPr>
                <w:rFonts w:ascii="Arial" w:cs="Arial" w:eastAsia="Arial" w:hAnsi="Arial"/>
                <w:sz w:val="20"/>
                <w:szCs w:val="20"/>
                <w:color w:val="auto"/>
              </w:rPr>
              <w:t>nominees.</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00" w:type="dxa"/>
            <w:vAlign w:val="bottom"/>
            <w:gridSpan w:val="2"/>
          </w:tcPr>
          <w:p>
            <w:pPr>
              <w:ind w:left="140"/>
              <w:spacing w:after="0" w:line="202" w:lineRule="exact"/>
              <w:rPr>
                <w:sz w:val="20"/>
                <w:szCs w:val="20"/>
                <w:color w:val="auto"/>
              </w:rPr>
            </w:pPr>
            <w:r>
              <w:rPr>
                <w:rFonts w:ascii="Arial" w:cs="Arial" w:eastAsia="Arial" w:hAnsi="Arial"/>
                <w:sz w:val="20"/>
                <w:szCs w:val="20"/>
                <w:color w:val="auto"/>
              </w:rPr>
              <w:t>expertise for the effective</w:t>
            </w: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500" w:type="dxa"/>
            <w:vAlign w:val="bottom"/>
            <w:gridSpan w:val="2"/>
          </w:tcPr>
          <w:p>
            <w:pPr>
              <w:ind w:left="140"/>
              <w:spacing w:after="0" w:line="196" w:lineRule="exact"/>
              <w:rPr>
                <w:sz w:val="20"/>
                <w:szCs w:val="20"/>
                <w:color w:val="auto"/>
              </w:rPr>
            </w:pPr>
            <w:r>
              <w:rPr>
                <w:rFonts w:ascii="Arial" w:cs="Arial" w:eastAsia="Arial" w:hAnsi="Arial"/>
                <w:sz w:val="20"/>
                <w:szCs w:val="20"/>
                <w:color w:val="auto"/>
              </w:rPr>
              <w:t>oversight of the</w:t>
            </w: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2500" w:type="dxa"/>
            <w:vAlign w:val="bottom"/>
            <w:gridSpan w:val="2"/>
          </w:tcPr>
          <w:p>
            <w:pPr>
              <w:ind w:left="140"/>
              <w:spacing w:after="0"/>
              <w:rPr>
                <w:sz w:val="20"/>
                <w:szCs w:val="20"/>
                <w:color w:val="auto"/>
              </w:rPr>
            </w:pPr>
            <w:r>
              <w:rPr>
                <w:rFonts w:ascii="Arial" w:cs="Arial" w:eastAsia="Arial" w:hAnsi="Arial"/>
                <w:sz w:val="20"/>
                <w:szCs w:val="20"/>
                <w:color w:val="auto"/>
              </w:rPr>
              <w:t>Company.</w:t>
            </w:r>
          </w:p>
        </w:tc>
        <w:tc>
          <w:tcPr>
            <w:tcW w:w="6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2500" w:type="dxa"/>
            <w:vAlign w:val="bottom"/>
            <w:gridSpan w:val="2"/>
          </w:tcPr>
          <w:p>
            <w:pPr>
              <w:ind w:left="140"/>
              <w:spacing w:after="0"/>
              <w:rPr>
                <w:sz w:val="20"/>
                <w:szCs w:val="20"/>
                <w:color w:val="auto"/>
              </w:rPr>
            </w:pPr>
            <w:r>
              <w:rPr>
                <w:rFonts w:ascii="Arial" w:cs="Arial" w:eastAsia="Arial" w:hAnsi="Arial"/>
                <w:sz w:val="20"/>
                <w:szCs w:val="20"/>
                <w:color w:val="auto"/>
              </w:rPr>
              <w:t>The Governance and</w:t>
            </w:r>
          </w:p>
        </w:tc>
        <w:tc>
          <w:tcPr>
            <w:tcW w:w="680" w:type="dxa"/>
            <w:vAlign w:val="bottom"/>
          </w:tcPr>
          <w:p>
            <w:pPr>
              <w:spacing w:after="0"/>
              <w:rPr>
                <w:sz w:val="21"/>
                <w:szCs w:val="21"/>
                <w:color w:val="auto"/>
              </w:rPr>
            </w:pPr>
          </w:p>
        </w:tc>
        <w:tc>
          <w:tcPr>
            <w:tcW w:w="2740" w:type="dxa"/>
            <w:vAlign w:val="bottom"/>
            <w:gridSpan w:val="2"/>
          </w:tcPr>
          <w:p>
            <w:pPr>
              <w:ind w:left="160"/>
              <w:spacing w:after="0"/>
              <w:rPr>
                <w:sz w:val="20"/>
                <w:szCs w:val="20"/>
                <w:color w:val="auto"/>
              </w:rPr>
            </w:pPr>
            <w:r>
              <w:rPr>
                <w:rFonts w:ascii="Arial" w:cs="Arial" w:eastAsia="Arial" w:hAnsi="Arial"/>
                <w:sz w:val="20"/>
                <w:szCs w:val="20"/>
                <w:color w:val="auto"/>
              </w:rPr>
              <w:t>The Governance and</w:t>
            </w:r>
          </w:p>
        </w:tc>
        <w:tc>
          <w:tcPr>
            <w:tcW w:w="700" w:type="dxa"/>
            <w:vAlign w:val="bottom"/>
          </w:tcPr>
          <w:p>
            <w:pPr>
              <w:spacing w:after="0"/>
              <w:rPr>
                <w:sz w:val="21"/>
                <w:szCs w:val="21"/>
                <w:color w:val="auto"/>
              </w:rPr>
            </w:pPr>
          </w:p>
        </w:tc>
        <w:tc>
          <w:tcPr>
            <w:tcW w:w="2620" w:type="dxa"/>
            <w:vAlign w:val="bottom"/>
          </w:tcPr>
          <w:p>
            <w:pPr>
              <w:ind w:left="160"/>
              <w:spacing w:after="0"/>
              <w:rPr>
                <w:sz w:val="20"/>
                <w:szCs w:val="20"/>
                <w:color w:val="auto"/>
              </w:rPr>
            </w:pPr>
            <w:r>
              <w:rPr>
                <w:rFonts w:ascii="Arial" w:cs="Arial" w:eastAsia="Arial" w:hAnsi="Arial"/>
                <w:sz w:val="20"/>
                <w:szCs w:val="20"/>
                <w:color w:val="auto"/>
              </w:rPr>
              <w:t>The Governance and</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00" w:type="dxa"/>
            <w:vAlign w:val="bottom"/>
            <w:gridSpan w:val="2"/>
          </w:tcPr>
          <w:p>
            <w:pPr>
              <w:ind w:left="140"/>
              <w:spacing w:after="0" w:line="202" w:lineRule="exact"/>
              <w:rPr>
                <w:sz w:val="20"/>
                <w:szCs w:val="20"/>
                <w:color w:val="auto"/>
              </w:rPr>
            </w:pPr>
            <w:r>
              <w:rPr>
                <w:rFonts w:ascii="Arial" w:cs="Arial" w:eastAsia="Arial" w:hAnsi="Arial"/>
                <w:sz w:val="20"/>
                <w:szCs w:val="20"/>
                <w:color w:val="auto"/>
              </w:rPr>
              <w:t>Sustainability Committee</w:t>
            </w:r>
          </w:p>
        </w:tc>
        <w:tc>
          <w:tcPr>
            <w:tcW w:w="680" w:type="dxa"/>
            <w:vAlign w:val="bottom"/>
          </w:tcPr>
          <w:p>
            <w:pPr>
              <w:spacing w:after="0"/>
              <w:rPr>
                <w:sz w:val="17"/>
                <w:szCs w:val="17"/>
                <w:color w:val="auto"/>
              </w:rPr>
            </w:pPr>
          </w:p>
        </w:tc>
        <w:tc>
          <w:tcPr>
            <w:tcW w:w="2740" w:type="dxa"/>
            <w:vAlign w:val="bottom"/>
            <w:gridSpan w:val="2"/>
          </w:tcPr>
          <w:p>
            <w:pPr>
              <w:ind w:left="160"/>
              <w:spacing w:after="0" w:line="202" w:lineRule="exact"/>
              <w:rPr>
                <w:sz w:val="20"/>
                <w:szCs w:val="20"/>
                <w:color w:val="auto"/>
              </w:rPr>
            </w:pPr>
            <w:r>
              <w:rPr>
                <w:rFonts w:ascii="Arial" w:cs="Arial" w:eastAsia="Arial" w:hAnsi="Arial"/>
                <w:sz w:val="20"/>
                <w:szCs w:val="20"/>
                <w:color w:val="auto"/>
              </w:rPr>
              <w:t>Sustainability Committee</w:t>
            </w:r>
          </w:p>
        </w:tc>
        <w:tc>
          <w:tcPr>
            <w:tcW w:w="700" w:type="dxa"/>
            <w:vAlign w:val="bottom"/>
          </w:tcPr>
          <w:p>
            <w:pPr>
              <w:spacing w:after="0"/>
              <w:rPr>
                <w:sz w:val="17"/>
                <w:szCs w:val="17"/>
                <w:color w:val="auto"/>
              </w:rPr>
            </w:pPr>
          </w:p>
        </w:tc>
        <w:tc>
          <w:tcPr>
            <w:tcW w:w="2620" w:type="dxa"/>
            <w:vAlign w:val="bottom"/>
          </w:tcPr>
          <w:p>
            <w:pPr>
              <w:ind w:left="160"/>
              <w:spacing w:after="0" w:line="202" w:lineRule="exact"/>
              <w:rPr>
                <w:sz w:val="20"/>
                <w:szCs w:val="20"/>
                <w:color w:val="auto"/>
              </w:rPr>
            </w:pPr>
            <w:r>
              <w:rPr>
                <w:rFonts w:ascii="Arial" w:cs="Arial" w:eastAsia="Arial" w:hAnsi="Arial"/>
                <w:sz w:val="20"/>
                <w:szCs w:val="20"/>
                <w:color w:val="auto"/>
              </w:rPr>
              <w:t>Sustainability Committee</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500" w:type="dxa"/>
            <w:vAlign w:val="bottom"/>
            <w:gridSpan w:val="2"/>
          </w:tcPr>
          <w:p>
            <w:pPr>
              <w:ind w:left="140"/>
              <w:spacing w:after="0" w:line="196" w:lineRule="exact"/>
              <w:rPr>
                <w:sz w:val="20"/>
                <w:szCs w:val="20"/>
                <w:color w:val="auto"/>
              </w:rPr>
            </w:pPr>
            <w:r>
              <w:rPr>
                <w:rFonts w:ascii="Arial" w:cs="Arial" w:eastAsia="Arial" w:hAnsi="Arial"/>
                <w:sz w:val="20"/>
                <w:szCs w:val="20"/>
                <w:color w:val="auto"/>
              </w:rPr>
              <w:t>engages in an ongoing</w:t>
            </w:r>
          </w:p>
        </w:tc>
        <w:tc>
          <w:tcPr>
            <w:tcW w:w="680" w:type="dxa"/>
            <w:vAlign w:val="bottom"/>
          </w:tcPr>
          <w:p>
            <w:pPr>
              <w:spacing w:after="0"/>
              <w:rPr>
                <w:sz w:val="17"/>
                <w:szCs w:val="17"/>
                <w:color w:val="auto"/>
              </w:rPr>
            </w:pPr>
          </w:p>
        </w:tc>
        <w:tc>
          <w:tcPr>
            <w:tcW w:w="2740" w:type="dxa"/>
            <w:vAlign w:val="bottom"/>
            <w:gridSpan w:val="2"/>
          </w:tcPr>
          <w:p>
            <w:pPr>
              <w:ind w:left="160"/>
              <w:spacing w:after="0" w:line="196" w:lineRule="exact"/>
              <w:rPr>
                <w:sz w:val="20"/>
                <w:szCs w:val="20"/>
                <w:color w:val="auto"/>
              </w:rPr>
            </w:pPr>
            <w:r>
              <w:rPr>
                <w:rFonts w:ascii="Arial" w:cs="Arial" w:eastAsia="Arial" w:hAnsi="Arial"/>
                <w:sz w:val="20"/>
                <w:szCs w:val="20"/>
                <w:color w:val="auto"/>
              </w:rPr>
              <w:t>reviews the results of the</w:t>
            </w:r>
          </w:p>
        </w:tc>
        <w:tc>
          <w:tcPr>
            <w:tcW w:w="700" w:type="dxa"/>
            <w:vAlign w:val="bottom"/>
          </w:tcPr>
          <w:p>
            <w:pPr>
              <w:spacing w:after="0"/>
              <w:rPr>
                <w:sz w:val="17"/>
                <w:szCs w:val="17"/>
                <w:color w:val="auto"/>
              </w:rPr>
            </w:pPr>
          </w:p>
        </w:tc>
        <w:tc>
          <w:tcPr>
            <w:tcW w:w="2620" w:type="dxa"/>
            <w:vAlign w:val="bottom"/>
          </w:tcPr>
          <w:p>
            <w:pPr>
              <w:ind w:left="160"/>
              <w:spacing w:after="0" w:line="196" w:lineRule="exact"/>
              <w:rPr>
                <w:sz w:val="20"/>
                <w:szCs w:val="20"/>
                <w:color w:val="auto"/>
              </w:rPr>
            </w:pPr>
            <w:r>
              <w:rPr>
                <w:rFonts w:ascii="Arial" w:cs="Arial" w:eastAsia="Arial" w:hAnsi="Arial"/>
                <w:sz w:val="20"/>
                <w:szCs w:val="20"/>
                <w:color w:val="auto"/>
              </w:rPr>
              <w:t>considers, among other</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500" w:type="dxa"/>
            <w:vAlign w:val="bottom"/>
            <w:gridSpan w:val="2"/>
          </w:tcPr>
          <w:p>
            <w:pPr>
              <w:ind w:left="140"/>
              <w:spacing w:after="0" w:line="193" w:lineRule="exact"/>
              <w:rPr>
                <w:sz w:val="20"/>
                <w:szCs w:val="20"/>
                <w:color w:val="auto"/>
              </w:rPr>
            </w:pPr>
            <w:r>
              <w:rPr>
                <w:rFonts w:ascii="Arial" w:cs="Arial" w:eastAsia="Arial" w:hAnsi="Arial"/>
                <w:sz w:val="20"/>
                <w:szCs w:val="20"/>
                <w:color w:val="auto"/>
              </w:rPr>
              <w:t>process to identify and</w:t>
            </w:r>
          </w:p>
        </w:tc>
        <w:tc>
          <w:tcPr>
            <w:tcW w:w="680" w:type="dxa"/>
            <w:vAlign w:val="bottom"/>
          </w:tcPr>
          <w:p>
            <w:pPr>
              <w:spacing w:after="0"/>
              <w:rPr>
                <w:sz w:val="16"/>
                <w:szCs w:val="16"/>
                <w:color w:val="auto"/>
              </w:rPr>
            </w:pPr>
          </w:p>
        </w:tc>
        <w:tc>
          <w:tcPr>
            <w:tcW w:w="2740" w:type="dxa"/>
            <w:vAlign w:val="bottom"/>
            <w:gridSpan w:val="2"/>
          </w:tcPr>
          <w:p>
            <w:pPr>
              <w:ind w:left="160"/>
              <w:spacing w:after="0" w:line="193" w:lineRule="exact"/>
              <w:rPr>
                <w:sz w:val="20"/>
                <w:szCs w:val="20"/>
                <w:color w:val="auto"/>
              </w:rPr>
            </w:pPr>
            <w:r>
              <w:rPr>
                <w:rFonts w:ascii="Arial" w:cs="Arial" w:eastAsia="Arial" w:hAnsi="Arial"/>
                <w:sz w:val="20"/>
                <w:szCs w:val="20"/>
                <w:color w:val="auto"/>
              </w:rPr>
              <w:t>self-evaluations for</w:t>
            </w:r>
          </w:p>
        </w:tc>
        <w:tc>
          <w:tcPr>
            <w:tcW w:w="700" w:type="dxa"/>
            <w:vAlign w:val="bottom"/>
          </w:tcPr>
          <w:p>
            <w:pPr>
              <w:spacing w:after="0"/>
              <w:rPr>
                <w:sz w:val="16"/>
                <w:szCs w:val="16"/>
                <w:color w:val="auto"/>
              </w:rPr>
            </w:pPr>
          </w:p>
        </w:tc>
        <w:tc>
          <w:tcPr>
            <w:tcW w:w="2620" w:type="dxa"/>
            <w:vAlign w:val="bottom"/>
          </w:tcPr>
          <w:p>
            <w:pPr>
              <w:ind w:left="160"/>
              <w:spacing w:after="0" w:line="193" w:lineRule="exact"/>
              <w:rPr>
                <w:sz w:val="20"/>
                <w:szCs w:val="20"/>
                <w:color w:val="auto"/>
              </w:rPr>
            </w:pPr>
            <w:r>
              <w:rPr>
                <w:rFonts w:ascii="Arial" w:cs="Arial" w:eastAsia="Arial" w:hAnsi="Arial"/>
                <w:sz w:val="20"/>
                <w:szCs w:val="20"/>
                <w:color w:val="auto"/>
              </w:rPr>
              <w:t>things, the knowledge,</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00" w:type="dxa"/>
            <w:vAlign w:val="bottom"/>
            <w:gridSpan w:val="2"/>
          </w:tcPr>
          <w:p>
            <w:pPr>
              <w:ind w:left="140"/>
              <w:spacing w:after="0" w:line="202" w:lineRule="exact"/>
              <w:rPr>
                <w:sz w:val="20"/>
                <w:szCs w:val="20"/>
                <w:color w:val="auto"/>
              </w:rPr>
            </w:pPr>
            <w:r>
              <w:rPr>
                <w:rFonts w:ascii="Arial" w:cs="Arial" w:eastAsia="Arial" w:hAnsi="Arial"/>
                <w:sz w:val="20"/>
                <w:szCs w:val="20"/>
                <w:color w:val="auto"/>
              </w:rPr>
              <w:t>evaluate, as appropriate,</w:t>
            </w:r>
          </w:p>
        </w:tc>
        <w:tc>
          <w:tcPr>
            <w:tcW w:w="680" w:type="dxa"/>
            <w:vAlign w:val="bottom"/>
          </w:tcPr>
          <w:p>
            <w:pPr>
              <w:spacing w:after="0"/>
              <w:rPr>
                <w:sz w:val="17"/>
                <w:szCs w:val="17"/>
                <w:color w:val="auto"/>
              </w:rPr>
            </w:pPr>
          </w:p>
        </w:tc>
        <w:tc>
          <w:tcPr>
            <w:tcW w:w="2740" w:type="dxa"/>
            <w:vAlign w:val="bottom"/>
            <w:gridSpan w:val="2"/>
          </w:tcPr>
          <w:p>
            <w:pPr>
              <w:ind w:left="160"/>
              <w:spacing w:after="0" w:line="202" w:lineRule="exact"/>
              <w:rPr>
                <w:sz w:val="20"/>
                <w:szCs w:val="20"/>
                <w:color w:val="auto"/>
              </w:rPr>
            </w:pPr>
            <w:r>
              <w:rPr>
                <w:rFonts w:ascii="Arial" w:cs="Arial" w:eastAsia="Arial" w:hAnsi="Arial"/>
                <w:sz w:val="20"/>
                <w:szCs w:val="20"/>
                <w:color w:val="auto"/>
              </w:rPr>
              <w:t>potential action and</w:t>
            </w:r>
          </w:p>
        </w:tc>
        <w:tc>
          <w:tcPr>
            <w:tcW w:w="700" w:type="dxa"/>
            <w:vAlign w:val="bottom"/>
          </w:tcPr>
          <w:p>
            <w:pPr>
              <w:spacing w:after="0"/>
              <w:rPr>
                <w:sz w:val="17"/>
                <w:szCs w:val="17"/>
                <w:color w:val="auto"/>
              </w:rPr>
            </w:pPr>
          </w:p>
        </w:tc>
        <w:tc>
          <w:tcPr>
            <w:tcW w:w="2620" w:type="dxa"/>
            <w:vAlign w:val="bottom"/>
          </w:tcPr>
          <w:p>
            <w:pPr>
              <w:ind w:left="160"/>
              <w:spacing w:after="0" w:line="202" w:lineRule="exact"/>
              <w:rPr>
                <w:sz w:val="20"/>
                <w:szCs w:val="20"/>
                <w:color w:val="auto"/>
              </w:rPr>
            </w:pPr>
            <w:r>
              <w:rPr>
                <w:rFonts w:ascii="Arial" w:cs="Arial" w:eastAsia="Arial" w:hAnsi="Arial"/>
                <w:sz w:val="20"/>
                <w:szCs w:val="20"/>
                <w:color w:val="auto"/>
              </w:rPr>
              <w:t>experience, integrity, and</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500" w:type="dxa"/>
            <w:vAlign w:val="bottom"/>
            <w:gridSpan w:val="2"/>
          </w:tcPr>
          <w:p>
            <w:pPr>
              <w:ind w:left="140"/>
              <w:spacing w:after="0" w:line="196" w:lineRule="exact"/>
              <w:rPr>
                <w:sz w:val="20"/>
                <w:szCs w:val="20"/>
                <w:color w:val="auto"/>
              </w:rPr>
            </w:pPr>
            <w:r>
              <w:rPr>
                <w:rFonts w:ascii="Arial" w:cs="Arial" w:eastAsia="Arial" w:hAnsi="Arial"/>
                <w:sz w:val="20"/>
                <w:szCs w:val="20"/>
                <w:color w:val="auto"/>
              </w:rPr>
              <w:t>potential new director</w:t>
            </w:r>
          </w:p>
        </w:tc>
        <w:tc>
          <w:tcPr>
            <w:tcW w:w="680" w:type="dxa"/>
            <w:vAlign w:val="bottom"/>
          </w:tcPr>
          <w:p>
            <w:pPr>
              <w:spacing w:after="0"/>
              <w:rPr>
                <w:sz w:val="17"/>
                <w:szCs w:val="17"/>
                <w:color w:val="auto"/>
              </w:rPr>
            </w:pPr>
          </w:p>
        </w:tc>
        <w:tc>
          <w:tcPr>
            <w:tcW w:w="2740" w:type="dxa"/>
            <w:vAlign w:val="bottom"/>
            <w:gridSpan w:val="2"/>
          </w:tcPr>
          <w:p>
            <w:pPr>
              <w:ind w:left="160"/>
              <w:spacing w:after="0" w:line="196" w:lineRule="exact"/>
              <w:rPr>
                <w:sz w:val="20"/>
                <w:szCs w:val="20"/>
                <w:color w:val="auto"/>
              </w:rPr>
            </w:pPr>
            <w:r>
              <w:rPr>
                <w:rFonts w:ascii="Arial" w:cs="Arial" w:eastAsia="Arial" w:hAnsi="Arial"/>
                <w:sz w:val="20"/>
                <w:szCs w:val="20"/>
                <w:color w:val="auto"/>
              </w:rPr>
              <w:t>recommendations, with the</w:t>
            </w:r>
          </w:p>
        </w:tc>
        <w:tc>
          <w:tcPr>
            <w:tcW w:w="700" w:type="dxa"/>
            <w:vAlign w:val="bottom"/>
          </w:tcPr>
          <w:p>
            <w:pPr>
              <w:spacing w:after="0"/>
              <w:rPr>
                <w:sz w:val="17"/>
                <w:szCs w:val="17"/>
                <w:color w:val="auto"/>
              </w:rPr>
            </w:pPr>
          </w:p>
        </w:tc>
        <w:tc>
          <w:tcPr>
            <w:tcW w:w="2620" w:type="dxa"/>
            <w:vAlign w:val="bottom"/>
          </w:tcPr>
          <w:p>
            <w:pPr>
              <w:ind w:left="160"/>
              <w:spacing w:after="0" w:line="196" w:lineRule="exact"/>
              <w:rPr>
                <w:sz w:val="20"/>
                <w:szCs w:val="20"/>
                <w:color w:val="auto"/>
              </w:rPr>
            </w:pPr>
            <w:r>
              <w:rPr>
                <w:rFonts w:ascii="Arial" w:cs="Arial" w:eastAsia="Arial" w:hAnsi="Arial"/>
                <w:sz w:val="20"/>
                <w:szCs w:val="20"/>
                <w:color w:val="auto"/>
              </w:rPr>
              <w:t>judgment of the existing</w:t>
            </w:r>
          </w:p>
        </w:tc>
        <w:tc>
          <w:tcPr>
            <w:tcW w:w="0" w:type="dxa"/>
            <w:vAlign w:val="bottom"/>
          </w:tcPr>
          <w:p>
            <w:pPr>
              <w:spacing w:after="0"/>
              <w:rPr>
                <w:sz w:val="1"/>
                <w:szCs w:val="1"/>
                <w:color w:val="auto"/>
              </w:rPr>
            </w:pPr>
          </w:p>
        </w:tc>
      </w:tr>
      <w:tr>
        <w:trPr>
          <w:trHeight w:val="193"/>
        </w:trPr>
        <w:tc>
          <w:tcPr>
            <w:tcW w:w="660" w:type="dxa"/>
            <w:vAlign w:val="bottom"/>
            <w:vMerge w:val="restart"/>
          </w:tcPr>
          <w:p>
            <w:pPr>
              <w:ind w:left="340"/>
              <w:spacing w:after="0"/>
              <w:rPr>
                <w:sz w:val="20"/>
                <w:szCs w:val="20"/>
                <w:color w:val="auto"/>
              </w:rPr>
            </w:pPr>
            <w:r>
              <w:rPr>
                <w:rFonts w:ascii="Arial" w:cs="Arial" w:eastAsia="Arial" w:hAnsi="Arial"/>
                <w:sz w:val="29"/>
                <w:szCs w:val="29"/>
                <w:color w:val="BD03F7"/>
              </w:rPr>
              <w:t>•</w:t>
            </w:r>
          </w:p>
        </w:tc>
        <w:tc>
          <w:tcPr>
            <w:tcW w:w="2500" w:type="dxa"/>
            <w:vAlign w:val="bottom"/>
            <w:gridSpan w:val="2"/>
          </w:tcPr>
          <w:p>
            <w:pPr>
              <w:ind w:left="140"/>
              <w:spacing w:after="0" w:line="193" w:lineRule="exact"/>
              <w:rPr>
                <w:sz w:val="20"/>
                <w:szCs w:val="20"/>
                <w:color w:val="auto"/>
              </w:rPr>
            </w:pPr>
            <w:r>
              <w:rPr>
                <w:rFonts w:ascii="Arial" w:cs="Arial" w:eastAsia="Arial" w:hAnsi="Arial"/>
                <w:sz w:val="20"/>
                <w:szCs w:val="20"/>
                <w:color w:val="auto"/>
              </w:rPr>
              <w:t>candidates with the help</w:t>
            </w:r>
          </w:p>
        </w:tc>
        <w:tc>
          <w:tcPr>
            <w:tcW w:w="680" w:type="dxa"/>
            <w:vAlign w:val="bottom"/>
            <w:vMerge w:val="restart"/>
          </w:tcPr>
          <w:p>
            <w:pPr>
              <w:ind w:left="340"/>
              <w:spacing w:after="0"/>
              <w:rPr>
                <w:sz w:val="20"/>
                <w:szCs w:val="20"/>
                <w:color w:val="auto"/>
              </w:rPr>
            </w:pPr>
            <w:r>
              <w:rPr>
                <w:rFonts w:ascii="Arial" w:cs="Arial" w:eastAsia="Arial" w:hAnsi="Arial"/>
                <w:sz w:val="29"/>
                <w:szCs w:val="29"/>
                <w:color w:val="BD03F7"/>
              </w:rPr>
              <w:t>•</w:t>
            </w:r>
          </w:p>
        </w:tc>
        <w:tc>
          <w:tcPr>
            <w:tcW w:w="2740" w:type="dxa"/>
            <w:vAlign w:val="bottom"/>
            <w:gridSpan w:val="2"/>
          </w:tcPr>
          <w:p>
            <w:pPr>
              <w:ind w:left="160"/>
              <w:spacing w:after="0" w:line="193" w:lineRule="exact"/>
              <w:rPr>
                <w:sz w:val="20"/>
                <w:szCs w:val="20"/>
                <w:color w:val="auto"/>
              </w:rPr>
            </w:pPr>
            <w:r>
              <w:rPr>
                <w:rFonts w:ascii="Arial" w:cs="Arial" w:eastAsia="Arial" w:hAnsi="Arial"/>
                <w:sz w:val="20"/>
                <w:szCs w:val="20"/>
                <w:color w:val="auto"/>
              </w:rPr>
              <w:t>final results and</w:t>
            </w:r>
          </w:p>
        </w:tc>
        <w:tc>
          <w:tcPr>
            <w:tcW w:w="700" w:type="dxa"/>
            <w:vAlign w:val="bottom"/>
            <w:vMerge w:val="restart"/>
          </w:tcPr>
          <w:p>
            <w:pPr>
              <w:ind w:left="360"/>
              <w:spacing w:after="0"/>
              <w:rPr>
                <w:sz w:val="20"/>
                <w:szCs w:val="20"/>
                <w:color w:val="auto"/>
              </w:rPr>
            </w:pPr>
            <w:r>
              <w:rPr>
                <w:rFonts w:ascii="Arial" w:cs="Arial" w:eastAsia="Arial" w:hAnsi="Arial"/>
                <w:sz w:val="29"/>
                <w:szCs w:val="29"/>
                <w:color w:val="BD03F7"/>
              </w:rPr>
              <w:t>•</w:t>
            </w:r>
          </w:p>
        </w:tc>
        <w:tc>
          <w:tcPr>
            <w:tcW w:w="2620" w:type="dxa"/>
            <w:vAlign w:val="bottom"/>
          </w:tcPr>
          <w:p>
            <w:pPr>
              <w:ind w:left="160"/>
              <w:spacing w:after="0" w:line="193" w:lineRule="exact"/>
              <w:rPr>
                <w:sz w:val="20"/>
                <w:szCs w:val="20"/>
                <w:color w:val="auto"/>
              </w:rPr>
            </w:pPr>
            <w:r>
              <w:rPr>
                <w:rFonts w:ascii="Arial" w:cs="Arial" w:eastAsia="Arial" w:hAnsi="Arial"/>
                <w:sz w:val="20"/>
                <w:szCs w:val="20"/>
                <w:color w:val="auto"/>
              </w:rPr>
              <w:t>Board and any candidates,</w:t>
            </w:r>
          </w:p>
        </w:tc>
        <w:tc>
          <w:tcPr>
            <w:tcW w:w="0" w:type="dxa"/>
            <w:vAlign w:val="bottom"/>
          </w:tcPr>
          <w:p>
            <w:pPr>
              <w:spacing w:after="0"/>
              <w:rPr>
                <w:sz w:val="1"/>
                <w:szCs w:val="1"/>
                <w:color w:val="auto"/>
              </w:rPr>
            </w:pPr>
          </w:p>
        </w:tc>
      </w:tr>
      <w:tr>
        <w:trPr>
          <w:trHeight w:val="210"/>
        </w:trPr>
        <w:tc>
          <w:tcPr>
            <w:tcW w:w="660" w:type="dxa"/>
            <w:vAlign w:val="bottom"/>
            <w:vMerge w:val="continue"/>
          </w:tcPr>
          <w:p>
            <w:pPr>
              <w:spacing w:after="0"/>
              <w:rPr>
                <w:sz w:val="18"/>
                <w:szCs w:val="18"/>
                <w:color w:val="auto"/>
              </w:rPr>
            </w:pPr>
          </w:p>
        </w:tc>
        <w:tc>
          <w:tcPr>
            <w:tcW w:w="2500" w:type="dxa"/>
            <w:vAlign w:val="bottom"/>
            <w:gridSpan w:val="2"/>
          </w:tcPr>
          <w:p>
            <w:pPr>
              <w:ind w:left="140"/>
              <w:spacing w:after="0" w:line="209" w:lineRule="exact"/>
              <w:rPr>
                <w:sz w:val="20"/>
                <w:szCs w:val="20"/>
                <w:color w:val="auto"/>
              </w:rPr>
            </w:pPr>
            <w:r>
              <w:rPr>
                <w:rFonts w:ascii="Arial" w:cs="Arial" w:eastAsia="Arial" w:hAnsi="Arial"/>
                <w:sz w:val="20"/>
                <w:szCs w:val="20"/>
                <w:color w:val="auto"/>
              </w:rPr>
              <w:t>of management and an</w:t>
            </w:r>
          </w:p>
        </w:tc>
        <w:tc>
          <w:tcPr>
            <w:tcW w:w="680" w:type="dxa"/>
            <w:vAlign w:val="bottom"/>
            <w:vMerge w:val="continue"/>
          </w:tcPr>
          <w:p>
            <w:pPr>
              <w:spacing w:after="0"/>
              <w:rPr>
                <w:sz w:val="18"/>
                <w:szCs w:val="18"/>
                <w:color w:val="auto"/>
              </w:rPr>
            </w:pPr>
          </w:p>
        </w:tc>
        <w:tc>
          <w:tcPr>
            <w:tcW w:w="2740" w:type="dxa"/>
            <w:vAlign w:val="bottom"/>
            <w:gridSpan w:val="2"/>
          </w:tcPr>
          <w:p>
            <w:pPr>
              <w:ind w:left="160"/>
              <w:spacing w:after="0" w:line="209" w:lineRule="exact"/>
              <w:rPr>
                <w:sz w:val="20"/>
                <w:szCs w:val="20"/>
                <w:color w:val="auto"/>
              </w:rPr>
            </w:pPr>
            <w:r>
              <w:rPr>
                <w:rFonts w:ascii="Arial" w:cs="Arial" w:eastAsia="Arial" w:hAnsi="Arial"/>
                <w:sz w:val="20"/>
                <w:szCs w:val="20"/>
                <w:color w:val="auto"/>
              </w:rPr>
              <w:t>recommendations reviewed</w:t>
            </w:r>
          </w:p>
        </w:tc>
        <w:tc>
          <w:tcPr>
            <w:tcW w:w="700" w:type="dxa"/>
            <w:vAlign w:val="bottom"/>
            <w:vMerge w:val="continue"/>
          </w:tcPr>
          <w:p>
            <w:pPr>
              <w:spacing w:after="0"/>
              <w:rPr>
                <w:sz w:val="18"/>
                <w:szCs w:val="18"/>
                <w:color w:val="auto"/>
              </w:rPr>
            </w:pPr>
          </w:p>
        </w:tc>
        <w:tc>
          <w:tcPr>
            <w:tcW w:w="2620" w:type="dxa"/>
            <w:vAlign w:val="bottom"/>
          </w:tcPr>
          <w:p>
            <w:pPr>
              <w:ind w:left="160"/>
              <w:spacing w:after="0" w:line="209" w:lineRule="exact"/>
              <w:rPr>
                <w:sz w:val="20"/>
                <w:szCs w:val="20"/>
                <w:color w:val="auto"/>
              </w:rPr>
            </w:pPr>
            <w:r>
              <w:rPr>
                <w:rFonts w:ascii="Arial" w:cs="Arial" w:eastAsia="Arial" w:hAnsi="Arial"/>
                <w:sz w:val="20"/>
                <w:szCs w:val="20"/>
                <w:color w:val="auto"/>
              </w:rPr>
              <w:t>their contribution to the</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00" w:type="dxa"/>
            <w:vAlign w:val="bottom"/>
            <w:gridSpan w:val="2"/>
          </w:tcPr>
          <w:p>
            <w:pPr>
              <w:ind w:left="140"/>
              <w:spacing w:after="0" w:line="188" w:lineRule="exact"/>
              <w:rPr>
                <w:sz w:val="20"/>
                <w:szCs w:val="20"/>
                <w:color w:val="auto"/>
              </w:rPr>
            </w:pPr>
            <w:r>
              <w:rPr>
                <w:rFonts w:ascii="Arial" w:cs="Arial" w:eastAsia="Arial" w:hAnsi="Arial"/>
                <w:sz w:val="20"/>
                <w:szCs w:val="20"/>
                <w:color w:val="auto"/>
              </w:rPr>
              <w:t>outside consultant, to</w:t>
            </w:r>
          </w:p>
        </w:tc>
        <w:tc>
          <w:tcPr>
            <w:tcW w:w="680" w:type="dxa"/>
            <w:vAlign w:val="bottom"/>
          </w:tcPr>
          <w:p>
            <w:pPr>
              <w:spacing w:after="0"/>
              <w:rPr>
                <w:sz w:val="16"/>
                <w:szCs w:val="16"/>
                <w:color w:val="auto"/>
              </w:rPr>
            </w:pPr>
          </w:p>
        </w:tc>
        <w:tc>
          <w:tcPr>
            <w:tcW w:w="2740" w:type="dxa"/>
            <w:vAlign w:val="bottom"/>
            <w:gridSpan w:val="2"/>
          </w:tcPr>
          <w:p>
            <w:pPr>
              <w:ind w:left="160"/>
              <w:spacing w:after="0" w:line="188" w:lineRule="exact"/>
              <w:rPr>
                <w:sz w:val="20"/>
                <w:szCs w:val="20"/>
                <w:color w:val="auto"/>
              </w:rPr>
            </w:pPr>
            <w:r>
              <w:rPr>
                <w:rFonts w:ascii="Arial" w:cs="Arial" w:eastAsia="Arial" w:hAnsi="Arial"/>
                <w:sz w:val="20"/>
                <w:szCs w:val="20"/>
                <w:color w:val="auto"/>
              </w:rPr>
              <w:t>with the full Board.</w:t>
            </w:r>
          </w:p>
        </w:tc>
        <w:tc>
          <w:tcPr>
            <w:tcW w:w="700" w:type="dxa"/>
            <w:vAlign w:val="bottom"/>
          </w:tcPr>
          <w:p>
            <w:pPr>
              <w:spacing w:after="0"/>
              <w:rPr>
                <w:sz w:val="16"/>
                <w:szCs w:val="16"/>
                <w:color w:val="auto"/>
              </w:rPr>
            </w:pPr>
          </w:p>
        </w:tc>
        <w:tc>
          <w:tcPr>
            <w:tcW w:w="2620" w:type="dxa"/>
            <w:vAlign w:val="bottom"/>
          </w:tcPr>
          <w:p>
            <w:pPr>
              <w:ind w:left="160"/>
              <w:spacing w:after="0" w:line="188" w:lineRule="exact"/>
              <w:rPr>
                <w:sz w:val="20"/>
                <w:szCs w:val="20"/>
                <w:color w:val="auto"/>
              </w:rPr>
            </w:pPr>
            <w:r>
              <w:rPr>
                <w:rFonts w:ascii="Arial" w:cs="Arial" w:eastAsia="Arial" w:hAnsi="Arial"/>
                <w:sz w:val="20"/>
                <w:szCs w:val="20"/>
                <w:color w:val="auto"/>
              </w:rPr>
              <w:t>diversity of backgrounds,</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2500" w:type="dxa"/>
            <w:vAlign w:val="bottom"/>
            <w:gridSpan w:val="2"/>
          </w:tcPr>
          <w:p>
            <w:pPr>
              <w:ind w:left="140"/>
              <w:spacing w:after="0" w:line="211" w:lineRule="exact"/>
              <w:rPr>
                <w:sz w:val="20"/>
                <w:szCs w:val="20"/>
                <w:color w:val="auto"/>
              </w:rPr>
            </w:pPr>
            <w:r>
              <w:rPr>
                <w:rFonts w:ascii="Arial" w:cs="Arial" w:eastAsia="Arial" w:hAnsi="Arial"/>
                <w:sz w:val="20"/>
                <w:szCs w:val="20"/>
                <w:color w:val="auto"/>
              </w:rPr>
              <w:t>whom it may pay a fee.</w:t>
            </w: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20" w:type="dxa"/>
            <w:vAlign w:val="bottom"/>
          </w:tcPr>
          <w:p>
            <w:pPr>
              <w:ind w:left="160"/>
              <w:spacing w:after="0" w:line="211" w:lineRule="exact"/>
              <w:rPr>
                <w:sz w:val="20"/>
                <w:szCs w:val="20"/>
                <w:color w:val="auto"/>
              </w:rPr>
            </w:pPr>
            <w:r>
              <w:rPr>
                <w:rFonts w:ascii="Arial" w:cs="Arial" w:eastAsia="Arial" w:hAnsi="Arial"/>
                <w:sz w:val="20"/>
                <w:szCs w:val="20"/>
                <w:color w:val="auto"/>
              </w:rPr>
              <w:t>experience and skills* on</w:t>
            </w:r>
          </w:p>
        </w:tc>
        <w:tc>
          <w:tcPr>
            <w:tcW w:w="0" w:type="dxa"/>
            <w:vAlign w:val="bottom"/>
          </w:tcPr>
          <w:p>
            <w:pPr>
              <w:spacing w:after="0"/>
              <w:rPr>
                <w:sz w:val="1"/>
                <w:szCs w:val="1"/>
                <w:color w:val="auto"/>
              </w:rPr>
            </w:pPr>
          </w:p>
        </w:tc>
      </w:tr>
    </w:tbl>
    <w:p>
      <w:pPr>
        <w:ind w:left="8100"/>
        <w:spacing w:after="0" w:line="210" w:lineRule="auto"/>
        <w:rPr>
          <w:sz w:val="20"/>
          <w:szCs w:val="20"/>
          <w:color w:val="auto"/>
        </w:rPr>
      </w:pPr>
      <w:r>
        <w:rPr>
          <w:rFonts w:ascii="Arial" w:cs="Arial" w:eastAsia="Arial" w:hAnsi="Arial"/>
          <w:sz w:val="20"/>
          <w:szCs w:val="20"/>
          <w:color w:val="auto"/>
        </w:rPr>
        <w:t>the Board, and their ability</w:t>
      </w:r>
    </w:p>
    <w:p>
      <w:pPr>
        <w:ind w:left="8100"/>
        <w:spacing w:after="0" w:line="196" w:lineRule="auto"/>
        <w:rPr>
          <w:sz w:val="20"/>
          <w:szCs w:val="20"/>
          <w:color w:val="auto"/>
        </w:rPr>
      </w:pPr>
      <w:r>
        <w:rPr>
          <w:rFonts w:ascii="Arial" w:cs="Arial" w:eastAsia="Arial" w:hAnsi="Arial"/>
          <w:sz w:val="20"/>
          <w:szCs w:val="20"/>
          <w:color w:val="auto"/>
        </w:rPr>
        <w:t>to devote sufficient time</w:t>
      </w:r>
    </w:p>
    <w:p>
      <w:pPr>
        <w:ind w:left="8100"/>
        <w:spacing w:after="0" w:line="210" w:lineRule="auto"/>
        <w:rPr>
          <w:sz w:val="20"/>
          <w:szCs w:val="20"/>
          <w:color w:val="auto"/>
        </w:rPr>
      </w:pPr>
      <w:r>
        <w:rPr>
          <w:rFonts w:ascii="Arial" w:cs="Arial" w:eastAsia="Arial" w:hAnsi="Arial"/>
          <w:sz w:val="20"/>
          <w:szCs w:val="20"/>
          <w:color w:val="auto"/>
        </w:rPr>
        <w:t>and effort to their duties as</w:t>
      </w:r>
    </w:p>
    <w:p>
      <w:pPr>
        <w:ind w:left="8100"/>
        <w:spacing w:after="0" w:line="211" w:lineRule="auto"/>
        <w:rPr>
          <w:sz w:val="20"/>
          <w:szCs w:val="20"/>
          <w:color w:val="auto"/>
        </w:rPr>
      </w:pPr>
      <w:r>
        <w:rPr>
          <w:rFonts w:ascii="Arial" w:cs="Arial" w:eastAsia="Arial" w:hAnsi="Arial"/>
          <w:sz w:val="20"/>
          <w:szCs w:val="20"/>
          <w:color w:val="auto"/>
        </w:rPr>
        <w:t>directors and provide</w:t>
      </w:r>
    </w:p>
    <w:p>
      <w:pPr>
        <w:ind w:left="8100"/>
        <w:spacing w:after="0"/>
        <w:rPr>
          <w:sz w:val="20"/>
          <w:szCs w:val="20"/>
          <w:color w:val="auto"/>
        </w:rPr>
      </w:pPr>
      <w:r>
        <w:rPr>
          <w:rFonts w:ascii="Arial" w:cs="Arial" w:eastAsia="Arial" w:hAnsi="Arial"/>
          <w:sz w:val="20"/>
          <w:szCs w:val="20"/>
          <w:color w:val="auto"/>
        </w:rPr>
        <w:t>appropriate oversight.</w:t>
      </w:r>
    </w:p>
    <w:p>
      <w:pPr>
        <w:sectPr>
          <w:pgSz w:w="11900" w:h="16838" w:orient="portrait"/>
          <w:cols w:equalWidth="0" w:num="1">
            <w:col w:w="11240"/>
          </w:cols>
          <w:pgMar w:left="320" w:top="125" w:right="339" w:bottom="1440" w:gutter="0" w:footer="0" w:header="0"/>
        </w:sectPr>
      </w:pPr>
    </w:p>
    <w:p>
      <w:pPr>
        <w:spacing w:after="0" w:line="22" w:lineRule="exact"/>
        <w:rPr>
          <w:sz w:val="20"/>
          <w:szCs w:val="20"/>
          <w:color w:val="auto"/>
        </w:rPr>
      </w:pPr>
    </w:p>
    <w:tbl>
      <w:tblPr>
        <w:tblLayout w:type="fixed"/>
        <w:tblInd w:w="660" w:type="dxa"/>
        <w:tblCellMar>
          <w:top w:w="0" w:type="dxa"/>
          <w:left w:w="0" w:type="dxa"/>
          <w:bottom w:w="0" w:type="dxa"/>
          <w:right w:w="0" w:type="dxa"/>
        </w:tblCellMar>
      </w:tblPr>
      <w:tr>
        <w:trPr>
          <w:trHeight w:val="362"/>
        </w:trPr>
        <w:tc>
          <w:tcPr>
            <w:tcW w:w="660" w:type="dxa"/>
            <w:vAlign w:val="bottom"/>
          </w:tcPr>
          <w:p>
            <w:pPr>
              <w:ind w:left="340"/>
              <w:spacing w:after="0"/>
              <w:rPr>
                <w:sz w:val="20"/>
                <w:szCs w:val="20"/>
                <w:color w:val="auto"/>
              </w:rPr>
            </w:pPr>
            <w:r>
              <w:rPr>
                <w:rFonts w:ascii="Arial" w:cs="Arial" w:eastAsia="Arial" w:hAnsi="Arial"/>
                <w:sz w:val="29"/>
                <w:szCs w:val="29"/>
                <w:b w:val="1"/>
                <w:bCs w:val="1"/>
                <w:color w:val="auto"/>
              </w:rPr>
              <w:t>4</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29"/>
                <w:szCs w:val="29"/>
                <w:b w:val="1"/>
                <w:bCs w:val="1"/>
                <w:color w:val="auto"/>
              </w:rPr>
              <w:t>5</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160" w:type="dxa"/>
            <w:vAlign w:val="bottom"/>
            <w:gridSpan w:val="3"/>
          </w:tcPr>
          <w:p>
            <w:pPr>
              <w:ind w:left="20"/>
              <w:spacing w:after="0"/>
              <w:rPr>
                <w:sz w:val="20"/>
                <w:szCs w:val="20"/>
                <w:color w:val="auto"/>
              </w:rPr>
            </w:pPr>
            <w:r>
              <w:rPr>
                <w:rFonts w:ascii="Arial" w:cs="Arial" w:eastAsia="Arial" w:hAnsi="Arial"/>
                <w:sz w:val="20"/>
                <w:szCs w:val="20"/>
                <w:color w:val="auto"/>
              </w:rPr>
              <w:t>Board Committee Rotation</w:t>
            </w:r>
          </w:p>
        </w:tc>
        <w:tc>
          <w:tcPr>
            <w:tcW w:w="3300" w:type="dxa"/>
            <w:vAlign w:val="bottom"/>
            <w:gridSpan w:val="2"/>
          </w:tcPr>
          <w:p>
            <w:pPr>
              <w:spacing w:after="0"/>
              <w:rPr>
                <w:sz w:val="20"/>
                <w:szCs w:val="20"/>
                <w:color w:val="auto"/>
              </w:rPr>
            </w:pPr>
            <w:r>
              <w:rPr>
                <w:rFonts w:ascii="Arial" w:cs="Arial" w:eastAsia="Arial" w:hAnsi="Arial"/>
                <w:sz w:val="20"/>
                <w:szCs w:val="20"/>
                <w:color w:val="auto"/>
              </w:rPr>
              <w:t>Director Onboarding</w:t>
            </w:r>
          </w:p>
        </w:tc>
        <w:tc>
          <w:tcPr>
            <w:tcW w:w="0" w:type="dxa"/>
            <w:vAlign w:val="bottom"/>
          </w:tcPr>
          <w:p>
            <w:pPr>
              <w:spacing w:after="0"/>
              <w:rPr>
                <w:sz w:val="1"/>
                <w:szCs w:val="1"/>
                <w:color w:val="auto"/>
              </w:rPr>
            </w:pPr>
          </w:p>
        </w:tc>
      </w:tr>
      <w:tr>
        <w:trPr>
          <w:trHeight w:val="189"/>
        </w:trPr>
        <w:tc>
          <w:tcPr>
            <w:tcW w:w="660" w:type="dxa"/>
            <w:vAlign w:val="bottom"/>
            <w:tcBorders>
              <w:top w:val="single" w:sz="8" w:color="BD03F7"/>
            </w:tcBorders>
          </w:tcPr>
          <w:p>
            <w:pPr>
              <w:spacing w:after="0"/>
              <w:rPr>
                <w:sz w:val="16"/>
                <w:szCs w:val="16"/>
                <w:color w:val="auto"/>
              </w:rPr>
            </w:pPr>
          </w:p>
        </w:tc>
        <w:tc>
          <w:tcPr>
            <w:tcW w:w="2400" w:type="dxa"/>
            <w:vAlign w:val="bottom"/>
            <w:tcBorders>
              <w:top w:val="single" w:sz="8" w:color="BD03F7"/>
            </w:tcBorders>
          </w:tcPr>
          <w:p>
            <w:pPr>
              <w:ind w:left="140"/>
              <w:spacing w:after="0" w:line="189" w:lineRule="exact"/>
              <w:rPr>
                <w:sz w:val="20"/>
                <w:szCs w:val="20"/>
                <w:color w:val="auto"/>
              </w:rPr>
            </w:pPr>
            <w:r>
              <w:rPr>
                <w:rFonts w:ascii="Arial" w:cs="Arial" w:eastAsia="Arial" w:hAnsi="Arial"/>
                <w:sz w:val="20"/>
                <w:szCs w:val="20"/>
                <w:color w:val="auto"/>
              </w:rPr>
              <w:t>The Governance and</w:t>
            </w:r>
          </w:p>
        </w:tc>
        <w:tc>
          <w:tcPr>
            <w:tcW w:w="100" w:type="dxa"/>
            <w:vAlign w:val="bottom"/>
          </w:tcPr>
          <w:p>
            <w:pPr>
              <w:spacing w:after="0"/>
              <w:rPr>
                <w:sz w:val="16"/>
                <w:szCs w:val="16"/>
                <w:color w:val="auto"/>
              </w:rPr>
            </w:pPr>
          </w:p>
        </w:tc>
        <w:tc>
          <w:tcPr>
            <w:tcW w:w="680" w:type="dxa"/>
            <w:vAlign w:val="bottom"/>
            <w:tcBorders>
              <w:top w:val="single" w:sz="8" w:color="BD03F7"/>
            </w:tcBorders>
          </w:tcPr>
          <w:p>
            <w:pPr>
              <w:spacing w:after="0"/>
              <w:rPr>
                <w:sz w:val="16"/>
                <w:szCs w:val="16"/>
                <w:color w:val="auto"/>
              </w:rPr>
            </w:pPr>
          </w:p>
        </w:tc>
        <w:tc>
          <w:tcPr>
            <w:tcW w:w="2620" w:type="dxa"/>
            <w:vAlign w:val="bottom"/>
            <w:tcBorders>
              <w:top w:val="single" w:sz="8" w:color="BD03F7"/>
            </w:tcBorders>
          </w:tcPr>
          <w:p>
            <w:pPr>
              <w:ind w:left="160"/>
              <w:spacing w:after="0" w:line="189" w:lineRule="exact"/>
              <w:rPr>
                <w:sz w:val="20"/>
                <w:szCs w:val="20"/>
                <w:color w:val="auto"/>
              </w:rPr>
            </w:pPr>
            <w:r>
              <w:rPr>
                <w:rFonts w:ascii="Arial" w:cs="Arial" w:eastAsia="Arial" w:hAnsi="Arial"/>
                <w:sz w:val="20"/>
                <w:szCs w:val="20"/>
                <w:color w:val="auto"/>
                <w:w w:val="99"/>
              </w:rPr>
              <w:t>All new directors participate</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00" w:type="dxa"/>
            <w:vAlign w:val="bottom"/>
            <w:gridSpan w:val="2"/>
          </w:tcPr>
          <w:p>
            <w:pPr>
              <w:ind w:left="140"/>
              <w:spacing w:after="0" w:line="202" w:lineRule="exact"/>
              <w:rPr>
                <w:sz w:val="20"/>
                <w:szCs w:val="20"/>
                <w:color w:val="auto"/>
              </w:rPr>
            </w:pPr>
            <w:r>
              <w:rPr>
                <w:rFonts w:ascii="Arial" w:cs="Arial" w:eastAsia="Arial" w:hAnsi="Arial"/>
                <w:sz w:val="20"/>
                <w:szCs w:val="20"/>
                <w:color w:val="auto"/>
              </w:rPr>
              <w:t>Sustainability Committee</w:t>
            </w:r>
          </w:p>
        </w:tc>
        <w:tc>
          <w:tcPr>
            <w:tcW w:w="680" w:type="dxa"/>
            <w:vAlign w:val="bottom"/>
          </w:tcPr>
          <w:p>
            <w:pPr>
              <w:spacing w:after="0"/>
              <w:rPr>
                <w:sz w:val="17"/>
                <w:szCs w:val="17"/>
                <w:color w:val="auto"/>
              </w:rPr>
            </w:pPr>
          </w:p>
        </w:tc>
        <w:tc>
          <w:tcPr>
            <w:tcW w:w="2620" w:type="dxa"/>
            <w:vAlign w:val="bottom"/>
          </w:tcPr>
          <w:p>
            <w:pPr>
              <w:ind w:left="160"/>
              <w:spacing w:after="0" w:line="202" w:lineRule="exact"/>
              <w:rPr>
                <w:sz w:val="20"/>
                <w:szCs w:val="20"/>
                <w:color w:val="auto"/>
              </w:rPr>
            </w:pPr>
            <w:r>
              <w:rPr>
                <w:rFonts w:ascii="Arial" w:cs="Arial" w:eastAsia="Arial" w:hAnsi="Arial"/>
                <w:sz w:val="20"/>
                <w:szCs w:val="20"/>
                <w:color w:val="auto"/>
              </w:rPr>
              <w:t>in an extensive onboarding</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500" w:type="dxa"/>
            <w:vAlign w:val="bottom"/>
            <w:gridSpan w:val="2"/>
          </w:tcPr>
          <w:p>
            <w:pPr>
              <w:ind w:left="140"/>
              <w:spacing w:after="0" w:line="196" w:lineRule="exact"/>
              <w:rPr>
                <w:sz w:val="20"/>
                <w:szCs w:val="20"/>
                <w:color w:val="auto"/>
              </w:rPr>
            </w:pPr>
            <w:r>
              <w:rPr>
                <w:rFonts w:ascii="Arial" w:cs="Arial" w:eastAsia="Arial" w:hAnsi="Arial"/>
                <w:sz w:val="20"/>
                <w:szCs w:val="20"/>
                <w:color w:val="auto"/>
              </w:rPr>
              <w:t>considers the periodic</w:t>
            </w:r>
          </w:p>
        </w:tc>
        <w:tc>
          <w:tcPr>
            <w:tcW w:w="680" w:type="dxa"/>
            <w:vAlign w:val="bottom"/>
          </w:tcPr>
          <w:p>
            <w:pPr>
              <w:spacing w:after="0"/>
              <w:rPr>
                <w:sz w:val="17"/>
                <w:szCs w:val="17"/>
                <w:color w:val="auto"/>
              </w:rPr>
            </w:pPr>
          </w:p>
        </w:tc>
        <w:tc>
          <w:tcPr>
            <w:tcW w:w="2620" w:type="dxa"/>
            <w:vAlign w:val="bottom"/>
          </w:tcPr>
          <w:p>
            <w:pPr>
              <w:ind w:left="160"/>
              <w:spacing w:after="0" w:line="196" w:lineRule="exact"/>
              <w:rPr>
                <w:sz w:val="20"/>
                <w:szCs w:val="20"/>
                <w:color w:val="auto"/>
              </w:rPr>
            </w:pPr>
            <w:r>
              <w:rPr>
                <w:rFonts w:ascii="Arial" w:cs="Arial" w:eastAsia="Arial" w:hAnsi="Arial"/>
                <w:sz w:val="20"/>
                <w:szCs w:val="20"/>
                <w:color w:val="auto"/>
              </w:rPr>
              <w:t>program, enabling new</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500" w:type="dxa"/>
            <w:vAlign w:val="bottom"/>
            <w:gridSpan w:val="2"/>
          </w:tcPr>
          <w:p>
            <w:pPr>
              <w:ind w:left="140"/>
              <w:spacing w:after="0" w:line="193" w:lineRule="exact"/>
              <w:rPr>
                <w:sz w:val="20"/>
                <w:szCs w:val="20"/>
                <w:color w:val="auto"/>
              </w:rPr>
            </w:pPr>
            <w:r>
              <w:rPr>
                <w:rFonts w:ascii="Arial" w:cs="Arial" w:eastAsia="Arial" w:hAnsi="Arial"/>
                <w:sz w:val="20"/>
                <w:szCs w:val="20"/>
                <w:color w:val="auto"/>
              </w:rPr>
              <w:t>rotation of Committee</w:t>
            </w:r>
          </w:p>
        </w:tc>
        <w:tc>
          <w:tcPr>
            <w:tcW w:w="680" w:type="dxa"/>
            <w:vAlign w:val="bottom"/>
          </w:tcPr>
          <w:p>
            <w:pPr>
              <w:spacing w:after="0"/>
              <w:rPr>
                <w:sz w:val="16"/>
                <w:szCs w:val="16"/>
                <w:color w:val="auto"/>
              </w:rPr>
            </w:pPr>
          </w:p>
        </w:tc>
        <w:tc>
          <w:tcPr>
            <w:tcW w:w="2620" w:type="dxa"/>
            <w:vAlign w:val="bottom"/>
          </w:tcPr>
          <w:p>
            <w:pPr>
              <w:ind w:left="160"/>
              <w:spacing w:after="0" w:line="193" w:lineRule="exact"/>
              <w:rPr>
                <w:sz w:val="20"/>
                <w:szCs w:val="20"/>
                <w:color w:val="auto"/>
              </w:rPr>
            </w:pPr>
            <w:r>
              <w:rPr>
                <w:rFonts w:ascii="Arial" w:cs="Arial" w:eastAsia="Arial" w:hAnsi="Arial"/>
                <w:sz w:val="20"/>
                <w:szCs w:val="20"/>
                <w:color w:val="auto"/>
              </w:rPr>
              <w:t>directors to quickly</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00" w:type="dxa"/>
            <w:vAlign w:val="bottom"/>
            <w:gridSpan w:val="2"/>
          </w:tcPr>
          <w:p>
            <w:pPr>
              <w:ind w:left="140"/>
              <w:spacing w:after="0" w:line="202" w:lineRule="exact"/>
              <w:rPr>
                <w:sz w:val="20"/>
                <w:szCs w:val="20"/>
                <w:color w:val="auto"/>
              </w:rPr>
            </w:pPr>
            <w:r>
              <w:rPr>
                <w:rFonts w:ascii="Arial" w:cs="Arial" w:eastAsia="Arial" w:hAnsi="Arial"/>
                <w:sz w:val="20"/>
                <w:szCs w:val="20"/>
                <w:color w:val="auto"/>
              </w:rPr>
              <w:t>members and Chairs to</w:t>
            </w:r>
          </w:p>
        </w:tc>
        <w:tc>
          <w:tcPr>
            <w:tcW w:w="680" w:type="dxa"/>
            <w:vAlign w:val="bottom"/>
          </w:tcPr>
          <w:p>
            <w:pPr>
              <w:spacing w:after="0"/>
              <w:rPr>
                <w:sz w:val="17"/>
                <w:szCs w:val="17"/>
                <w:color w:val="auto"/>
              </w:rPr>
            </w:pPr>
          </w:p>
        </w:tc>
        <w:tc>
          <w:tcPr>
            <w:tcW w:w="2620" w:type="dxa"/>
            <w:vAlign w:val="bottom"/>
          </w:tcPr>
          <w:p>
            <w:pPr>
              <w:ind w:left="160"/>
              <w:spacing w:after="0" w:line="202" w:lineRule="exact"/>
              <w:rPr>
                <w:sz w:val="20"/>
                <w:szCs w:val="20"/>
                <w:color w:val="auto"/>
              </w:rPr>
            </w:pPr>
            <w:r>
              <w:rPr>
                <w:rFonts w:ascii="Arial" w:cs="Arial" w:eastAsia="Arial" w:hAnsi="Arial"/>
                <w:sz w:val="20"/>
                <w:szCs w:val="20"/>
                <w:color w:val="auto"/>
              </w:rPr>
              <w:t>enhance their strategic</w:t>
            </w:r>
          </w:p>
        </w:tc>
        <w:tc>
          <w:tcPr>
            <w:tcW w:w="0" w:type="dxa"/>
            <w:vAlign w:val="bottom"/>
          </w:tcPr>
          <w:p>
            <w:pPr>
              <w:spacing w:after="0"/>
              <w:rPr>
                <w:sz w:val="1"/>
                <w:szCs w:val="1"/>
                <w:color w:val="auto"/>
              </w:rPr>
            </w:pPr>
          </w:p>
        </w:tc>
      </w:tr>
      <w:tr>
        <w:trPr>
          <w:trHeight w:val="196"/>
        </w:trPr>
        <w:tc>
          <w:tcPr>
            <w:tcW w:w="660" w:type="dxa"/>
            <w:vAlign w:val="bottom"/>
            <w:vMerge w:val="restart"/>
          </w:tcPr>
          <w:p>
            <w:pPr>
              <w:ind w:left="340"/>
              <w:spacing w:after="0"/>
              <w:rPr>
                <w:sz w:val="20"/>
                <w:szCs w:val="20"/>
                <w:color w:val="auto"/>
              </w:rPr>
            </w:pPr>
            <w:r>
              <w:rPr>
                <w:rFonts w:ascii="Arial" w:cs="Arial" w:eastAsia="Arial" w:hAnsi="Arial"/>
                <w:sz w:val="29"/>
                <w:szCs w:val="29"/>
                <w:color w:val="BD03F7"/>
              </w:rPr>
              <w:t>•</w:t>
            </w:r>
          </w:p>
        </w:tc>
        <w:tc>
          <w:tcPr>
            <w:tcW w:w="2500" w:type="dxa"/>
            <w:vAlign w:val="bottom"/>
            <w:gridSpan w:val="2"/>
          </w:tcPr>
          <w:p>
            <w:pPr>
              <w:ind w:left="140"/>
              <w:spacing w:after="0" w:line="196" w:lineRule="exact"/>
              <w:rPr>
                <w:sz w:val="20"/>
                <w:szCs w:val="20"/>
                <w:color w:val="auto"/>
              </w:rPr>
            </w:pPr>
            <w:r>
              <w:rPr>
                <w:rFonts w:ascii="Arial" w:cs="Arial" w:eastAsia="Arial" w:hAnsi="Arial"/>
                <w:sz w:val="20"/>
                <w:szCs w:val="20"/>
                <w:color w:val="auto"/>
              </w:rPr>
              <w:t>introduce fresh</w:t>
            </w:r>
          </w:p>
        </w:tc>
        <w:tc>
          <w:tcPr>
            <w:tcW w:w="680" w:type="dxa"/>
            <w:vAlign w:val="bottom"/>
            <w:vMerge w:val="restart"/>
          </w:tcPr>
          <w:p>
            <w:pPr>
              <w:jc w:val="right"/>
              <w:ind w:right="112"/>
              <w:spacing w:after="0"/>
              <w:rPr>
                <w:sz w:val="20"/>
                <w:szCs w:val="20"/>
                <w:color w:val="auto"/>
              </w:rPr>
            </w:pPr>
            <w:r>
              <w:rPr>
                <w:rFonts w:ascii="Arial" w:cs="Arial" w:eastAsia="Arial" w:hAnsi="Arial"/>
                <w:sz w:val="29"/>
                <w:szCs w:val="29"/>
                <w:color w:val="BD03F7"/>
              </w:rPr>
              <w:t>•</w:t>
            </w:r>
          </w:p>
        </w:tc>
        <w:tc>
          <w:tcPr>
            <w:tcW w:w="2620" w:type="dxa"/>
            <w:vAlign w:val="bottom"/>
          </w:tcPr>
          <w:p>
            <w:pPr>
              <w:ind w:left="160"/>
              <w:spacing w:after="0" w:line="196" w:lineRule="exact"/>
              <w:rPr>
                <w:sz w:val="20"/>
                <w:szCs w:val="20"/>
                <w:color w:val="auto"/>
              </w:rPr>
            </w:pPr>
            <w:r>
              <w:rPr>
                <w:rFonts w:ascii="Arial" w:cs="Arial" w:eastAsia="Arial" w:hAnsi="Arial"/>
                <w:sz w:val="20"/>
                <w:szCs w:val="20"/>
                <w:color w:val="auto"/>
              </w:rPr>
              <w:t>value to our Board. See</w:t>
            </w:r>
          </w:p>
        </w:tc>
        <w:tc>
          <w:tcPr>
            <w:tcW w:w="0" w:type="dxa"/>
            <w:vAlign w:val="bottom"/>
          </w:tcPr>
          <w:p>
            <w:pPr>
              <w:spacing w:after="0"/>
              <w:rPr>
                <w:sz w:val="1"/>
                <w:szCs w:val="1"/>
                <w:color w:val="auto"/>
              </w:rPr>
            </w:pPr>
          </w:p>
        </w:tc>
      </w:tr>
      <w:tr>
        <w:trPr>
          <w:trHeight w:val="193"/>
        </w:trPr>
        <w:tc>
          <w:tcPr>
            <w:tcW w:w="660" w:type="dxa"/>
            <w:vAlign w:val="bottom"/>
            <w:vMerge w:val="continue"/>
          </w:tcPr>
          <w:p>
            <w:pPr>
              <w:spacing w:after="0"/>
              <w:rPr>
                <w:sz w:val="16"/>
                <w:szCs w:val="16"/>
                <w:color w:val="auto"/>
              </w:rPr>
            </w:pPr>
          </w:p>
        </w:tc>
        <w:tc>
          <w:tcPr>
            <w:tcW w:w="2500" w:type="dxa"/>
            <w:vAlign w:val="bottom"/>
            <w:gridSpan w:val="2"/>
          </w:tcPr>
          <w:p>
            <w:pPr>
              <w:ind w:left="140"/>
              <w:spacing w:after="0" w:line="193" w:lineRule="exact"/>
              <w:rPr>
                <w:sz w:val="20"/>
                <w:szCs w:val="20"/>
                <w:color w:val="auto"/>
              </w:rPr>
            </w:pPr>
            <w:r>
              <w:rPr>
                <w:rFonts w:ascii="Arial" w:cs="Arial" w:eastAsia="Arial" w:hAnsi="Arial"/>
                <w:sz w:val="20"/>
                <w:szCs w:val="20"/>
                <w:color w:val="auto"/>
              </w:rPr>
              <w:t>perspectives and</w:t>
            </w:r>
          </w:p>
        </w:tc>
        <w:tc>
          <w:tcPr>
            <w:tcW w:w="680" w:type="dxa"/>
            <w:vAlign w:val="bottom"/>
            <w:vMerge w:val="continue"/>
          </w:tcPr>
          <w:p>
            <w:pPr>
              <w:spacing w:after="0"/>
              <w:rPr>
                <w:sz w:val="16"/>
                <w:szCs w:val="16"/>
                <w:color w:val="auto"/>
              </w:rPr>
            </w:pPr>
          </w:p>
        </w:tc>
        <w:tc>
          <w:tcPr>
            <w:tcW w:w="2620" w:type="dxa"/>
            <w:vAlign w:val="bottom"/>
          </w:tcPr>
          <w:p>
            <w:pPr>
              <w:ind w:left="160"/>
              <w:spacing w:after="0" w:line="193" w:lineRule="exact"/>
              <w:rPr>
                <w:sz w:val="20"/>
                <w:szCs w:val="20"/>
                <w:color w:val="auto"/>
              </w:rPr>
            </w:pPr>
            <w:r>
              <w:rPr>
                <w:rFonts w:ascii="Arial" w:cs="Arial" w:eastAsia="Arial" w:hAnsi="Arial"/>
                <w:sz w:val="20"/>
                <w:szCs w:val="20"/>
                <w:color w:val="auto"/>
              </w:rPr>
              <w:t>”Director Onboarding and</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00" w:type="dxa"/>
            <w:vAlign w:val="bottom"/>
            <w:gridSpan w:val="2"/>
          </w:tcPr>
          <w:p>
            <w:pPr>
              <w:ind w:left="140"/>
              <w:spacing w:after="0" w:line="202" w:lineRule="exact"/>
              <w:rPr>
                <w:sz w:val="20"/>
                <w:szCs w:val="20"/>
                <w:color w:val="auto"/>
              </w:rPr>
            </w:pPr>
            <w:r>
              <w:rPr>
                <w:rFonts w:ascii="Arial" w:cs="Arial" w:eastAsia="Arial" w:hAnsi="Arial"/>
                <w:sz w:val="20"/>
                <w:szCs w:val="20"/>
                <w:color w:val="auto"/>
              </w:rPr>
              <w:t>broaden and diversify the</w:t>
            </w:r>
          </w:p>
        </w:tc>
        <w:tc>
          <w:tcPr>
            <w:tcW w:w="680" w:type="dxa"/>
            <w:vAlign w:val="bottom"/>
          </w:tcPr>
          <w:p>
            <w:pPr>
              <w:spacing w:after="0"/>
              <w:rPr>
                <w:sz w:val="17"/>
                <w:szCs w:val="17"/>
                <w:color w:val="auto"/>
              </w:rPr>
            </w:pPr>
          </w:p>
        </w:tc>
        <w:tc>
          <w:tcPr>
            <w:tcW w:w="2620" w:type="dxa"/>
            <w:vAlign w:val="bottom"/>
          </w:tcPr>
          <w:p>
            <w:pPr>
              <w:ind w:left="160"/>
              <w:spacing w:after="0" w:line="202" w:lineRule="exact"/>
              <w:rPr>
                <w:sz w:val="20"/>
                <w:szCs w:val="20"/>
                <w:color w:val="auto"/>
              </w:rPr>
            </w:pPr>
            <w:r>
              <w:rPr>
                <w:rFonts w:ascii="Arial" w:cs="Arial" w:eastAsia="Arial" w:hAnsi="Arial"/>
                <w:sz w:val="20"/>
                <w:szCs w:val="20"/>
                <w:color w:val="auto"/>
              </w:rPr>
              <w:t>Continuing Education”</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500" w:type="dxa"/>
            <w:vAlign w:val="bottom"/>
            <w:gridSpan w:val="2"/>
          </w:tcPr>
          <w:p>
            <w:pPr>
              <w:ind w:left="140"/>
              <w:spacing w:after="0" w:line="196" w:lineRule="exact"/>
              <w:rPr>
                <w:sz w:val="20"/>
                <w:szCs w:val="20"/>
                <w:color w:val="auto"/>
              </w:rPr>
            </w:pPr>
            <w:r>
              <w:rPr>
                <w:rFonts w:ascii="Arial" w:cs="Arial" w:eastAsia="Arial" w:hAnsi="Arial"/>
                <w:sz w:val="20"/>
                <w:szCs w:val="20"/>
                <w:color w:val="auto"/>
              </w:rPr>
              <w:t>views and experience</w:t>
            </w:r>
          </w:p>
        </w:tc>
        <w:tc>
          <w:tcPr>
            <w:tcW w:w="680" w:type="dxa"/>
            <w:vAlign w:val="bottom"/>
          </w:tcPr>
          <w:p>
            <w:pPr>
              <w:spacing w:after="0"/>
              <w:rPr>
                <w:sz w:val="17"/>
                <w:szCs w:val="17"/>
                <w:color w:val="auto"/>
              </w:rPr>
            </w:pPr>
          </w:p>
        </w:tc>
        <w:tc>
          <w:tcPr>
            <w:tcW w:w="2620" w:type="dxa"/>
            <w:vAlign w:val="bottom"/>
          </w:tcPr>
          <w:p>
            <w:pPr>
              <w:ind w:left="160"/>
              <w:spacing w:after="0" w:line="196" w:lineRule="exact"/>
              <w:rPr>
                <w:sz w:val="20"/>
                <w:szCs w:val="20"/>
                <w:color w:val="auto"/>
              </w:rPr>
            </w:pPr>
            <w:r>
              <w:rPr>
                <w:rFonts w:ascii="Arial" w:cs="Arial" w:eastAsia="Arial" w:hAnsi="Arial"/>
                <w:sz w:val="20"/>
                <w:szCs w:val="20"/>
                <w:color w:val="auto"/>
              </w:rPr>
              <w:t>below for additional</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500" w:type="dxa"/>
            <w:vAlign w:val="bottom"/>
            <w:gridSpan w:val="2"/>
          </w:tcPr>
          <w:p>
            <w:pPr>
              <w:ind w:left="140"/>
              <w:spacing w:after="0" w:line="193" w:lineRule="exact"/>
              <w:rPr>
                <w:sz w:val="20"/>
                <w:szCs w:val="20"/>
                <w:color w:val="auto"/>
              </w:rPr>
            </w:pPr>
            <w:r>
              <w:rPr>
                <w:rFonts w:ascii="Arial" w:cs="Arial" w:eastAsia="Arial" w:hAnsi="Arial"/>
                <w:sz w:val="20"/>
                <w:szCs w:val="20"/>
                <w:color w:val="auto"/>
              </w:rPr>
              <w:t>represented on the</w:t>
            </w:r>
          </w:p>
        </w:tc>
        <w:tc>
          <w:tcPr>
            <w:tcW w:w="680" w:type="dxa"/>
            <w:vAlign w:val="bottom"/>
          </w:tcPr>
          <w:p>
            <w:pPr>
              <w:spacing w:after="0"/>
              <w:rPr>
                <w:sz w:val="16"/>
                <w:szCs w:val="16"/>
                <w:color w:val="auto"/>
              </w:rPr>
            </w:pPr>
          </w:p>
        </w:tc>
        <w:tc>
          <w:tcPr>
            <w:tcW w:w="2620" w:type="dxa"/>
            <w:vAlign w:val="bottom"/>
          </w:tcPr>
          <w:p>
            <w:pPr>
              <w:ind w:left="160"/>
              <w:spacing w:after="0" w:line="193" w:lineRule="exact"/>
              <w:rPr>
                <w:sz w:val="20"/>
                <w:szCs w:val="20"/>
                <w:color w:val="auto"/>
              </w:rPr>
            </w:pPr>
            <w:r>
              <w:rPr>
                <w:rFonts w:ascii="Arial" w:cs="Arial" w:eastAsia="Arial" w:hAnsi="Arial"/>
                <w:sz w:val="20"/>
                <w:szCs w:val="20"/>
                <w:color w:val="auto"/>
              </w:rPr>
              <w:t>information regarding</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500" w:type="dxa"/>
            <w:vAlign w:val="bottom"/>
            <w:gridSpan w:val="2"/>
          </w:tcPr>
          <w:p>
            <w:pPr>
              <w:ind w:left="140"/>
              <w:spacing w:after="0" w:line="202" w:lineRule="exact"/>
              <w:rPr>
                <w:sz w:val="20"/>
                <w:szCs w:val="20"/>
                <w:color w:val="auto"/>
              </w:rPr>
            </w:pPr>
            <w:r>
              <w:rPr>
                <w:rFonts w:ascii="Arial" w:cs="Arial" w:eastAsia="Arial" w:hAnsi="Arial"/>
                <w:sz w:val="20"/>
                <w:szCs w:val="20"/>
                <w:color w:val="auto"/>
              </w:rPr>
              <w:t>Board’s standing</w:t>
            </w:r>
          </w:p>
        </w:tc>
        <w:tc>
          <w:tcPr>
            <w:tcW w:w="680" w:type="dxa"/>
            <w:vAlign w:val="bottom"/>
          </w:tcPr>
          <w:p>
            <w:pPr>
              <w:spacing w:after="0"/>
              <w:rPr>
                <w:sz w:val="17"/>
                <w:szCs w:val="17"/>
                <w:color w:val="auto"/>
              </w:rPr>
            </w:pPr>
          </w:p>
        </w:tc>
        <w:tc>
          <w:tcPr>
            <w:tcW w:w="2620" w:type="dxa"/>
            <w:vAlign w:val="bottom"/>
          </w:tcPr>
          <w:p>
            <w:pPr>
              <w:ind w:left="160"/>
              <w:spacing w:after="0" w:line="202" w:lineRule="exact"/>
              <w:rPr>
                <w:sz w:val="20"/>
                <w:szCs w:val="20"/>
                <w:color w:val="auto"/>
              </w:rPr>
            </w:pPr>
            <w:r>
              <w:rPr>
                <w:rFonts w:ascii="Arial" w:cs="Arial" w:eastAsia="Arial" w:hAnsi="Arial"/>
                <w:sz w:val="20"/>
                <w:szCs w:val="20"/>
                <w:color w:val="auto"/>
              </w:rPr>
              <w:t>director onboarding.</w:t>
            </w: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2500" w:type="dxa"/>
            <w:vAlign w:val="bottom"/>
            <w:gridSpan w:val="2"/>
          </w:tcPr>
          <w:p>
            <w:pPr>
              <w:ind w:left="140"/>
              <w:spacing w:after="0"/>
              <w:rPr>
                <w:sz w:val="20"/>
                <w:szCs w:val="20"/>
                <w:color w:val="auto"/>
              </w:rPr>
            </w:pPr>
            <w:r>
              <w:rPr>
                <w:rFonts w:ascii="Arial" w:cs="Arial" w:eastAsia="Arial" w:hAnsi="Arial"/>
                <w:sz w:val="20"/>
                <w:szCs w:val="20"/>
                <w:color w:val="auto"/>
              </w:rPr>
              <w:t>Committees.</w:t>
            </w:r>
          </w:p>
        </w:tc>
        <w:tc>
          <w:tcPr>
            <w:tcW w:w="6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360"/>
        <w:spacing w:after="0"/>
        <w:rPr>
          <w:sz w:val="20"/>
          <w:szCs w:val="20"/>
          <w:color w:val="auto"/>
        </w:rPr>
      </w:pPr>
      <w:r>
        <w:rPr>
          <w:rFonts w:ascii="Arial" w:cs="Arial" w:eastAsia="Arial" w:hAnsi="Arial"/>
          <w:sz w:val="29"/>
          <w:szCs w:val="29"/>
          <w:b w:val="1"/>
          <w:bCs w:val="1"/>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20986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98675" cy="8255"/>
                    </a:xfrm>
                    <a:prstGeom prst="rect">
                      <a:avLst/>
                    </a:prstGeom>
                    <a:noFill/>
                  </pic:spPr>
                </pic:pic>
              </a:graphicData>
            </a:graphic>
          </wp:anchor>
        </w:drawing>
      </w:r>
    </w:p>
    <w:p>
      <w:pPr>
        <w:spacing w:after="0" w:line="1" w:lineRule="exact"/>
        <w:rPr>
          <w:sz w:val="20"/>
          <w:szCs w:val="20"/>
          <w:color w:val="auto"/>
        </w:rPr>
      </w:pPr>
    </w:p>
    <w:p>
      <w:pPr>
        <w:ind w:left="840" w:right="740"/>
        <w:spacing w:after="0" w:line="231" w:lineRule="auto"/>
        <w:rPr>
          <w:sz w:val="20"/>
          <w:szCs w:val="20"/>
          <w:color w:val="auto"/>
        </w:rPr>
      </w:pPr>
      <w:r>
        <w:rPr>
          <w:rFonts w:ascii="Arial" w:cs="Arial" w:eastAsia="Arial" w:hAnsi="Arial"/>
          <w:sz w:val="19"/>
          <w:szCs w:val="19"/>
          <w:color w:val="auto"/>
        </w:rPr>
        <w:t>Our process has resulted in three new directors in the</w:t>
      </w:r>
    </w:p>
    <w:p>
      <w:pPr>
        <w:spacing w:after="0" w:line="1" w:lineRule="exact"/>
        <w:rPr>
          <w:sz w:val="20"/>
          <w:szCs w:val="20"/>
          <w:color w:val="auto"/>
        </w:rPr>
      </w:pPr>
    </w:p>
    <w:p>
      <w:pPr>
        <w:ind w:left="840" w:right="800"/>
        <w:spacing w:after="0" w:line="214" w:lineRule="auto"/>
        <w:rPr>
          <w:sz w:val="20"/>
          <w:szCs w:val="20"/>
          <w:color w:val="auto"/>
        </w:rPr>
      </w:pPr>
      <w:r>
        <w:rPr>
          <w:rFonts w:ascii="Arial" w:cs="Arial" w:eastAsia="Arial" w:hAnsi="Arial"/>
          <w:sz w:val="19"/>
          <w:szCs w:val="19"/>
          <w:color w:val="auto"/>
        </w:rPr>
        <w:t>last two years, each of whom contributes a variety</w:t>
      </w:r>
    </w:p>
    <w:p>
      <w:pPr>
        <w:ind w:left="840"/>
        <w:spacing w:after="0" w:line="210" w:lineRule="auto"/>
        <w:rPr>
          <w:sz w:val="20"/>
          <w:szCs w:val="20"/>
          <w:color w:val="auto"/>
        </w:rPr>
      </w:pPr>
      <w:r>
        <w:rPr>
          <w:rFonts w:ascii="Arial" w:cs="Arial" w:eastAsia="Arial" w:hAnsi="Arial"/>
          <w:sz w:val="20"/>
          <w:szCs w:val="20"/>
          <w:color w:val="auto"/>
        </w:rPr>
        <w:t>of skills, attributes and</w:t>
      </w:r>
    </w:p>
    <w:p>
      <w:pPr>
        <w:ind w:left="840" w:right="700" w:hanging="510"/>
        <w:spacing w:after="0" w:line="180" w:lineRule="auto"/>
        <w:tabs>
          <w:tab w:leader="none" w:pos="840" w:val="left"/>
        </w:tabs>
        <w:numPr>
          <w:ilvl w:val="0"/>
          <w:numId w:val="34"/>
        </w:numPr>
        <w:rPr>
          <w:rFonts w:ascii="Arial" w:cs="Arial" w:eastAsia="Arial" w:hAnsi="Arial"/>
          <w:sz w:val="39"/>
          <w:szCs w:val="39"/>
          <w:color w:val="BD03F7"/>
          <w:vertAlign w:val="subscript"/>
        </w:rPr>
      </w:pPr>
      <w:r>
        <w:rPr>
          <w:rFonts w:ascii="Arial" w:cs="Arial" w:eastAsia="Arial" w:hAnsi="Arial"/>
          <w:sz w:val="17"/>
          <w:szCs w:val="17"/>
          <w:color w:val="auto"/>
        </w:rPr>
        <w:t>experiences to enhance our Board. See ”Board Refreshment” below.</w:t>
      </w:r>
    </w:p>
    <w:p>
      <w:pPr>
        <w:spacing w:after="0" w:line="873" w:lineRule="exact"/>
        <w:rPr>
          <w:sz w:val="20"/>
          <w:szCs w:val="20"/>
          <w:color w:val="auto"/>
        </w:rPr>
      </w:pPr>
    </w:p>
    <w:p>
      <w:pPr>
        <w:sectPr>
          <w:pgSz w:w="11900" w:h="16838" w:orient="portrait"/>
          <w:cols w:equalWidth="0" w:num="2">
            <w:col w:w="7120" w:space="140"/>
            <w:col w:w="3980"/>
          </w:cols>
          <w:pgMar w:left="320" w:top="125" w:right="339" w:bottom="1440" w:gutter="0" w:footer="0" w:header="0"/>
          <w:type w:val="continuous"/>
        </w:sectPr>
      </w:pPr>
    </w:p>
    <w:p>
      <w:pPr>
        <w:ind w:left="680" w:right="820"/>
        <w:spacing w:after="0"/>
        <w:rPr>
          <w:sz w:val="20"/>
          <w:szCs w:val="20"/>
          <w:color w:val="auto"/>
        </w:rPr>
      </w:pPr>
      <w:r>
        <w:rPr>
          <w:rFonts w:ascii="Arial" w:cs="Arial" w:eastAsia="Arial" w:hAnsi="Arial"/>
          <w:sz w:val="18"/>
          <w:szCs w:val="18"/>
          <w:color w:val="auto"/>
        </w:rPr>
        <w:t>*The Governance and Sustainability Committee considers the following skills and experience particularly relevant for the Board: experience in the semiconductor industry or related industries; strong business acumen and judgment; excellent interpersonal skills; business relationships with key individuals in industry, government, and education that may be of assistance to us and our operations; familiarity with accounting rules and practices; and “independence” as defined and required by the Listing Rules of the Nasdaq and relevant rules and regulations of the Securities and Exchange Commission (the “SEC”).</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REFRESHMENT</w:t>
      </w:r>
    </w:p>
    <w:p>
      <w:pPr>
        <w:spacing w:after="0" w:line="23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Our Board believes that periodic director refreshment can provide new experiences and fresh perspectives to the Board and is most effective if it is sufficiently balanced with continuity among Board members that will allow for the sharing of historical perspectives and experiences relevant to the Company. Our Board seeks to achieve this balance through its director succession planning process, as well as in response to the annual Board and individual director assessment process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Five of our eight continuing directors have been appointed since 2020. With the recent appointments of Mr. Swan in 2024 and Mr. Liu</w:t>
      </w:r>
    </w:p>
    <w:p>
      <w:pPr>
        <w:spacing w:after="0" w:line="24" w:lineRule="exact"/>
        <w:rPr>
          <w:sz w:val="20"/>
          <w:szCs w:val="20"/>
          <w:color w:val="auto"/>
        </w:rPr>
      </w:pPr>
    </w:p>
    <w:p>
      <w:pPr>
        <w:ind w:right="540"/>
        <w:spacing w:after="0" w:line="236" w:lineRule="auto"/>
        <w:rPr>
          <w:sz w:val="20"/>
          <w:szCs w:val="20"/>
          <w:color w:val="auto"/>
        </w:rPr>
      </w:pPr>
      <w:r>
        <w:rPr>
          <w:rFonts w:ascii="Arial" w:cs="Arial" w:eastAsia="Arial" w:hAnsi="Arial"/>
          <w:sz w:val="18"/>
          <w:szCs w:val="18"/>
          <w:color w:val="auto"/>
        </w:rPr>
        <w:t>and Ms. Simons in 2025, our Board refreshed its composition while maintaining institutional knowledge with directors of varying lengths of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151765</wp:posOffset>
            </wp:positionV>
            <wp:extent cx="5017135" cy="28581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17135" cy="285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ONBOARDING AND CONTINUING EDUCATION</w:t>
      </w:r>
    </w:p>
    <w:p>
      <w:pPr>
        <w:spacing w:after="0" w:line="236"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We maintain a comprehensive director onboarding program, which is regularly updated, focused on introducing new directors to our business and facilitating director integration on our Board. Our program is designed to familiarize new directors with our business, organization, strategies and policies, and assists new directors in developing company and industry knowledge to optimize their service on the Board. Our process is individualized for each director, taking into account their existing skills and background. The orientation program includes one-on-one meetings with several members of our senior management team, to familiarize new</w:t>
      </w:r>
    </w:p>
    <w:p>
      <w:pPr>
        <w:spacing w:after="0" w:line="4" w:lineRule="exact"/>
        <w:rPr>
          <w:sz w:val="20"/>
          <w:szCs w:val="20"/>
          <w:color w:val="auto"/>
        </w:rPr>
      </w:pPr>
    </w:p>
    <w:p>
      <w:pPr>
        <w:jc w:val="both"/>
        <w:ind w:right="560"/>
        <w:spacing w:after="0" w:line="236" w:lineRule="auto"/>
        <w:rPr>
          <w:sz w:val="20"/>
          <w:szCs w:val="20"/>
          <w:color w:val="auto"/>
        </w:rPr>
      </w:pPr>
      <w:r>
        <w:rPr>
          <w:rFonts w:ascii="Arial" w:cs="Arial" w:eastAsia="Arial" w:hAnsi="Arial"/>
          <w:sz w:val="18"/>
          <w:szCs w:val="18"/>
          <w:color w:val="auto"/>
        </w:rPr>
        <w:t>directors with Micron’s financial position and strategic plans, compliance programs and policies, risk management policies, and operations of the Board.</w:t>
      </w:r>
    </w:p>
    <w:p>
      <w:pPr>
        <w:spacing w:after="0" w:line="206" w:lineRule="exact"/>
        <w:rPr>
          <w:sz w:val="20"/>
          <w:szCs w:val="20"/>
          <w:color w:val="auto"/>
        </w:rPr>
      </w:pPr>
    </w:p>
    <w:p>
      <w:pPr>
        <w:jc w:val="both"/>
        <w:ind w:right="580"/>
        <w:spacing w:after="0" w:line="251" w:lineRule="auto"/>
        <w:rPr>
          <w:sz w:val="20"/>
          <w:szCs w:val="20"/>
          <w:color w:val="auto"/>
        </w:rPr>
      </w:pPr>
      <w:r>
        <w:rPr>
          <w:rFonts w:ascii="Arial" w:cs="Arial" w:eastAsia="Arial" w:hAnsi="Arial"/>
          <w:sz w:val="18"/>
          <w:szCs w:val="18"/>
          <w:color w:val="auto"/>
        </w:rPr>
        <w:t>Regular continuing education programs enhance the skills and knowledge directors use to perform their responsibilities. These programs may include internally developed materials and presentations, programs presented by third parties and financial and administrative support to attend academic or other independent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SELF-EVALUATION</w:t>
      </w:r>
    </w:p>
    <w:p>
      <w:pPr>
        <w:spacing w:after="0" w:line="23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Governance and Sustainability Committee oversees the Board’s ongoing and annual assessments of its effectiveness, including the effectiveness of its committees and directors. All directors complete an evaluation form for the Board and for each committee on which they serve. These forms include ratings for certain key metrics, as well as the opportunity for written comments. The comments provide key insights into the areas in which directors believe the Board can improve or in which its performance is strong. Evaluation topics include number and length of meetings, topics covered, and materials provided, committee structure, and activities, Board composition and expertise, succession planning, director participation and interaction with management, and promotion of ethical behavior. Our Board considers the results when making decisions on the composition,</w:t>
      </w:r>
    </w:p>
    <w:p>
      <w:pPr>
        <w:sectPr>
          <w:pgSz w:w="11900" w:h="16838" w:orient="portrait"/>
          <w:cols w:equalWidth="0" w:num="1">
            <w:col w:w="10580"/>
          </w:cols>
          <w:pgMar w:left="98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120"/>
        <w:spacing w:after="0"/>
        <w:rPr>
          <w:sz w:val="20"/>
          <w:szCs w:val="20"/>
          <w:color w:val="auto"/>
        </w:rPr>
      </w:pPr>
      <w:r>
        <w:rPr>
          <w:sz w:val="1"/>
          <w:szCs w:val="1"/>
          <w:color w:val="auto"/>
        </w:rPr>
        <w:drawing>
          <wp:inline distT="0" distB="0" distL="0" distR="0">
            <wp:extent cx="776605" cy="16192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104775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20"/>
        <w:spacing w:after="0" w:line="251" w:lineRule="auto"/>
        <w:rPr>
          <w:sz w:val="20"/>
          <w:szCs w:val="20"/>
          <w:color w:val="auto"/>
        </w:rPr>
      </w:pPr>
      <w:r>
        <w:rPr>
          <w:rFonts w:ascii="Arial" w:cs="Arial" w:eastAsia="Arial" w:hAnsi="Arial"/>
          <w:sz w:val="18"/>
          <w:szCs w:val="18"/>
          <w:color w:val="auto"/>
        </w:rPr>
        <w:t>structure and responsibilities of our Board and its committees, agendas and meeting schedules for our Board and its committees, and changes in the performance or functioning of our Board. Such evaluations are also taken into account by the Board in making decisions regarding nominations of directors.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DIRECTOR TIME COMMITMENT POLICY</w:t>
      </w:r>
    </w:p>
    <w:p>
      <w:pPr>
        <w:spacing w:after="0" w:line="236" w:lineRule="exact"/>
        <w:rPr>
          <w:sz w:val="20"/>
          <w:szCs w:val="20"/>
          <w:color w:val="auto"/>
        </w:rPr>
      </w:pPr>
    </w:p>
    <w:p>
      <w:pPr>
        <w:ind w:left="660" w:right="280"/>
        <w:spacing w:after="0" w:line="269" w:lineRule="auto"/>
        <w:rPr>
          <w:sz w:val="20"/>
          <w:szCs w:val="20"/>
          <w:color w:val="auto"/>
        </w:rPr>
      </w:pPr>
      <w:r>
        <w:rPr>
          <w:rFonts w:ascii="Arial" w:cs="Arial" w:eastAsia="Arial" w:hAnsi="Arial"/>
          <w:sz w:val="18"/>
          <w:szCs w:val="18"/>
          <w:color w:val="auto"/>
        </w:rPr>
        <w:t>Our Corporate Governance Guidelines contain the following limits on the number of public company board commitments a director may have.</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42"/>
        </w:trPr>
        <w:tc>
          <w:tcPr>
            <w:tcW w:w="3380" w:type="dxa"/>
            <w:vAlign w:val="bottom"/>
            <w:tcBorders>
              <w:top w:val="single" w:sz="8" w:color="BD03F7"/>
              <w:bottom w:val="single" w:sz="8" w:color="BD03F7"/>
            </w:tcBorders>
          </w:tcPr>
          <w:p>
            <w:pPr>
              <w:ind w:left="20"/>
              <w:spacing w:after="0"/>
              <w:rPr>
                <w:sz w:val="20"/>
                <w:szCs w:val="20"/>
                <w:color w:val="auto"/>
              </w:rPr>
            </w:pPr>
            <w:r>
              <w:rPr>
                <w:rFonts w:ascii="Arial" w:cs="Arial" w:eastAsia="Arial" w:hAnsi="Arial"/>
                <w:sz w:val="18"/>
                <w:szCs w:val="18"/>
                <w:b w:val="1"/>
                <w:bCs w:val="1"/>
                <w:color w:val="auto"/>
              </w:rPr>
              <w:t>Director Category</w:t>
            </w:r>
          </w:p>
        </w:tc>
        <w:tc>
          <w:tcPr>
            <w:tcW w:w="6180" w:type="dxa"/>
            <w:vAlign w:val="bottom"/>
            <w:tcBorders>
              <w:top w:val="single" w:sz="8" w:color="BD03F7"/>
              <w:bottom w:val="single" w:sz="8" w:color="BD03F7"/>
            </w:tcBorders>
          </w:tcPr>
          <w:p>
            <w:pPr>
              <w:ind w:left="1400"/>
              <w:spacing w:after="0"/>
              <w:rPr>
                <w:sz w:val="20"/>
                <w:szCs w:val="20"/>
                <w:color w:val="auto"/>
              </w:rPr>
            </w:pPr>
            <w:r>
              <w:rPr>
                <w:rFonts w:ascii="Arial" w:cs="Arial" w:eastAsia="Arial" w:hAnsi="Arial"/>
                <w:sz w:val="18"/>
                <w:szCs w:val="18"/>
                <w:b w:val="1"/>
                <w:bCs w:val="1"/>
                <w:color w:val="auto"/>
              </w:rPr>
              <w:t>Director Time Service Limits</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Non-Employee Directors</w:t>
            </w:r>
          </w:p>
        </w:tc>
        <w:tc>
          <w:tcPr>
            <w:tcW w:w="6180" w:type="dxa"/>
            <w:vAlign w:val="bottom"/>
          </w:tcPr>
          <w:p>
            <w:pPr>
              <w:ind w:left="1400"/>
              <w:spacing w:after="0"/>
              <w:rPr>
                <w:sz w:val="20"/>
                <w:szCs w:val="20"/>
                <w:color w:val="auto"/>
              </w:rPr>
            </w:pPr>
            <w:r>
              <w:rPr>
                <w:rFonts w:ascii="Arial" w:cs="Arial" w:eastAsia="Arial" w:hAnsi="Arial"/>
                <w:sz w:val="18"/>
                <w:szCs w:val="18"/>
                <w:color w:val="auto"/>
              </w:rPr>
              <w:t>No More than 4 Other Public Company Boards</w:t>
            </w:r>
          </w:p>
        </w:tc>
      </w:tr>
      <w:tr>
        <w:trPr>
          <w:trHeight w:val="234"/>
        </w:trPr>
        <w:tc>
          <w:tcPr>
            <w:tcW w:w="3380" w:type="dxa"/>
            <w:vAlign w:val="bottom"/>
            <w:tcBorders>
              <w:bottom w:val="single" w:sz="8" w:color="BD03F7"/>
            </w:tcBorders>
          </w:tcPr>
          <w:p>
            <w:pPr>
              <w:ind w:left="20"/>
              <w:spacing w:after="0"/>
              <w:rPr>
                <w:sz w:val="20"/>
                <w:szCs w:val="20"/>
                <w:color w:val="auto"/>
              </w:rPr>
            </w:pPr>
            <w:r>
              <w:rPr>
                <w:rFonts w:ascii="Arial" w:cs="Arial" w:eastAsia="Arial" w:hAnsi="Arial"/>
                <w:sz w:val="18"/>
                <w:szCs w:val="18"/>
                <w:color w:val="auto"/>
              </w:rPr>
              <w:t>Employee Directors</w:t>
            </w:r>
          </w:p>
        </w:tc>
        <w:tc>
          <w:tcPr>
            <w:tcW w:w="6180" w:type="dxa"/>
            <w:vAlign w:val="bottom"/>
            <w:tcBorders>
              <w:bottom w:val="single" w:sz="8" w:color="BD03F7"/>
            </w:tcBorders>
          </w:tcPr>
          <w:p>
            <w:pPr>
              <w:ind w:left="1400"/>
              <w:spacing w:after="0"/>
              <w:rPr>
                <w:sz w:val="20"/>
                <w:szCs w:val="20"/>
                <w:color w:val="auto"/>
              </w:rPr>
            </w:pPr>
            <w:r>
              <w:rPr>
                <w:rFonts w:ascii="Arial" w:cs="Arial" w:eastAsia="Arial" w:hAnsi="Arial"/>
                <w:sz w:val="18"/>
                <w:szCs w:val="18"/>
                <w:color w:val="auto"/>
              </w:rPr>
              <w:t>No More than 2 Other Public Company Boards</w:t>
            </w:r>
          </w:p>
        </w:tc>
      </w:tr>
    </w:tbl>
    <w:p>
      <w:pPr>
        <w:spacing w:after="0" w:line="290" w:lineRule="exact"/>
        <w:rPr>
          <w:sz w:val="20"/>
          <w:szCs w:val="20"/>
          <w:color w:val="auto"/>
        </w:rPr>
      </w:pPr>
    </w:p>
    <w:p>
      <w:pPr>
        <w:jc w:val="both"/>
        <w:ind w:left="660" w:right="120"/>
        <w:spacing w:after="0" w:line="299" w:lineRule="auto"/>
        <w:rPr>
          <w:sz w:val="20"/>
          <w:szCs w:val="20"/>
          <w:color w:val="auto"/>
        </w:rPr>
      </w:pPr>
      <w:r>
        <w:rPr>
          <w:rFonts w:ascii="Arial" w:cs="Arial" w:eastAsia="Arial" w:hAnsi="Arial"/>
          <w:sz w:val="17"/>
          <w:szCs w:val="17"/>
          <w:color w:val="auto"/>
        </w:rPr>
        <w:t>This limitation will not apply if the Board determines that simultaneous service does not impair the ability of the member to effectively serve on the Board. A director’s time commitment is considered as part of the director nomination process and is reviewed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1329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0" w:lineRule="exact"/>
        <w:rPr>
          <w:sz w:val="20"/>
          <w:szCs w:val="20"/>
          <w:color w:val="auto"/>
        </w:rPr>
      </w:pPr>
    </w:p>
    <w:p>
      <w:pPr>
        <w:ind w:right="540"/>
        <w:spacing w:after="0" w:line="267" w:lineRule="auto"/>
        <w:rPr>
          <w:sz w:val="20"/>
          <w:szCs w:val="20"/>
          <w:color w:val="auto"/>
        </w:rPr>
      </w:pPr>
      <w:r>
        <w:rPr>
          <w:rFonts w:ascii="Arial" w:cs="Arial" w:eastAsia="Arial" w:hAnsi="Arial"/>
          <w:sz w:val="18"/>
          <w:szCs w:val="18"/>
          <w:color w:val="auto"/>
        </w:rPr>
        <w:t>The Board has determined that directors Beyer, Dugle, Gomo, Haynesworth, Liu, McCarthy, Simons, Swan, and Wright qualify as independent directors as defined in the Listing Rules of Nasdaq. None of these directors have a relationship which, in the opinion of the Board, would interfere with the exercise of independent judgment in carrying out the responsibilities of a director.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50"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color w:val="auto"/>
        </w:rPr>
        <w:t>Our Board is currently led by Sanjay Mehrotra, as our Chairman, President and Chief Executive Officer, and Lynn A. Dugle, as our Lead Independent Director. Mr. Mehrotra and Ms. Dugle each assumed their role in January 2025.</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do not have a fixed policy on whether the roles of Chairman of the Board and Chief Executive Officer should be separate or combined. Our Governance and Sustainability Committee conducts regular assessments of the Board’s leadership structure and, when appropriate, recommends changes to the Board’s leadership structure to the Board for approval, taking into consideration the needs of the Board and the Company at such time. In the fall of 2024, in connection with the retirement of our former longstanding independent Chairman of the Board, the Board reviewed the Board leadership structure and considered the benefits and risks of a combined Chairman and Chief Executive Officer leadership structure, taking into account the Company’s practices for ensuring independent Board oversight of management. After consideration, our Board determined that combining the roles of Chairman and Chief Executive Officer (in combination with a Lead Independent Director) is the most effective leadership structure for the Company at this time, and unanimously appointed Mr. Mehrotra as Chairman.</w:t>
      </w:r>
    </w:p>
    <w:p>
      <w:pPr>
        <w:spacing w:after="0" w:line="21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Mr. Mehrotra has transformed the Company into a technology, product, and manufacturing leader and has been widely recognized for his leadership and contributions to the memory and storage industry. This Board leadership structure clearly allocates primary responsibility for the operational leadership and strategic direction of the Company to our Chairman and Chief Executive Officer, while enabling the Lead Independent Director to facilitate our Board’s independent oversight of management, promote communication between management and our Board, and support our Board’s consideration of key governance matters.</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Corporate Governance Guidelines provide that when the role of the Chairman is combined with that of the Chief Executive Officer, the independent directors are required to appoint a lead independent director. Accordingly, in connection with Mr. Mehrotra’s appointment as Chairman, the Board unanimously elected Lynn Dugle as our Lead Independent Director. Ms. Dugle is an experienced public company Board member and former executive. Her background and experience not only provides our Board with strong, experienced and independent leadership, it also provides our Board expertise in information, technology, cybersecurity, corporate strategy, operations, and research and development, all of which are critical to achieving our strategic objectives. In addition, her five-year tenure on the Micron Board is balanced in that it is long enough for her to have gained a deep understanding of the Company, yet short enough to ensure there is no entrenchment and that she is fully independent of management. Ms. Dugle provides strong independent leadership, which is essential for our Board to effectively perform its primary oversight functions, and provide the Board with the opportunity to constructively challenge management, while leveraging Mr. Mehrotra’s deep understanding of the business, the semiconductor industry and technology to elevate the right strategic opportunities and key risks and mitigation approaches to the Board’s attention.</w:t>
      </w:r>
    </w:p>
    <w:p>
      <w:pPr>
        <w:spacing w:after="0" w:line="21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her role as Lead Independent Director, Ms. Dugle oversees our Board and facilitates the flow of information between it and management. This fosters open dialogue and constructive feedback among our independent Board members and management. In particular, our Lead Independent Director has the duties as set forth in our Corporate Governance Guidelines as follows, as well as such other duties and responsibilities as requested by the Board:</w:t>
      </w:r>
    </w:p>
    <w:p>
      <w:pPr>
        <w:spacing w:after="0" w:line="188" w:lineRule="exact"/>
        <w:rPr>
          <w:sz w:val="20"/>
          <w:szCs w:val="20"/>
          <w:color w:val="auto"/>
        </w:rPr>
      </w:pPr>
    </w:p>
    <w:p>
      <w:pPr>
        <w:ind w:left="640" w:hanging="310"/>
        <w:spacing w:after="0"/>
        <w:tabs>
          <w:tab w:leader="none" w:pos="640" w:val="left"/>
        </w:tabs>
        <w:numPr>
          <w:ilvl w:val="0"/>
          <w:numId w:val="35"/>
        </w:numPr>
        <w:rPr>
          <w:rFonts w:ascii="Arial" w:cs="Arial" w:eastAsia="Arial" w:hAnsi="Arial"/>
          <w:sz w:val="18"/>
          <w:szCs w:val="18"/>
          <w:color w:val="BD03F7"/>
        </w:rPr>
      </w:pPr>
      <w:r>
        <w:rPr>
          <w:rFonts w:ascii="Arial" w:cs="Arial" w:eastAsia="Arial" w:hAnsi="Arial"/>
          <w:sz w:val="18"/>
          <w:szCs w:val="18"/>
          <w:color w:val="auto"/>
        </w:rPr>
        <w:t>serve as a liaison between the Chief Executive Officer and the independent directors;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5"/>
        </w:numPr>
        <w:rPr>
          <w:rFonts w:ascii="Arial" w:cs="Arial" w:eastAsia="Arial" w:hAnsi="Arial"/>
          <w:sz w:val="18"/>
          <w:szCs w:val="18"/>
          <w:color w:val="BD03F7"/>
        </w:rPr>
      </w:pPr>
      <w:r>
        <w:rPr>
          <w:rFonts w:ascii="Arial" w:cs="Arial" w:eastAsia="Arial" w:hAnsi="Arial"/>
          <w:sz w:val="18"/>
          <w:szCs w:val="18"/>
          <w:color w:val="auto"/>
        </w:rPr>
        <w:t>lead executive sessions of the Board;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0" w:hanging="310"/>
        <w:spacing w:after="0"/>
        <w:tabs>
          <w:tab w:leader="none" w:pos="640" w:val="left"/>
        </w:tabs>
        <w:numPr>
          <w:ilvl w:val="0"/>
          <w:numId w:val="36"/>
        </w:numPr>
        <w:rPr>
          <w:rFonts w:ascii="Arial" w:cs="Arial" w:eastAsia="Arial" w:hAnsi="Arial"/>
          <w:sz w:val="18"/>
          <w:szCs w:val="18"/>
          <w:color w:val="BD03F7"/>
        </w:rPr>
      </w:pPr>
      <w:r>
        <w:rPr>
          <w:rFonts w:ascii="Arial" w:cs="Arial" w:eastAsia="Arial" w:hAnsi="Arial"/>
          <w:sz w:val="18"/>
          <w:szCs w:val="18"/>
          <w:color w:val="auto"/>
        </w:rPr>
        <w:t>have authority to call Board meetings, special meetings of shareholders, and meetings of the independent directors;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6"/>
        </w:numPr>
        <w:rPr>
          <w:rFonts w:ascii="Arial" w:cs="Arial" w:eastAsia="Arial" w:hAnsi="Arial"/>
          <w:sz w:val="18"/>
          <w:szCs w:val="18"/>
          <w:color w:val="BD03F7"/>
        </w:rPr>
      </w:pPr>
      <w:r>
        <w:rPr>
          <w:rFonts w:ascii="Arial" w:cs="Arial" w:eastAsia="Arial" w:hAnsi="Arial"/>
          <w:sz w:val="18"/>
          <w:szCs w:val="18"/>
          <w:color w:val="auto"/>
        </w:rPr>
        <w:t>lead the Board in discussions concerning the Chief Executive Officer’s performance and Chief Executive Officer succession;</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6"/>
        </w:numPr>
        <w:rPr>
          <w:rFonts w:ascii="Arial" w:cs="Arial" w:eastAsia="Arial" w:hAnsi="Arial"/>
          <w:sz w:val="18"/>
          <w:szCs w:val="18"/>
          <w:color w:val="BD03F7"/>
        </w:rPr>
      </w:pPr>
      <w:r>
        <w:rPr>
          <w:rFonts w:ascii="Arial" w:cs="Arial" w:eastAsia="Arial" w:hAnsi="Arial"/>
          <w:sz w:val="18"/>
          <w:szCs w:val="18"/>
          <w:color w:val="auto"/>
        </w:rPr>
        <w:t>approve meeting agendas and meeting schedules for the Board;</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6"/>
        </w:numPr>
        <w:rPr>
          <w:rFonts w:ascii="Arial" w:cs="Arial" w:eastAsia="Arial" w:hAnsi="Arial"/>
          <w:sz w:val="18"/>
          <w:szCs w:val="18"/>
          <w:color w:val="BD03F7"/>
        </w:rPr>
      </w:pPr>
      <w:r>
        <w:rPr>
          <w:rFonts w:ascii="Arial" w:cs="Arial" w:eastAsia="Arial" w:hAnsi="Arial"/>
          <w:sz w:val="18"/>
          <w:szCs w:val="18"/>
          <w:color w:val="auto"/>
        </w:rPr>
        <w:t>approve information sent to the Board; and</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36"/>
        </w:numPr>
        <w:rPr>
          <w:rFonts w:ascii="Arial" w:cs="Arial" w:eastAsia="Arial" w:hAnsi="Arial"/>
          <w:sz w:val="18"/>
          <w:szCs w:val="18"/>
          <w:color w:val="BD03F7"/>
        </w:rPr>
      </w:pPr>
      <w:r>
        <w:rPr>
          <w:rFonts w:ascii="Arial" w:cs="Arial" w:eastAsia="Arial" w:hAnsi="Arial"/>
          <w:sz w:val="18"/>
          <w:szCs w:val="18"/>
          <w:color w:val="auto"/>
        </w:rPr>
        <w:t>if requested by major shareholders, be available for consultation and direct communication.</w:t>
      </w:r>
    </w:p>
    <w:p>
      <w:pPr>
        <w:spacing w:after="0" w:line="250"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We believe it is essential that the Board maintain the flexibility to determine its leadership structure based on the particular composition of the Board and continuity of leadership, the individuals serving in leadership positions, and the evolving needs and opportunities of the Company. The Board believes its programs for overseeing risk, as described under “The Board’s Roles and Responsibilities—The Board’s Role in Risk Oversight—Risk Oversight, Assessment, and Mitigation” below, would be effective under a variety of leadership frameworks and therefore do not materially affect its choice of structure.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will continue to consider its leadership structure from time to time.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Board held seven formal meetings during Fiscal 2025. The Board met in Executive Session (meetings in which only independent directors are present) six times during Fiscal 2025. In Fiscal 2025, the Board had a standing Audit Committee, Compensation Committee, Finance Committee, Governance and Sustainability Committee, and Security Committee. During Fiscal 2025, the Audit Committee met nine times, the Compensation Committee met six times, the Finance Committee met four times, the Governance and Sustainability Committee met five times, and the Security Committee met four times. In addition to formal committee meetings, the chair of each committee engaged in regular discussions with management regarding various issues relevant to their respective committees. All incumbent directors attended 75% or more of the total number of meetings of the Board and the committees on which they served during Fiscal 2025. We expect director attendance at the Annual Meeting, and all then-serving members of our Board were present at our Fiscal 2024 Annual Meeting of Shareholders.</w:t>
      </w:r>
    </w:p>
    <w:p>
      <w:pPr>
        <w:spacing w:after="0" w:line="2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Audit, Compensation, Finance, Governance and Sustainability, and Security Committees each have written charters that comply with the rules of the SEC and the Listing Rules of Nasdaq rules relating to corporate governance matters. The complete duties and responsibilities of each of the committees are set forth in their written charters. Copies of the committee charters as well as our Corporate Governance Guidelines are available on the corporate governance portion of our website at www.micron.com and are also available in print without charge upon request to corporatesecretary@micron.com.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Mses. McCarthy, Haynesworth and Simons and Messrs. Gomo and Swan currently serve on the Audit Committee. Ms. Simons joined the committee in June 2025. Ms. McCarthy has served as Chair of the Audit Committee since January 2023 and will continue to serve until her term as a director ends at the Annual Meeting. The Board has determined that all Audit Committee members are independent under the rules applicable to audit committee members promulgated by the SEC and the Listing Rules of Nasdaq and that each of these members is sufficiently proficient in reading and understanding our financial statements to serve on the Audit Committee. The Board has determined that each of Mses. McCarthy and Simons and Messrs. Gomo and Swan qualifies as an “audit committee financial expert” for purposes of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523240</wp:posOffset>
            </wp:positionV>
            <wp:extent cx="1484630" cy="17576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8463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2580" w:type="dxa"/>
            <w:vAlign w:val="bottom"/>
            <w:tcBorders>
              <w:bottom w:val="single" w:sz="8" w:color="BD03F7"/>
            </w:tcBorders>
            <w:shd w:val="clear" w:color="auto" w:fill="F9F9F9"/>
          </w:tcPr>
          <w:p>
            <w:pPr>
              <w:ind w:left="460"/>
              <w:spacing w:after="0"/>
              <w:rPr>
                <w:sz w:val="20"/>
                <w:szCs w:val="20"/>
                <w:color w:val="auto"/>
              </w:rPr>
            </w:pPr>
            <w:r>
              <w:rPr>
                <w:rFonts w:ascii="Arial" w:cs="Arial" w:eastAsia="Arial" w:hAnsi="Arial"/>
                <w:sz w:val="18"/>
                <w:szCs w:val="18"/>
                <w:b w:val="1"/>
                <w:bCs w:val="1"/>
                <w:color w:val="auto"/>
              </w:rPr>
              <w:t>Audit Committee</w:t>
            </w:r>
          </w:p>
        </w:tc>
        <w:tc>
          <w:tcPr>
            <w:tcW w:w="7540" w:type="dxa"/>
            <w:vAlign w:val="bottom"/>
            <w:tcBorders>
              <w:bottom w:val="single" w:sz="8" w:color="BD03F7"/>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Primary Responsibilities</w:t>
            </w:r>
          </w:p>
        </w:tc>
      </w:tr>
      <w:tr>
        <w:trPr>
          <w:trHeight w:val="74"/>
        </w:trPr>
        <w:tc>
          <w:tcPr>
            <w:tcW w:w="2580" w:type="dxa"/>
            <w:vAlign w:val="bottom"/>
          </w:tcPr>
          <w:p>
            <w:pPr>
              <w:spacing w:after="0"/>
              <w:rPr>
                <w:sz w:val="6"/>
                <w:szCs w:val="6"/>
                <w:color w:val="auto"/>
              </w:rPr>
            </w:pPr>
          </w:p>
        </w:tc>
        <w:tc>
          <w:tcPr>
            <w:tcW w:w="7540" w:type="dxa"/>
            <w:vAlign w:val="bottom"/>
            <w:shd w:val="clear" w:color="auto" w:fill="F9F9F9"/>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-59055</wp:posOffset>
            </wp:positionV>
            <wp:extent cx="4948555" cy="1612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48555" cy="1612900"/>
                    </a:xfrm>
                    <a:prstGeom prst="rect">
                      <a:avLst/>
                    </a:prstGeom>
                    <a:noFill/>
                  </pic:spPr>
                </pic:pic>
              </a:graphicData>
            </a:graphic>
          </wp:anchor>
        </w:drawing>
      </w:r>
    </w:p>
    <w:p>
      <w:pPr>
        <w:ind w:left="3160" w:hanging="1482"/>
        <w:spacing w:after="0"/>
        <w:tabs>
          <w:tab w:leader="none" w:pos="3160" w:val="left"/>
        </w:tabs>
        <w:numPr>
          <w:ilvl w:val="0"/>
          <w:numId w:val="37"/>
        </w:numPr>
        <w:rPr>
          <w:rFonts w:ascii="Arial" w:cs="Arial" w:eastAsia="Arial" w:hAnsi="Arial"/>
          <w:sz w:val="18"/>
          <w:szCs w:val="18"/>
          <w:b w:val="1"/>
          <w:bCs w:val="1"/>
          <w:color w:val="BD03F7"/>
        </w:rPr>
      </w:pPr>
      <w:r>
        <w:rPr>
          <w:rFonts w:ascii="Arial" w:cs="Arial" w:eastAsia="Arial" w:hAnsi="Arial"/>
          <w:sz w:val="18"/>
          <w:szCs w:val="18"/>
          <w:b w:val="1"/>
          <w:bCs w:val="1"/>
          <w:color w:val="auto"/>
        </w:rPr>
        <w:t>Assist the Board in overseeing and monitoring:</w:t>
      </w:r>
    </w:p>
    <w:p>
      <w:pPr>
        <w:spacing w:after="0" w:line="33" w:lineRule="exact"/>
        <w:rPr>
          <w:rFonts w:ascii="Arial" w:cs="Arial" w:eastAsia="Arial" w:hAnsi="Arial"/>
          <w:sz w:val="18"/>
          <w:szCs w:val="18"/>
          <w:b w:val="1"/>
          <w:bCs w:val="1"/>
          <w:color w:val="BD03F7"/>
        </w:rPr>
      </w:pPr>
    </w:p>
    <w:p>
      <w:pPr>
        <w:ind w:left="740"/>
        <w:spacing w:after="0"/>
        <w:rPr>
          <w:rFonts w:ascii="Arial" w:cs="Arial" w:eastAsia="Arial" w:hAnsi="Arial"/>
          <w:sz w:val="18"/>
          <w:szCs w:val="18"/>
          <w:b w:val="1"/>
          <w:bCs w:val="1"/>
          <w:color w:val="BD03F7"/>
        </w:rPr>
      </w:pPr>
      <w:r>
        <w:rPr>
          <w:rFonts w:ascii="Arial" w:cs="Arial" w:eastAsia="Arial" w:hAnsi="Arial"/>
          <w:sz w:val="18"/>
          <w:szCs w:val="18"/>
          <w:b w:val="1"/>
          <w:bCs w:val="1"/>
          <w:color w:val="auto"/>
        </w:rPr>
        <w:t>Meetings in Fiscal 2025</w:t>
      </w:r>
      <w:r>
        <w:rPr>
          <w:rFonts w:ascii="Arial" w:cs="Arial" w:eastAsia="Arial" w:hAnsi="Arial"/>
          <w:sz w:val="18"/>
          <w:szCs w:val="18"/>
          <w:b w:val="1"/>
          <w:bCs w:val="1"/>
          <w:color w:val="BD03F7"/>
        </w:rPr>
        <w:t xml:space="preserve">• </w:t>
      </w:r>
      <w:r>
        <w:rPr>
          <w:rFonts w:ascii="Arial" w:cs="Arial" w:eastAsia="Arial" w:hAnsi="Arial"/>
          <w:sz w:val="18"/>
          <w:szCs w:val="18"/>
          <w:b w:val="1"/>
          <w:bCs w:val="1"/>
          <w:color w:val="000000"/>
        </w:rPr>
        <w:t>the integrity of our financial statements;</w:t>
      </w:r>
    </w:p>
    <w:p>
      <w:pPr>
        <w:spacing w:after="0" w:line="21" w:lineRule="exact"/>
        <w:rPr>
          <w:sz w:val="20"/>
          <w:szCs w:val="20"/>
          <w:color w:val="auto"/>
        </w:rPr>
      </w:pPr>
    </w:p>
    <w:tbl>
      <w:tblPr>
        <w:tblLayout w:type="fixed"/>
        <w:tblInd w:w="560" w:type="dxa"/>
        <w:tblCellMar>
          <w:top w:w="0" w:type="dxa"/>
          <w:left w:w="0" w:type="dxa"/>
          <w:bottom w:w="0" w:type="dxa"/>
          <w:right w:w="0" w:type="dxa"/>
        </w:tblCellMar>
      </w:tblPr>
      <w:tr>
        <w:trPr>
          <w:trHeight w:val="246"/>
        </w:trPr>
        <w:tc>
          <w:tcPr>
            <w:tcW w:w="2340" w:type="dxa"/>
            <w:vAlign w:val="bottom"/>
          </w:tcPr>
          <w:p>
            <w:pPr>
              <w:jc w:val="right"/>
              <w:ind w:right="1030"/>
              <w:spacing w:after="0"/>
              <w:rPr>
                <w:sz w:val="20"/>
                <w:szCs w:val="20"/>
                <w:color w:val="auto"/>
              </w:rPr>
            </w:pPr>
            <w:r>
              <w:rPr>
                <w:rFonts w:ascii="Arial" w:cs="Arial" w:eastAsia="Arial" w:hAnsi="Arial"/>
                <w:sz w:val="18"/>
                <w:szCs w:val="18"/>
                <w:b w:val="1"/>
                <w:bCs w:val="1"/>
                <w:color w:val="BD03F7"/>
              </w:rPr>
              <w:t>5</w:t>
            </w:r>
          </w:p>
        </w:tc>
        <w:tc>
          <w:tcPr>
            <w:tcW w:w="44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6900" w:type="dxa"/>
            <w:vAlign w:val="bottom"/>
          </w:tcPr>
          <w:p>
            <w:pPr>
              <w:ind w:left="60"/>
              <w:spacing w:after="0"/>
              <w:rPr>
                <w:sz w:val="20"/>
                <w:szCs w:val="20"/>
                <w:color w:val="auto"/>
              </w:rPr>
            </w:pPr>
            <w:r>
              <w:rPr>
                <w:rFonts w:ascii="Arial" w:cs="Arial" w:eastAsia="Arial" w:hAnsi="Arial"/>
                <w:sz w:val="18"/>
                <w:szCs w:val="18"/>
                <w:b w:val="1"/>
                <w:bCs w:val="1"/>
                <w:color w:val="auto"/>
              </w:rPr>
              <w:t>the adequacy of our internal controls and procedures;</w:t>
            </w:r>
          </w:p>
        </w:tc>
        <w:tc>
          <w:tcPr>
            <w:tcW w:w="0" w:type="dxa"/>
            <w:vAlign w:val="bottom"/>
          </w:tcPr>
          <w:p>
            <w:pPr>
              <w:spacing w:after="0"/>
              <w:rPr>
                <w:sz w:val="1"/>
                <w:szCs w:val="1"/>
                <w:color w:val="auto"/>
              </w:rPr>
            </w:pPr>
          </w:p>
        </w:tc>
      </w:tr>
      <w:tr>
        <w:trPr>
          <w:trHeight w:val="198"/>
        </w:trPr>
        <w:tc>
          <w:tcPr>
            <w:tcW w:w="234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8"/>
              </w:rPr>
              <w:t>Members</w:t>
            </w:r>
          </w:p>
        </w:tc>
        <w:tc>
          <w:tcPr>
            <w:tcW w:w="440" w:type="dxa"/>
            <w:vAlign w:val="bottom"/>
            <w:vMerge w:val="restart"/>
          </w:tcPr>
          <w:p>
            <w:pPr>
              <w:ind w:left="320"/>
              <w:spacing w:after="0"/>
              <w:rPr>
                <w:sz w:val="20"/>
                <w:szCs w:val="20"/>
                <w:color w:val="auto"/>
              </w:rPr>
            </w:pPr>
            <w:r>
              <w:rPr>
                <w:rFonts w:ascii="Arial" w:cs="Arial" w:eastAsia="Arial" w:hAnsi="Arial"/>
                <w:sz w:val="18"/>
                <w:szCs w:val="18"/>
                <w:b w:val="1"/>
                <w:bCs w:val="1"/>
                <w:color w:val="BD03F7"/>
              </w:rPr>
              <w:t>•</w:t>
            </w:r>
          </w:p>
        </w:tc>
        <w:tc>
          <w:tcPr>
            <w:tcW w:w="6900" w:type="dxa"/>
            <w:vAlign w:val="bottom"/>
          </w:tcPr>
          <w:p>
            <w:pPr>
              <w:ind w:left="60"/>
              <w:spacing w:after="0" w:line="199" w:lineRule="exact"/>
              <w:rPr>
                <w:sz w:val="20"/>
                <w:szCs w:val="20"/>
                <w:color w:val="auto"/>
              </w:rPr>
            </w:pPr>
            <w:r>
              <w:rPr>
                <w:rFonts w:ascii="Arial" w:cs="Arial" w:eastAsia="Arial" w:hAnsi="Arial"/>
                <w:sz w:val="18"/>
                <w:szCs w:val="18"/>
                <w:b w:val="1"/>
                <w:bCs w:val="1"/>
                <w:color w:val="auto"/>
                <w:w w:val="99"/>
              </w:rPr>
              <w:t>the performance of our internal audit function and of our independent registered</w:t>
            </w:r>
          </w:p>
        </w:tc>
        <w:tc>
          <w:tcPr>
            <w:tcW w:w="0" w:type="dxa"/>
            <w:vAlign w:val="bottom"/>
          </w:tcPr>
          <w:p>
            <w:pPr>
              <w:spacing w:after="0"/>
              <w:rPr>
                <w:sz w:val="1"/>
                <w:szCs w:val="1"/>
                <w:color w:val="auto"/>
              </w:rPr>
            </w:pPr>
          </w:p>
        </w:tc>
      </w:tr>
      <w:tr>
        <w:trPr>
          <w:trHeight w:val="40"/>
        </w:trPr>
        <w:tc>
          <w:tcPr>
            <w:tcW w:w="2340" w:type="dxa"/>
            <w:vAlign w:val="bottom"/>
            <w:tcBorders>
              <w:bottom w:val="single" w:sz="8" w:color="BD03F7"/>
            </w:tcBorders>
          </w:tcPr>
          <w:p>
            <w:pPr>
              <w:spacing w:after="0"/>
              <w:rPr>
                <w:sz w:val="3"/>
                <w:szCs w:val="3"/>
                <w:color w:val="auto"/>
              </w:rPr>
            </w:pPr>
          </w:p>
        </w:tc>
        <w:tc>
          <w:tcPr>
            <w:tcW w:w="440" w:type="dxa"/>
            <w:vAlign w:val="bottom"/>
            <w:vMerge w:val="continue"/>
          </w:tcPr>
          <w:p>
            <w:pPr>
              <w:spacing w:after="0"/>
              <w:rPr>
                <w:sz w:val="3"/>
                <w:szCs w:val="3"/>
                <w:color w:val="auto"/>
              </w:rPr>
            </w:pPr>
          </w:p>
        </w:tc>
        <w:tc>
          <w:tcPr>
            <w:tcW w:w="6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public accounting firm;</w:t>
            </w: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11240"/>
          </w:cols>
          <w:pgMar w:left="320" w:top="125" w:right="339" w:bottom="1440" w:gutter="0" w:footer="0" w:header="0"/>
        </w:sectPr>
      </w:pPr>
    </w:p>
    <w:p>
      <w:pPr>
        <w:ind w:left="580"/>
        <w:spacing w:after="0"/>
        <w:rPr>
          <w:sz w:val="20"/>
          <w:szCs w:val="20"/>
          <w:color w:val="auto"/>
        </w:rPr>
      </w:pPr>
      <w:r>
        <w:rPr>
          <w:rFonts w:ascii="Arial" w:cs="Arial" w:eastAsia="Arial" w:hAnsi="Arial"/>
          <w:sz w:val="17"/>
          <w:szCs w:val="17"/>
          <w:b w:val="1"/>
          <w:bCs w:val="1"/>
          <w:color w:val="auto"/>
        </w:rPr>
        <w:t>Mary Pat McCarthy, Chair</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Steven J. Gomo</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Linnie M. Haynesworth</w:t>
      </w:r>
    </w:p>
    <w:p>
      <w:pPr>
        <w:spacing w:after="0" w:line="39" w:lineRule="exact"/>
        <w:rPr>
          <w:sz w:val="20"/>
          <w:szCs w:val="20"/>
          <w:color w:val="auto"/>
        </w:rPr>
      </w:pPr>
    </w:p>
    <w:p>
      <w:pPr>
        <w:ind w:left="580" w:right="460"/>
        <w:spacing w:after="0" w:line="320" w:lineRule="auto"/>
        <w:rPr>
          <w:sz w:val="20"/>
          <w:szCs w:val="20"/>
          <w:color w:val="auto"/>
        </w:rPr>
      </w:pPr>
      <w:r>
        <w:rPr>
          <w:rFonts w:ascii="Arial" w:cs="Arial" w:eastAsia="Arial" w:hAnsi="Arial"/>
          <w:sz w:val="17"/>
          <w:szCs w:val="17"/>
          <w:b w:val="1"/>
          <w:bCs w:val="1"/>
          <w:color w:val="auto"/>
        </w:rPr>
        <w:t>A. Christine Simons Robert H. Swan</w:t>
      </w:r>
    </w:p>
    <w:p>
      <w:pPr>
        <w:spacing w:after="0" w:line="20" w:lineRule="exact"/>
        <w:rPr>
          <w:sz w:val="20"/>
          <w:szCs w:val="20"/>
          <w:color w:val="auto"/>
        </w:rPr>
      </w:pPr>
      <w:r>
        <w:rPr>
          <w:sz w:val="20"/>
          <w:szCs w:val="20"/>
          <w:color w:val="auto"/>
        </w:rPr>
        <w:br w:type="column"/>
      </w:r>
    </w:p>
    <w:p>
      <w:pPr>
        <w:ind w:left="240" w:hanging="172"/>
        <w:spacing w:after="0"/>
        <w:tabs>
          <w:tab w:leader="none" w:pos="240" w:val="left"/>
        </w:tabs>
        <w:numPr>
          <w:ilvl w:val="0"/>
          <w:numId w:val="38"/>
        </w:numPr>
        <w:rPr>
          <w:rFonts w:ascii="Arial" w:cs="Arial" w:eastAsia="Arial" w:hAnsi="Arial"/>
          <w:sz w:val="18"/>
          <w:szCs w:val="18"/>
          <w:b w:val="1"/>
          <w:bCs w:val="1"/>
          <w:color w:val="BD03F7"/>
        </w:rPr>
      </w:pPr>
      <w:r>
        <w:rPr>
          <w:rFonts w:ascii="Arial" w:cs="Arial" w:eastAsia="Arial" w:hAnsi="Arial"/>
          <w:sz w:val="18"/>
          <w:szCs w:val="18"/>
          <w:b w:val="1"/>
          <w:bCs w:val="1"/>
          <w:color w:val="auto"/>
        </w:rPr>
        <w:t>any related party transactions;</w:t>
      </w:r>
    </w:p>
    <w:p>
      <w:pPr>
        <w:spacing w:after="0" w:line="75" w:lineRule="exact"/>
        <w:rPr>
          <w:rFonts w:ascii="Arial" w:cs="Arial" w:eastAsia="Arial" w:hAnsi="Arial"/>
          <w:sz w:val="18"/>
          <w:szCs w:val="18"/>
          <w:b w:val="1"/>
          <w:bCs w:val="1"/>
          <w:color w:val="BD03F7"/>
        </w:rPr>
      </w:pPr>
    </w:p>
    <w:p>
      <w:pPr>
        <w:ind w:left="240" w:right="580" w:hanging="172"/>
        <w:spacing w:after="0"/>
        <w:tabs>
          <w:tab w:leader="none" w:pos="240" w:val="left"/>
        </w:tabs>
        <w:numPr>
          <w:ilvl w:val="0"/>
          <w:numId w:val="38"/>
        </w:numPr>
        <w:rPr>
          <w:rFonts w:ascii="Arial" w:cs="Arial" w:eastAsia="Arial" w:hAnsi="Arial"/>
          <w:sz w:val="32"/>
          <w:szCs w:val="32"/>
          <w:b w:val="1"/>
          <w:bCs w:val="1"/>
          <w:color w:val="BD03F7"/>
          <w:vertAlign w:val="subscript"/>
        </w:rPr>
      </w:pPr>
      <w:r>
        <w:rPr>
          <w:rFonts w:ascii="Arial" w:cs="Arial" w:eastAsia="Arial" w:hAnsi="Arial"/>
          <w:sz w:val="16"/>
          <w:szCs w:val="16"/>
          <w:b w:val="1"/>
          <w:bCs w:val="1"/>
          <w:color w:val="auto"/>
        </w:rPr>
        <w:t>the qualifications and independence of our independent registered public accounting firm; and</w:t>
      </w:r>
    </w:p>
    <w:p>
      <w:pPr>
        <w:spacing w:after="0" w:line="115" w:lineRule="exact"/>
        <w:rPr>
          <w:rFonts w:ascii="Arial" w:cs="Arial" w:eastAsia="Arial" w:hAnsi="Arial"/>
          <w:sz w:val="32"/>
          <w:szCs w:val="32"/>
          <w:b w:val="1"/>
          <w:bCs w:val="1"/>
          <w:color w:val="BD03F7"/>
          <w:vertAlign w:val="subscript"/>
        </w:rPr>
      </w:pPr>
    </w:p>
    <w:p>
      <w:pPr>
        <w:ind w:left="240" w:hanging="172"/>
        <w:spacing w:after="0"/>
        <w:tabs>
          <w:tab w:leader="none" w:pos="240" w:val="left"/>
        </w:tabs>
        <w:numPr>
          <w:ilvl w:val="0"/>
          <w:numId w:val="38"/>
        </w:numPr>
        <w:rPr>
          <w:rFonts w:ascii="Arial" w:cs="Arial" w:eastAsia="Arial" w:hAnsi="Arial"/>
          <w:sz w:val="18"/>
          <w:szCs w:val="18"/>
          <w:b w:val="1"/>
          <w:bCs w:val="1"/>
          <w:color w:val="BD03F7"/>
        </w:rPr>
      </w:pPr>
      <w:r>
        <w:rPr>
          <w:rFonts w:ascii="Arial" w:cs="Arial" w:eastAsia="Arial" w:hAnsi="Arial"/>
          <w:sz w:val="18"/>
          <w:szCs w:val="18"/>
          <w:b w:val="1"/>
          <w:bCs w:val="1"/>
          <w:color w:val="auto"/>
        </w:rPr>
        <w:t>our compliance with legal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4794885" cy="1447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94885" cy="14478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Prepare the Audit Committee Report that is included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5715</wp:posOffset>
            </wp:positionV>
            <wp:extent cx="64331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33185" cy="8255"/>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2740" w:space="420"/>
            <w:col w:w="8080"/>
          </w:cols>
          <w:pgMar w:left="320" w:top="125" w:right="3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Mses. Wright and Dugle and Mr. Beyer currently serve on the Compensation Committee. Ms. Dugle joined the committee in January 2025.</w:t>
      </w:r>
    </w:p>
    <w:p>
      <w:pPr>
        <w:spacing w:after="0" w:line="13"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Mr. Beyer has served as Chair of the Compensation Committee since April 2021 and will continue to serve until his term as a director ends at the Annual Meeting. The Board has determined that all Compensation Committee members are independent under the applicable Listing</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Rules of Nasdaq and each qualifies as a “non-employee director” as defined under Rule 16b-3 of the Securities Exchange Act of 1934, as amended (the “Exchange Act”). The Compensation Committee is responsible for reviewing and approving the compensation of our executive officers. See “Executive Compensation and Related Information—Compensation Discussion and Analysis” and “Executive Compensation and Related Information—Compensation Committee Report” for information regarding how the Compensation Committee sets executive compensation levels. The Compensation Committee has authority to delegate any of its responsibilities to a subcommittee as it may deem appropriate in its judgment.</w:t>
      </w:r>
    </w:p>
    <w:p>
      <w:pPr>
        <w:spacing w:after="0" w:line="266" w:lineRule="exact"/>
        <w:rPr>
          <w:sz w:val="20"/>
          <w:szCs w:val="20"/>
          <w:color w:val="auto"/>
        </w:rPr>
      </w:pPr>
    </w:p>
    <w:tbl>
      <w:tblPr>
        <w:tblLayout w:type="fixed"/>
        <w:tblInd w:w="540" w:type="dxa"/>
        <w:tblCellMar>
          <w:top w:w="0" w:type="dxa"/>
          <w:left w:w="0" w:type="dxa"/>
          <w:bottom w:w="0" w:type="dxa"/>
          <w:right w:w="0" w:type="dxa"/>
        </w:tblCellMar>
      </w:tblPr>
      <w:tr>
        <w:trPr>
          <w:trHeight w:val="228"/>
        </w:trPr>
        <w:tc>
          <w:tcPr>
            <w:tcW w:w="2340" w:type="dxa"/>
            <w:vAlign w:val="bottom"/>
            <w:tcBorders>
              <w:bottom w:val="single" w:sz="8" w:color="BD03F7"/>
            </w:tcBorders>
            <w:shd w:val="clear" w:color="auto" w:fill="F9F9F9"/>
          </w:tcPr>
          <w:p>
            <w:pPr>
              <w:jc w:val="center"/>
              <w:spacing w:after="0"/>
              <w:rPr>
                <w:sz w:val="20"/>
                <w:szCs w:val="20"/>
                <w:color w:val="auto"/>
              </w:rPr>
            </w:pPr>
            <w:r>
              <w:rPr>
                <w:rFonts w:ascii="Arial" w:cs="Arial" w:eastAsia="Arial" w:hAnsi="Arial"/>
                <w:sz w:val="18"/>
                <w:szCs w:val="18"/>
                <w:b w:val="1"/>
                <w:bCs w:val="1"/>
                <w:color w:val="auto"/>
                <w:w w:val="99"/>
              </w:rPr>
              <w:t>Compensation Committee</w:t>
            </w:r>
          </w:p>
        </w:tc>
        <w:tc>
          <w:tcPr>
            <w:tcW w:w="240" w:type="dxa"/>
            <w:vAlign w:val="bottom"/>
            <w:tcBorders>
              <w:bottom w:val="single" w:sz="8" w:color="BD03F7"/>
            </w:tcBorders>
            <w:shd w:val="clear" w:color="auto" w:fill="F9F9F9"/>
          </w:tcPr>
          <w:p>
            <w:pPr>
              <w:spacing w:after="0"/>
              <w:rPr>
                <w:sz w:val="19"/>
                <w:szCs w:val="19"/>
                <w:color w:val="auto"/>
              </w:rPr>
            </w:pPr>
          </w:p>
        </w:tc>
        <w:tc>
          <w:tcPr>
            <w:tcW w:w="7600" w:type="dxa"/>
            <w:vAlign w:val="bottom"/>
            <w:tcBorders>
              <w:bottom w:val="single" w:sz="8" w:color="BD03F7"/>
            </w:tcBorders>
            <w:gridSpan w:val="2"/>
            <w:shd w:val="clear" w:color="auto" w:fill="F9F9F9"/>
          </w:tcPr>
          <w:p>
            <w:pPr>
              <w:ind w:left="20"/>
              <w:spacing w:after="0"/>
              <w:rPr>
                <w:sz w:val="20"/>
                <w:szCs w:val="20"/>
                <w:color w:val="auto"/>
              </w:rPr>
            </w:pPr>
            <w:r>
              <w:rPr>
                <w:rFonts w:ascii="Arial" w:cs="Arial" w:eastAsia="Arial" w:hAnsi="Arial"/>
                <w:sz w:val="18"/>
                <w:szCs w:val="18"/>
                <w:b w:val="1"/>
                <w:bCs w:val="1"/>
                <w:color w:val="auto"/>
              </w:rPr>
              <w:t>Primary Responsibilities</w:t>
            </w:r>
          </w:p>
        </w:tc>
        <w:tc>
          <w:tcPr>
            <w:tcW w:w="0" w:type="dxa"/>
            <w:vAlign w:val="bottom"/>
          </w:tcPr>
          <w:p>
            <w:pPr>
              <w:spacing w:after="0"/>
              <w:rPr>
                <w:sz w:val="1"/>
                <w:szCs w:val="1"/>
                <w:color w:val="auto"/>
              </w:rPr>
            </w:pPr>
          </w:p>
        </w:tc>
      </w:tr>
      <w:tr>
        <w:trPr>
          <w:trHeight w:val="262"/>
        </w:trPr>
        <w:tc>
          <w:tcPr>
            <w:tcW w:w="2340" w:type="dxa"/>
            <w:vAlign w:val="bottom"/>
            <w:vMerge w:val="restart"/>
            <w:shd w:val="clear" w:color="auto" w:fill="F9F9F9"/>
          </w:tcPr>
          <w:p>
            <w:pPr>
              <w:jc w:val="center"/>
              <w:spacing w:after="0"/>
              <w:rPr>
                <w:sz w:val="20"/>
                <w:szCs w:val="20"/>
                <w:color w:val="auto"/>
              </w:rPr>
            </w:pPr>
            <w:r>
              <w:rPr>
                <w:rFonts w:ascii="Arial" w:cs="Arial" w:eastAsia="Arial" w:hAnsi="Arial"/>
                <w:sz w:val="18"/>
                <w:szCs w:val="18"/>
                <w:b w:val="1"/>
                <w:bCs w:val="1"/>
                <w:color w:val="BD03F7"/>
                <w:w w:val="99"/>
              </w:rPr>
              <w:t>6</w:t>
            </w:r>
          </w:p>
        </w:tc>
        <w:tc>
          <w:tcPr>
            <w:tcW w:w="240" w:type="dxa"/>
            <w:vAlign w:val="bottom"/>
            <w:shd w:val="clear" w:color="auto" w:fill="F9F9F9"/>
          </w:tcPr>
          <w:p>
            <w:pPr>
              <w:spacing w:after="0"/>
              <w:rPr>
                <w:sz w:val="22"/>
                <w:szCs w:val="22"/>
                <w:color w:val="auto"/>
              </w:rPr>
            </w:pPr>
          </w:p>
        </w:tc>
        <w:tc>
          <w:tcPr>
            <w:tcW w:w="240" w:type="dxa"/>
            <w:vAlign w:val="bottom"/>
            <w:shd w:val="clear" w:color="auto" w:fill="F9F9F9"/>
          </w:tcPr>
          <w:p>
            <w:pPr>
              <w:spacing w:after="0"/>
              <w:rPr>
                <w:sz w:val="22"/>
                <w:szCs w:val="22"/>
                <w:color w:val="auto"/>
              </w:rPr>
            </w:pPr>
          </w:p>
        </w:tc>
        <w:tc>
          <w:tcPr>
            <w:tcW w:w="736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Review and approve salaries, bonuses, equity awards, other compensation, and the</w:t>
            </w:r>
          </w:p>
        </w:tc>
        <w:tc>
          <w:tcPr>
            <w:tcW w:w="0" w:type="dxa"/>
            <w:vAlign w:val="bottom"/>
          </w:tcPr>
          <w:p>
            <w:pPr>
              <w:spacing w:after="0"/>
              <w:rPr>
                <w:sz w:val="1"/>
                <w:szCs w:val="1"/>
                <w:color w:val="auto"/>
              </w:rPr>
            </w:pPr>
          </w:p>
        </w:tc>
      </w:tr>
      <w:tr>
        <w:trPr>
          <w:trHeight w:val="133"/>
        </w:trPr>
        <w:tc>
          <w:tcPr>
            <w:tcW w:w="2340" w:type="dxa"/>
            <w:vAlign w:val="bottom"/>
            <w:vMerge w:val="continue"/>
            <w:shd w:val="clear" w:color="auto" w:fill="F9F9F9"/>
          </w:tcPr>
          <w:p>
            <w:pPr>
              <w:spacing w:after="0"/>
              <w:rPr>
                <w:sz w:val="11"/>
                <w:szCs w:val="11"/>
                <w:color w:val="auto"/>
              </w:rPr>
            </w:pPr>
          </w:p>
        </w:tc>
        <w:tc>
          <w:tcPr>
            <w:tcW w:w="240" w:type="dxa"/>
            <w:vAlign w:val="bottom"/>
            <w:shd w:val="clear" w:color="auto" w:fill="F9F9F9"/>
          </w:tcPr>
          <w:p>
            <w:pPr>
              <w:spacing w:after="0"/>
              <w:rPr>
                <w:sz w:val="11"/>
                <w:szCs w:val="11"/>
                <w:color w:val="auto"/>
              </w:rPr>
            </w:pPr>
          </w:p>
        </w:tc>
        <w:tc>
          <w:tcPr>
            <w:tcW w:w="240" w:type="dxa"/>
            <w:vAlign w:val="bottom"/>
            <w:vMerge w:val="restart"/>
            <w:shd w:val="clear" w:color="auto" w:fill="F9F9F9"/>
          </w:tcPr>
          <w:p>
            <w:pPr>
              <w:ind w:left="100"/>
              <w:spacing w:after="0" w:line="182" w:lineRule="exact"/>
              <w:rPr>
                <w:sz w:val="20"/>
                <w:szCs w:val="20"/>
                <w:color w:val="auto"/>
              </w:rPr>
            </w:pPr>
            <w:r>
              <w:rPr>
                <w:rFonts w:ascii="Arial" w:cs="Arial" w:eastAsia="Arial" w:hAnsi="Arial"/>
                <w:sz w:val="18"/>
                <w:szCs w:val="18"/>
                <w:b w:val="1"/>
                <w:bCs w:val="1"/>
                <w:color w:val="BD03F7"/>
              </w:rPr>
              <w:t>•</w:t>
            </w:r>
          </w:p>
        </w:tc>
        <w:tc>
          <w:tcPr>
            <w:tcW w:w="7360" w:type="dxa"/>
            <w:vAlign w:val="bottom"/>
            <w:vMerge w:val="restart"/>
            <w:shd w:val="clear" w:color="auto" w:fill="F9F9F9"/>
          </w:tcPr>
          <w:p>
            <w:pPr>
              <w:ind w:left="20"/>
              <w:spacing w:after="0" w:line="182" w:lineRule="exact"/>
              <w:rPr>
                <w:sz w:val="20"/>
                <w:szCs w:val="20"/>
                <w:color w:val="auto"/>
              </w:rPr>
            </w:pPr>
            <w:r>
              <w:rPr>
                <w:rFonts w:ascii="Arial" w:cs="Arial" w:eastAsia="Arial" w:hAnsi="Arial"/>
                <w:sz w:val="18"/>
                <w:szCs w:val="18"/>
                <w:b w:val="1"/>
                <w:bCs w:val="1"/>
                <w:color w:val="auto"/>
              </w:rPr>
              <w:t>performance measures and goals for our Chief Executive Officer and other executive</w:t>
            </w:r>
          </w:p>
        </w:tc>
        <w:tc>
          <w:tcPr>
            <w:tcW w:w="0" w:type="dxa"/>
            <w:vAlign w:val="bottom"/>
          </w:tcPr>
          <w:p>
            <w:pPr>
              <w:spacing w:after="0"/>
              <w:rPr>
                <w:sz w:val="1"/>
                <w:szCs w:val="1"/>
                <w:color w:val="auto"/>
              </w:rPr>
            </w:pPr>
          </w:p>
        </w:tc>
      </w:tr>
      <w:tr>
        <w:trPr>
          <w:trHeight w:val="50"/>
        </w:trPr>
        <w:tc>
          <w:tcPr>
            <w:tcW w:w="2340" w:type="dxa"/>
            <w:vAlign w:val="bottom"/>
            <w:shd w:val="clear" w:color="auto" w:fill="F9F9F9"/>
          </w:tcPr>
          <w:p>
            <w:pPr>
              <w:spacing w:after="0"/>
              <w:rPr>
                <w:sz w:val="4"/>
                <w:szCs w:val="4"/>
                <w:color w:val="auto"/>
              </w:rPr>
            </w:pPr>
          </w:p>
        </w:tc>
        <w:tc>
          <w:tcPr>
            <w:tcW w:w="240" w:type="dxa"/>
            <w:vAlign w:val="bottom"/>
            <w:shd w:val="clear" w:color="auto" w:fill="F9F9F9"/>
          </w:tcPr>
          <w:p>
            <w:pPr>
              <w:spacing w:after="0"/>
              <w:rPr>
                <w:sz w:val="4"/>
                <w:szCs w:val="4"/>
                <w:color w:val="auto"/>
              </w:rPr>
            </w:pPr>
          </w:p>
        </w:tc>
        <w:tc>
          <w:tcPr>
            <w:tcW w:w="240" w:type="dxa"/>
            <w:vAlign w:val="bottom"/>
            <w:vMerge w:val="continue"/>
            <w:shd w:val="clear" w:color="auto" w:fill="F9F9F9"/>
          </w:tcPr>
          <w:p>
            <w:pPr>
              <w:spacing w:after="0"/>
              <w:rPr>
                <w:sz w:val="4"/>
                <w:szCs w:val="4"/>
                <w:color w:val="auto"/>
              </w:rPr>
            </w:pPr>
          </w:p>
        </w:tc>
        <w:tc>
          <w:tcPr>
            <w:tcW w:w="7360" w:type="dxa"/>
            <w:vAlign w:val="bottom"/>
            <w:vMerge w:val="continue"/>
            <w:shd w:val="clear" w:color="auto" w:fill="F9F9F9"/>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340" w:type="dxa"/>
            <w:vAlign w:val="bottom"/>
            <w:shd w:val="clear" w:color="auto" w:fill="F9F9F9"/>
          </w:tcPr>
          <w:p>
            <w:pPr>
              <w:jc w:val="center"/>
              <w:spacing w:after="0"/>
              <w:rPr>
                <w:sz w:val="20"/>
                <w:szCs w:val="20"/>
                <w:color w:val="auto"/>
              </w:rPr>
            </w:pPr>
            <w:r>
              <w:rPr>
                <w:rFonts w:ascii="Arial" w:cs="Arial" w:eastAsia="Arial" w:hAnsi="Arial"/>
                <w:sz w:val="18"/>
                <w:szCs w:val="18"/>
                <w:b w:val="1"/>
                <w:bCs w:val="1"/>
                <w:color w:val="auto"/>
                <w:w w:val="98"/>
              </w:rPr>
              <w:t>Meetings in Fiscal 2025</w:t>
            </w:r>
          </w:p>
        </w:tc>
        <w:tc>
          <w:tcPr>
            <w:tcW w:w="24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736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officers;</w:t>
            </w:r>
          </w:p>
        </w:tc>
        <w:tc>
          <w:tcPr>
            <w:tcW w:w="0" w:type="dxa"/>
            <w:vAlign w:val="bottom"/>
          </w:tcPr>
          <w:p>
            <w:pPr>
              <w:spacing w:after="0"/>
              <w:rPr>
                <w:sz w:val="1"/>
                <w:szCs w:val="1"/>
                <w:color w:val="auto"/>
              </w:rPr>
            </w:pPr>
          </w:p>
        </w:tc>
      </w:tr>
      <w:tr>
        <w:trPr>
          <w:trHeight w:val="188"/>
        </w:trPr>
        <w:tc>
          <w:tcPr>
            <w:tcW w:w="2340" w:type="dxa"/>
            <w:vAlign w:val="bottom"/>
            <w:shd w:val="clear" w:color="auto" w:fill="F9F9F9"/>
          </w:tcPr>
          <w:p>
            <w:pPr>
              <w:jc w:val="center"/>
              <w:spacing w:after="0" w:line="189" w:lineRule="exact"/>
              <w:rPr>
                <w:sz w:val="20"/>
                <w:szCs w:val="20"/>
                <w:color w:val="auto"/>
              </w:rPr>
            </w:pPr>
            <w:r>
              <w:rPr>
                <w:rFonts w:ascii="Arial" w:cs="Arial" w:eastAsia="Arial" w:hAnsi="Arial"/>
                <w:sz w:val="18"/>
                <w:szCs w:val="18"/>
                <w:b w:val="1"/>
                <w:bCs w:val="1"/>
                <w:color w:val="BD03F7"/>
                <w:w w:val="99"/>
              </w:rPr>
              <w:t>3</w:t>
            </w:r>
          </w:p>
        </w:tc>
        <w:tc>
          <w:tcPr>
            <w:tcW w:w="240" w:type="dxa"/>
            <w:vAlign w:val="bottom"/>
            <w:shd w:val="clear" w:color="auto" w:fill="F9F9F9"/>
          </w:tcPr>
          <w:p>
            <w:pPr>
              <w:spacing w:after="0"/>
              <w:rPr>
                <w:sz w:val="16"/>
                <w:szCs w:val="16"/>
                <w:color w:val="auto"/>
              </w:rPr>
            </w:pPr>
          </w:p>
        </w:tc>
        <w:tc>
          <w:tcPr>
            <w:tcW w:w="240" w:type="dxa"/>
            <w:vAlign w:val="bottom"/>
            <w:vMerge w:val="restart"/>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60" w:type="dxa"/>
            <w:vAlign w:val="bottom"/>
            <w:shd w:val="clear" w:color="auto" w:fill="F9F9F9"/>
          </w:tcPr>
          <w:p>
            <w:pPr>
              <w:ind w:left="20"/>
              <w:spacing w:after="0" w:line="189" w:lineRule="exact"/>
              <w:rPr>
                <w:sz w:val="20"/>
                <w:szCs w:val="20"/>
                <w:color w:val="auto"/>
              </w:rPr>
            </w:pPr>
            <w:r>
              <w:rPr>
                <w:rFonts w:ascii="Arial" w:cs="Arial" w:eastAsia="Arial" w:hAnsi="Arial"/>
                <w:sz w:val="18"/>
                <w:szCs w:val="18"/>
                <w:b w:val="1"/>
                <w:bCs w:val="1"/>
                <w:color w:val="auto"/>
              </w:rPr>
              <w:t>Review and approve amendments to or terminations of any compensatory contracts</w:t>
            </w:r>
          </w:p>
        </w:tc>
        <w:tc>
          <w:tcPr>
            <w:tcW w:w="0" w:type="dxa"/>
            <w:vAlign w:val="bottom"/>
          </w:tcPr>
          <w:p>
            <w:pPr>
              <w:spacing w:after="0"/>
              <w:rPr>
                <w:sz w:val="1"/>
                <w:szCs w:val="1"/>
                <w:color w:val="auto"/>
              </w:rPr>
            </w:pPr>
          </w:p>
        </w:tc>
      </w:tr>
      <w:tr>
        <w:trPr>
          <w:trHeight w:val="322"/>
        </w:trPr>
        <w:tc>
          <w:tcPr>
            <w:tcW w:w="2340" w:type="dxa"/>
            <w:vAlign w:val="bottom"/>
            <w:tcBorders>
              <w:bottom w:val="single" w:sz="8" w:color="F9F9F9"/>
            </w:tcBorders>
            <w:shd w:val="clear" w:color="auto" w:fill="F9F9F9"/>
          </w:tcPr>
          <w:p>
            <w:pPr>
              <w:jc w:val="center"/>
              <w:spacing w:after="0"/>
              <w:rPr>
                <w:sz w:val="20"/>
                <w:szCs w:val="20"/>
                <w:color w:val="auto"/>
              </w:rPr>
            </w:pPr>
            <w:r>
              <w:rPr>
                <w:rFonts w:ascii="Arial" w:cs="Arial" w:eastAsia="Arial" w:hAnsi="Arial"/>
                <w:sz w:val="18"/>
                <w:szCs w:val="18"/>
                <w:b w:val="1"/>
                <w:bCs w:val="1"/>
                <w:color w:val="auto"/>
                <w:w w:val="98"/>
              </w:rPr>
              <w:t>Members</w:t>
            </w:r>
          </w:p>
        </w:tc>
        <w:tc>
          <w:tcPr>
            <w:tcW w:w="240" w:type="dxa"/>
            <w:vAlign w:val="bottom"/>
            <w:tcBorders>
              <w:bottom w:val="single" w:sz="8" w:color="F9F9F9"/>
            </w:tcBorders>
            <w:shd w:val="clear" w:color="auto" w:fill="F9F9F9"/>
          </w:tcPr>
          <w:p>
            <w:pPr>
              <w:spacing w:after="0"/>
              <w:rPr>
                <w:sz w:val="24"/>
                <w:szCs w:val="24"/>
                <w:color w:val="auto"/>
              </w:rPr>
            </w:pPr>
          </w:p>
        </w:tc>
        <w:tc>
          <w:tcPr>
            <w:tcW w:w="240" w:type="dxa"/>
            <w:vAlign w:val="bottom"/>
            <w:tcBorders>
              <w:bottom w:val="single" w:sz="8" w:color="F9F9F9"/>
            </w:tcBorders>
            <w:vMerge w:val="continue"/>
            <w:shd w:val="clear" w:color="auto" w:fill="F9F9F9"/>
          </w:tcPr>
          <w:p>
            <w:pPr>
              <w:spacing w:after="0"/>
              <w:rPr>
                <w:sz w:val="24"/>
                <w:szCs w:val="24"/>
                <w:color w:val="auto"/>
              </w:rPr>
            </w:pPr>
          </w:p>
        </w:tc>
        <w:tc>
          <w:tcPr>
            <w:tcW w:w="7360" w:type="dxa"/>
            <w:vAlign w:val="bottom"/>
            <w:tcBorders>
              <w:bottom w:val="single" w:sz="8" w:color="F9F9F9"/>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with the Chief Executive Officer or other executive officers;</w:t>
            </w:r>
          </w:p>
        </w:tc>
        <w:tc>
          <w:tcPr>
            <w:tcW w:w="0" w:type="dxa"/>
            <w:vAlign w:val="bottom"/>
          </w:tcPr>
          <w:p>
            <w:pPr>
              <w:spacing w:after="0"/>
              <w:rPr>
                <w:sz w:val="1"/>
                <w:szCs w:val="1"/>
                <w:color w:val="auto"/>
              </w:rPr>
            </w:pPr>
          </w:p>
        </w:tc>
      </w:tr>
      <w:tr>
        <w:trPr>
          <w:trHeight w:val="101"/>
        </w:trPr>
        <w:tc>
          <w:tcPr>
            <w:tcW w:w="2340" w:type="dxa"/>
            <w:vAlign w:val="bottom"/>
            <w:tcBorders>
              <w:top w:val="single" w:sz="8" w:color="BD03F7"/>
            </w:tcBorders>
            <w:shd w:val="clear" w:color="auto" w:fill="F9F9F9"/>
          </w:tcPr>
          <w:p>
            <w:pPr>
              <w:spacing w:after="0"/>
              <w:rPr>
                <w:sz w:val="8"/>
                <w:szCs w:val="8"/>
                <w:color w:val="auto"/>
              </w:rPr>
            </w:pPr>
          </w:p>
        </w:tc>
        <w:tc>
          <w:tcPr>
            <w:tcW w:w="240" w:type="dxa"/>
            <w:vAlign w:val="bottom"/>
            <w:tcBorders>
              <w:top w:val="single" w:sz="8" w:color="F9F9F9"/>
            </w:tcBorders>
            <w:shd w:val="clear" w:color="auto" w:fill="F9F9F9"/>
          </w:tcPr>
          <w:p>
            <w:pPr>
              <w:spacing w:after="0"/>
              <w:rPr>
                <w:sz w:val="8"/>
                <w:szCs w:val="8"/>
                <w:color w:val="auto"/>
              </w:rPr>
            </w:pPr>
          </w:p>
        </w:tc>
        <w:tc>
          <w:tcPr>
            <w:tcW w:w="240" w:type="dxa"/>
            <w:vAlign w:val="bottom"/>
            <w:tcBorders>
              <w:top w:val="single" w:sz="8" w:color="F9F9F9"/>
            </w:tcBorders>
            <w:vMerge w:val="restart"/>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60" w:type="dxa"/>
            <w:vAlign w:val="bottom"/>
            <w:tcBorders>
              <w:top w:val="single" w:sz="8" w:color="F9F9F9"/>
            </w:tcBorders>
            <w:shd w:val="clear" w:color="auto" w:fill="F9F9F9"/>
          </w:tcPr>
          <w:p>
            <w:pPr>
              <w:ind w:left="20"/>
              <w:spacing w:after="0" w:line="101" w:lineRule="exact"/>
              <w:rPr>
                <w:sz w:val="20"/>
                <w:szCs w:val="20"/>
                <w:color w:val="auto"/>
              </w:rPr>
            </w:pPr>
            <w:r>
              <w:rPr>
                <w:rFonts w:ascii="Arial" w:cs="Arial" w:eastAsia="Arial" w:hAnsi="Arial"/>
                <w:sz w:val="11"/>
                <w:szCs w:val="11"/>
                <w:b w:val="1"/>
                <w:bCs w:val="1"/>
                <w:color w:val="auto"/>
              </w:rPr>
              <w:t>Establish and review, and oversee the development and implementation of, the</w:t>
            </w:r>
          </w:p>
        </w:tc>
        <w:tc>
          <w:tcPr>
            <w:tcW w:w="0" w:type="dxa"/>
            <w:vAlign w:val="bottom"/>
          </w:tcPr>
          <w:p>
            <w:pPr>
              <w:spacing w:after="0"/>
              <w:rPr>
                <w:sz w:val="1"/>
                <w:szCs w:val="1"/>
                <w:color w:val="auto"/>
              </w:rPr>
            </w:pPr>
          </w:p>
        </w:tc>
      </w:tr>
      <w:tr>
        <w:trPr>
          <w:trHeight w:val="183"/>
        </w:trPr>
        <w:tc>
          <w:tcPr>
            <w:tcW w:w="2340" w:type="dxa"/>
            <w:vAlign w:val="bottom"/>
            <w:shd w:val="clear" w:color="auto" w:fill="F9F9F9"/>
          </w:tcPr>
          <w:p>
            <w:pPr>
              <w:spacing w:after="0"/>
              <w:rPr>
                <w:sz w:val="15"/>
                <w:szCs w:val="15"/>
                <w:color w:val="auto"/>
              </w:rPr>
            </w:pPr>
          </w:p>
        </w:tc>
        <w:tc>
          <w:tcPr>
            <w:tcW w:w="240" w:type="dxa"/>
            <w:vAlign w:val="bottom"/>
            <w:shd w:val="clear" w:color="auto" w:fill="F9F9F9"/>
          </w:tcPr>
          <w:p>
            <w:pPr>
              <w:spacing w:after="0"/>
              <w:rPr>
                <w:sz w:val="15"/>
                <w:szCs w:val="15"/>
                <w:color w:val="auto"/>
              </w:rPr>
            </w:pPr>
          </w:p>
        </w:tc>
        <w:tc>
          <w:tcPr>
            <w:tcW w:w="240" w:type="dxa"/>
            <w:vAlign w:val="bottom"/>
            <w:vMerge w:val="continue"/>
            <w:shd w:val="clear" w:color="auto" w:fill="F9F9F9"/>
          </w:tcPr>
          <w:p>
            <w:pPr>
              <w:spacing w:after="0"/>
              <w:rPr>
                <w:sz w:val="15"/>
                <w:szCs w:val="15"/>
                <w:color w:val="auto"/>
              </w:rPr>
            </w:pPr>
          </w:p>
        </w:tc>
        <w:tc>
          <w:tcPr>
            <w:tcW w:w="7360" w:type="dxa"/>
            <w:vAlign w:val="bottom"/>
            <w:shd w:val="clear" w:color="auto" w:fill="F9F9F9"/>
          </w:tcPr>
          <w:p>
            <w:pPr>
              <w:ind w:left="20"/>
              <w:spacing w:after="0" w:line="182" w:lineRule="exact"/>
              <w:rPr>
                <w:sz w:val="20"/>
                <w:szCs w:val="20"/>
                <w:color w:val="auto"/>
              </w:rPr>
            </w:pPr>
            <w:r>
              <w:rPr>
                <w:rFonts w:ascii="Arial" w:cs="Arial" w:eastAsia="Arial" w:hAnsi="Arial"/>
                <w:sz w:val="18"/>
                <w:szCs w:val="18"/>
                <w:b w:val="1"/>
                <w:bCs w:val="1"/>
                <w:color w:val="auto"/>
              </w:rPr>
              <w:t>Company’s employee compensation plans, including the Short-Term Incentive Plan</w:t>
            </w:r>
          </w:p>
        </w:tc>
        <w:tc>
          <w:tcPr>
            <w:tcW w:w="0" w:type="dxa"/>
            <w:vAlign w:val="bottom"/>
          </w:tcPr>
          <w:p>
            <w:pPr>
              <w:spacing w:after="0"/>
              <w:rPr>
                <w:sz w:val="1"/>
                <w:szCs w:val="1"/>
                <w:color w:val="auto"/>
              </w:rPr>
            </w:pPr>
          </w:p>
        </w:tc>
      </w:tr>
      <w:tr>
        <w:trPr>
          <w:trHeight w:val="228"/>
        </w:trPr>
        <w:tc>
          <w:tcPr>
            <w:tcW w:w="2340" w:type="dxa"/>
            <w:vAlign w:val="bottom"/>
            <w:shd w:val="clear" w:color="auto" w:fill="F9F9F9"/>
          </w:tcPr>
          <w:p>
            <w:pPr>
              <w:spacing w:after="0"/>
              <w:rPr>
                <w:sz w:val="19"/>
                <w:szCs w:val="19"/>
                <w:color w:val="auto"/>
              </w:rPr>
            </w:pPr>
          </w:p>
        </w:tc>
        <w:tc>
          <w:tcPr>
            <w:tcW w:w="240" w:type="dxa"/>
            <w:vAlign w:val="bottom"/>
            <w:shd w:val="clear" w:color="auto" w:fill="F9F9F9"/>
          </w:tcPr>
          <w:p>
            <w:pPr>
              <w:spacing w:after="0"/>
              <w:rPr>
                <w:sz w:val="19"/>
                <w:szCs w:val="19"/>
                <w:color w:val="auto"/>
              </w:rPr>
            </w:pPr>
          </w:p>
        </w:tc>
        <w:tc>
          <w:tcPr>
            <w:tcW w:w="240" w:type="dxa"/>
            <w:vAlign w:val="bottom"/>
            <w:shd w:val="clear" w:color="auto" w:fill="F9F9F9"/>
          </w:tcPr>
          <w:p>
            <w:pPr>
              <w:spacing w:after="0"/>
              <w:rPr>
                <w:sz w:val="19"/>
                <w:szCs w:val="19"/>
                <w:color w:val="auto"/>
              </w:rPr>
            </w:pPr>
          </w:p>
        </w:tc>
        <w:tc>
          <w:tcPr>
            <w:tcW w:w="736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(the “STI Plan”);</w:t>
            </w:r>
          </w:p>
        </w:tc>
        <w:tc>
          <w:tcPr>
            <w:tcW w:w="0" w:type="dxa"/>
            <w:vAlign w:val="bottom"/>
          </w:tcPr>
          <w:p>
            <w:pPr>
              <w:spacing w:after="0"/>
              <w:rPr>
                <w:sz w:val="1"/>
                <w:szCs w:val="1"/>
                <w:color w:val="auto"/>
              </w:rPr>
            </w:pPr>
          </w:p>
        </w:tc>
      </w:tr>
      <w:tr>
        <w:trPr>
          <w:trHeight w:val="246"/>
        </w:trPr>
        <w:tc>
          <w:tcPr>
            <w:tcW w:w="234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40" w:type="dxa"/>
            <w:vAlign w:val="bottom"/>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6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Administer the Company’s equity-based plans;</w:t>
            </w:r>
          </w:p>
        </w:tc>
        <w:tc>
          <w:tcPr>
            <w:tcW w:w="0" w:type="dxa"/>
            <w:vAlign w:val="bottom"/>
          </w:tcPr>
          <w:p>
            <w:pPr>
              <w:spacing w:after="0"/>
              <w:rPr>
                <w:sz w:val="1"/>
                <w:szCs w:val="1"/>
                <w:color w:val="auto"/>
              </w:rPr>
            </w:pPr>
          </w:p>
        </w:tc>
      </w:tr>
      <w:tr>
        <w:trPr>
          <w:trHeight w:val="203"/>
        </w:trPr>
        <w:tc>
          <w:tcPr>
            <w:tcW w:w="2340" w:type="dxa"/>
            <w:vAlign w:val="bottom"/>
            <w:shd w:val="clear" w:color="auto" w:fill="F9F9F9"/>
          </w:tcPr>
          <w:p>
            <w:pPr>
              <w:spacing w:after="0"/>
              <w:rPr>
                <w:sz w:val="17"/>
                <w:szCs w:val="17"/>
                <w:color w:val="auto"/>
              </w:rPr>
            </w:pPr>
          </w:p>
        </w:tc>
        <w:tc>
          <w:tcPr>
            <w:tcW w:w="240" w:type="dxa"/>
            <w:vAlign w:val="bottom"/>
            <w:shd w:val="clear" w:color="auto" w:fill="F9F9F9"/>
          </w:tcPr>
          <w:p>
            <w:pPr>
              <w:spacing w:after="0"/>
              <w:rPr>
                <w:sz w:val="17"/>
                <w:szCs w:val="17"/>
                <w:color w:val="auto"/>
              </w:rPr>
            </w:pPr>
          </w:p>
        </w:tc>
        <w:tc>
          <w:tcPr>
            <w:tcW w:w="240" w:type="dxa"/>
            <w:vAlign w:val="bottom"/>
            <w:vMerge w:val="restart"/>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60" w:type="dxa"/>
            <w:vAlign w:val="bottom"/>
            <w:shd w:val="clear" w:color="auto" w:fill="F9F9F9"/>
          </w:tcPr>
          <w:p>
            <w:pPr>
              <w:ind w:left="20"/>
              <w:spacing w:after="0" w:line="203" w:lineRule="exact"/>
              <w:rPr>
                <w:sz w:val="20"/>
                <w:szCs w:val="20"/>
                <w:color w:val="auto"/>
              </w:rPr>
            </w:pPr>
            <w:r>
              <w:rPr>
                <w:rFonts w:ascii="Arial" w:cs="Arial" w:eastAsia="Arial" w:hAnsi="Arial"/>
                <w:sz w:val="18"/>
                <w:szCs w:val="18"/>
                <w:b w:val="1"/>
                <w:bCs w:val="1"/>
                <w:color w:val="auto"/>
              </w:rPr>
              <w:t>Assess risks arising from the Company’s compensation plans, programs, policies</w:t>
            </w:r>
          </w:p>
        </w:tc>
        <w:tc>
          <w:tcPr>
            <w:tcW w:w="0" w:type="dxa"/>
            <w:vAlign w:val="bottom"/>
          </w:tcPr>
          <w:p>
            <w:pPr>
              <w:spacing w:after="0"/>
              <w:rPr>
                <w:sz w:val="1"/>
                <w:szCs w:val="1"/>
                <w:color w:val="auto"/>
              </w:rPr>
            </w:pPr>
          </w:p>
        </w:tc>
      </w:tr>
      <w:tr>
        <w:trPr>
          <w:trHeight w:val="246"/>
        </w:trPr>
        <w:tc>
          <w:tcPr>
            <w:tcW w:w="234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40" w:type="dxa"/>
            <w:vAlign w:val="bottom"/>
            <w:vMerge w:val="continue"/>
            <w:shd w:val="clear" w:color="auto" w:fill="F9F9F9"/>
          </w:tcPr>
          <w:p>
            <w:pPr>
              <w:spacing w:after="0"/>
              <w:rPr>
                <w:sz w:val="21"/>
                <w:szCs w:val="21"/>
                <w:color w:val="auto"/>
              </w:rPr>
            </w:pPr>
          </w:p>
        </w:tc>
        <w:tc>
          <w:tcPr>
            <w:tcW w:w="736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and practices;</w:t>
            </w:r>
          </w:p>
        </w:tc>
        <w:tc>
          <w:tcPr>
            <w:tcW w:w="0" w:type="dxa"/>
            <w:vAlign w:val="bottom"/>
          </w:tcPr>
          <w:p>
            <w:pPr>
              <w:spacing w:after="0"/>
              <w:rPr>
                <w:sz w:val="1"/>
                <w:szCs w:val="1"/>
                <w:color w:val="auto"/>
              </w:rPr>
            </w:pPr>
          </w:p>
        </w:tc>
      </w:tr>
      <w:tr>
        <w:trPr>
          <w:trHeight w:val="290"/>
        </w:trPr>
        <w:tc>
          <w:tcPr>
            <w:tcW w:w="2340" w:type="dxa"/>
            <w:vAlign w:val="bottom"/>
            <w:shd w:val="clear" w:color="auto" w:fill="F9F9F9"/>
          </w:tcPr>
          <w:p>
            <w:pPr>
              <w:spacing w:after="0"/>
              <w:rPr>
                <w:sz w:val="20"/>
                <w:szCs w:val="20"/>
                <w:color w:val="auto"/>
              </w:rPr>
            </w:pPr>
            <w:r>
              <w:rPr>
                <w:rFonts w:ascii="Arial" w:cs="Arial" w:eastAsia="Arial" w:hAnsi="Arial"/>
                <w:sz w:val="18"/>
                <w:szCs w:val="18"/>
                <w:b w:val="1"/>
                <w:bCs w:val="1"/>
                <w:color w:val="auto"/>
              </w:rPr>
              <w:t>Richard M. Beyer, Chair</w:t>
            </w:r>
          </w:p>
        </w:tc>
        <w:tc>
          <w:tcPr>
            <w:tcW w:w="240" w:type="dxa"/>
            <w:vAlign w:val="bottom"/>
            <w:shd w:val="clear" w:color="auto" w:fill="F9F9F9"/>
          </w:tcPr>
          <w:p>
            <w:pPr>
              <w:spacing w:after="0"/>
              <w:rPr>
                <w:sz w:val="24"/>
                <w:szCs w:val="24"/>
                <w:color w:val="auto"/>
              </w:rPr>
            </w:pPr>
          </w:p>
        </w:tc>
        <w:tc>
          <w:tcPr>
            <w:tcW w:w="240" w:type="dxa"/>
            <w:vAlign w:val="bottom"/>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6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Administer the Company’s clawback and recoupment policy; and</w:t>
            </w:r>
          </w:p>
        </w:tc>
        <w:tc>
          <w:tcPr>
            <w:tcW w:w="0" w:type="dxa"/>
            <w:vAlign w:val="bottom"/>
          </w:tcPr>
          <w:p>
            <w:pPr>
              <w:spacing w:after="0"/>
              <w:rPr>
                <w:sz w:val="1"/>
                <w:szCs w:val="1"/>
                <w:color w:val="auto"/>
              </w:rPr>
            </w:pPr>
          </w:p>
        </w:tc>
      </w:tr>
      <w:tr>
        <w:trPr>
          <w:trHeight w:val="203"/>
        </w:trPr>
        <w:tc>
          <w:tcPr>
            <w:tcW w:w="2340" w:type="dxa"/>
            <w:vAlign w:val="bottom"/>
            <w:shd w:val="clear" w:color="auto" w:fill="F9F9F9"/>
          </w:tcPr>
          <w:p>
            <w:pPr>
              <w:spacing w:after="0" w:line="203" w:lineRule="exact"/>
              <w:rPr>
                <w:sz w:val="20"/>
                <w:szCs w:val="20"/>
                <w:color w:val="auto"/>
              </w:rPr>
            </w:pPr>
            <w:r>
              <w:rPr>
                <w:rFonts w:ascii="Arial" w:cs="Arial" w:eastAsia="Arial" w:hAnsi="Arial"/>
                <w:sz w:val="18"/>
                <w:szCs w:val="18"/>
                <w:b w:val="1"/>
                <w:bCs w:val="1"/>
                <w:color w:val="auto"/>
              </w:rPr>
              <w:t>Lynn A. Dugle</w:t>
            </w:r>
          </w:p>
        </w:tc>
        <w:tc>
          <w:tcPr>
            <w:tcW w:w="240" w:type="dxa"/>
            <w:vAlign w:val="bottom"/>
            <w:shd w:val="clear" w:color="auto" w:fill="F9F9F9"/>
          </w:tcPr>
          <w:p>
            <w:pPr>
              <w:spacing w:after="0"/>
              <w:rPr>
                <w:sz w:val="17"/>
                <w:szCs w:val="17"/>
                <w:color w:val="auto"/>
              </w:rPr>
            </w:pPr>
          </w:p>
        </w:tc>
        <w:tc>
          <w:tcPr>
            <w:tcW w:w="240" w:type="dxa"/>
            <w:vAlign w:val="bottom"/>
            <w:vMerge w:val="restart"/>
            <w:shd w:val="clear" w:color="auto" w:fill="F9F9F9"/>
          </w:tcPr>
          <w:p>
            <w:pPr>
              <w:ind w:left="100"/>
              <w:spacing w:after="0"/>
              <w:rPr>
                <w:sz w:val="20"/>
                <w:szCs w:val="20"/>
                <w:color w:val="auto"/>
              </w:rPr>
            </w:pPr>
            <w:r>
              <w:rPr>
                <w:rFonts w:ascii="Arial" w:cs="Arial" w:eastAsia="Arial" w:hAnsi="Arial"/>
                <w:sz w:val="18"/>
                <w:szCs w:val="18"/>
                <w:b w:val="1"/>
                <w:bCs w:val="1"/>
                <w:color w:val="BD03F7"/>
              </w:rPr>
              <w:t>•</w:t>
            </w:r>
          </w:p>
        </w:tc>
        <w:tc>
          <w:tcPr>
            <w:tcW w:w="7360" w:type="dxa"/>
            <w:vAlign w:val="bottom"/>
            <w:shd w:val="clear" w:color="auto" w:fill="F9F9F9"/>
          </w:tcPr>
          <w:p>
            <w:pPr>
              <w:ind w:left="20"/>
              <w:spacing w:after="0" w:line="203" w:lineRule="exact"/>
              <w:rPr>
                <w:sz w:val="20"/>
                <w:szCs w:val="20"/>
                <w:color w:val="auto"/>
              </w:rPr>
            </w:pPr>
            <w:r>
              <w:rPr>
                <w:rFonts w:ascii="Arial" w:cs="Arial" w:eastAsia="Arial" w:hAnsi="Arial"/>
                <w:sz w:val="18"/>
                <w:szCs w:val="18"/>
                <w:b w:val="1"/>
                <w:bCs w:val="1"/>
                <w:color w:val="auto"/>
              </w:rPr>
              <w:t>Oversee matters relating to shareholder approval of executive compensation,</w:t>
            </w:r>
          </w:p>
        </w:tc>
        <w:tc>
          <w:tcPr>
            <w:tcW w:w="0" w:type="dxa"/>
            <w:vAlign w:val="bottom"/>
          </w:tcPr>
          <w:p>
            <w:pPr>
              <w:spacing w:after="0"/>
              <w:rPr>
                <w:sz w:val="1"/>
                <w:szCs w:val="1"/>
                <w:color w:val="auto"/>
              </w:rPr>
            </w:pPr>
          </w:p>
        </w:tc>
      </w:tr>
      <w:tr>
        <w:trPr>
          <w:trHeight w:val="276"/>
        </w:trPr>
        <w:tc>
          <w:tcPr>
            <w:tcW w:w="2340" w:type="dxa"/>
            <w:vAlign w:val="bottom"/>
            <w:tcBorders>
              <w:bottom w:val="single" w:sz="8" w:color="F9F9F9"/>
            </w:tcBorders>
            <w:shd w:val="clear" w:color="auto" w:fill="F9F9F9"/>
          </w:tcPr>
          <w:p>
            <w:pPr>
              <w:spacing w:after="0"/>
              <w:rPr>
                <w:sz w:val="20"/>
                <w:szCs w:val="20"/>
                <w:color w:val="auto"/>
              </w:rPr>
            </w:pPr>
            <w:r>
              <w:rPr>
                <w:rFonts w:ascii="Arial" w:cs="Arial" w:eastAsia="Arial" w:hAnsi="Arial"/>
                <w:sz w:val="18"/>
                <w:szCs w:val="18"/>
                <w:b w:val="1"/>
                <w:bCs w:val="1"/>
                <w:color w:val="auto"/>
              </w:rPr>
              <w:t>MaryAnn Wright</w:t>
            </w:r>
          </w:p>
        </w:tc>
        <w:tc>
          <w:tcPr>
            <w:tcW w:w="240" w:type="dxa"/>
            <w:vAlign w:val="bottom"/>
            <w:tcBorders>
              <w:bottom w:val="single" w:sz="8" w:color="F9F9F9"/>
            </w:tcBorders>
            <w:shd w:val="clear" w:color="auto" w:fill="F9F9F9"/>
          </w:tcPr>
          <w:p>
            <w:pPr>
              <w:spacing w:after="0"/>
              <w:rPr>
                <w:sz w:val="23"/>
                <w:szCs w:val="23"/>
                <w:color w:val="auto"/>
              </w:rPr>
            </w:pPr>
          </w:p>
        </w:tc>
        <w:tc>
          <w:tcPr>
            <w:tcW w:w="240" w:type="dxa"/>
            <w:vAlign w:val="bottom"/>
            <w:tcBorders>
              <w:bottom w:val="single" w:sz="8" w:color="F9F9F9"/>
            </w:tcBorders>
            <w:vMerge w:val="continue"/>
            <w:shd w:val="clear" w:color="auto" w:fill="F9F9F9"/>
          </w:tcPr>
          <w:p>
            <w:pPr>
              <w:spacing w:after="0"/>
              <w:rPr>
                <w:sz w:val="23"/>
                <w:szCs w:val="23"/>
                <w:color w:val="auto"/>
              </w:rPr>
            </w:pPr>
          </w:p>
        </w:tc>
        <w:tc>
          <w:tcPr>
            <w:tcW w:w="7360" w:type="dxa"/>
            <w:vAlign w:val="bottom"/>
            <w:tcBorders>
              <w:bottom w:val="single" w:sz="8" w:color="F9F9F9"/>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including related shareholder proposals.</w:t>
            </w:r>
          </w:p>
        </w:tc>
        <w:tc>
          <w:tcPr>
            <w:tcW w:w="0" w:type="dxa"/>
            <w:vAlign w:val="bottom"/>
          </w:tcPr>
          <w:p>
            <w:pPr>
              <w:spacing w:after="0"/>
              <w:rPr>
                <w:sz w:val="1"/>
                <w:szCs w:val="1"/>
                <w:color w:val="auto"/>
              </w:rPr>
            </w:pPr>
          </w:p>
        </w:tc>
      </w:tr>
      <w:tr>
        <w:trPr>
          <w:trHeight w:val="20"/>
        </w:trPr>
        <w:tc>
          <w:tcPr>
            <w:tcW w:w="2340" w:type="dxa"/>
            <w:vAlign w:val="bottom"/>
            <w:shd w:val="clear" w:color="auto" w:fill="BD03F7"/>
          </w:tcPr>
          <w:p>
            <w:pPr>
              <w:spacing w:after="0" w:line="20" w:lineRule="exact"/>
              <w:rPr>
                <w:sz w:val="1"/>
                <w:szCs w:val="1"/>
                <w:color w:val="auto"/>
              </w:rPr>
            </w:pPr>
          </w:p>
        </w:tc>
        <w:tc>
          <w:tcPr>
            <w:tcW w:w="240" w:type="dxa"/>
            <w:vAlign w:val="bottom"/>
            <w:shd w:val="clear" w:color="auto" w:fill="BD03F7"/>
          </w:tcPr>
          <w:p>
            <w:pPr>
              <w:spacing w:after="0" w:line="20" w:lineRule="exact"/>
              <w:rPr>
                <w:sz w:val="1"/>
                <w:szCs w:val="1"/>
                <w:color w:val="auto"/>
              </w:rPr>
            </w:pPr>
          </w:p>
        </w:tc>
        <w:tc>
          <w:tcPr>
            <w:tcW w:w="240" w:type="dxa"/>
            <w:vAlign w:val="bottom"/>
            <w:shd w:val="clear" w:color="auto" w:fill="BD03F7"/>
          </w:tcPr>
          <w:p>
            <w:pPr>
              <w:spacing w:after="0" w:line="20" w:lineRule="exact"/>
              <w:rPr>
                <w:sz w:val="1"/>
                <w:szCs w:val="1"/>
                <w:color w:val="auto"/>
              </w:rPr>
            </w:pPr>
          </w:p>
        </w:tc>
        <w:tc>
          <w:tcPr>
            <w:tcW w:w="7360" w:type="dxa"/>
            <w:vAlign w:val="bottom"/>
            <w:shd w:val="clear" w:color="auto" w:fill="BD03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Committee</w:t>
      </w:r>
    </w:p>
    <w:p>
      <w:pPr>
        <w:spacing w:after="0" w:line="25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Ms. McCarthy and Messrs. Gomo, Liu, and Swan currently serve on the Finance Committee. Mr. Liu joined the Finance Committee in March 2025. Mr. Gomo has served as Chair of the Finance Committee since January 2023. Ms. McCarthy will continue to serve on the Finance Committee until her term as a director ends at the Annual Meeting. The Board has determined that all Finance Committee members are independent under the Listing Rules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523240</wp:posOffset>
            </wp:positionV>
            <wp:extent cx="1484630" cy="151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84630" cy="151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2580" w:type="dxa"/>
            <w:vAlign w:val="bottom"/>
            <w:tcBorders>
              <w:bottom w:val="single" w:sz="8" w:color="BD03F7"/>
            </w:tcBorders>
            <w:shd w:val="clear" w:color="auto" w:fill="F9F9F9"/>
          </w:tcPr>
          <w:p>
            <w:pPr>
              <w:ind w:left="340"/>
              <w:spacing w:after="0"/>
              <w:rPr>
                <w:sz w:val="20"/>
                <w:szCs w:val="20"/>
                <w:color w:val="auto"/>
              </w:rPr>
            </w:pPr>
            <w:r>
              <w:rPr>
                <w:rFonts w:ascii="Arial" w:cs="Arial" w:eastAsia="Arial" w:hAnsi="Arial"/>
                <w:sz w:val="18"/>
                <w:szCs w:val="18"/>
                <w:b w:val="1"/>
                <w:bCs w:val="1"/>
                <w:color w:val="auto"/>
              </w:rPr>
              <w:t>Finance Committee</w:t>
            </w:r>
          </w:p>
        </w:tc>
        <w:tc>
          <w:tcPr>
            <w:tcW w:w="7540" w:type="dxa"/>
            <w:vAlign w:val="bottom"/>
            <w:tcBorders>
              <w:bottom w:val="single" w:sz="8" w:color="BD03F7"/>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Primary Responsibilities</w:t>
            </w:r>
          </w:p>
        </w:tc>
      </w:tr>
      <w:tr>
        <w:trPr>
          <w:trHeight w:val="74"/>
        </w:trPr>
        <w:tc>
          <w:tcPr>
            <w:tcW w:w="2580" w:type="dxa"/>
            <w:vAlign w:val="bottom"/>
          </w:tcPr>
          <w:p>
            <w:pPr>
              <w:spacing w:after="0"/>
              <w:rPr>
                <w:sz w:val="6"/>
                <w:szCs w:val="6"/>
                <w:color w:val="auto"/>
              </w:rPr>
            </w:pPr>
          </w:p>
        </w:tc>
        <w:tc>
          <w:tcPr>
            <w:tcW w:w="7540" w:type="dxa"/>
            <w:vAlign w:val="bottom"/>
            <w:shd w:val="clear" w:color="auto" w:fill="F9F9F9"/>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-59055</wp:posOffset>
            </wp:positionV>
            <wp:extent cx="4948555" cy="13652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48555" cy="1365250"/>
                    </a:xfrm>
                    <a:prstGeom prst="rect">
                      <a:avLst/>
                    </a:prstGeom>
                    <a:noFill/>
                  </pic:spPr>
                </pic:pic>
              </a:graphicData>
            </a:graphic>
          </wp:anchor>
        </w:drawing>
      </w:r>
    </w:p>
    <w:p>
      <w:pPr>
        <w:ind w:left="3160" w:hanging="1482"/>
        <w:spacing w:after="0"/>
        <w:tabs>
          <w:tab w:leader="none" w:pos="3160" w:val="left"/>
        </w:tabs>
        <w:numPr>
          <w:ilvl w:val="0"/>
          <w:numId w:val="39"/>
        </w:numPr>
        <w:rPr>
          <w:rFonts w:ascii="Arial" w:cs="Arial" w:eastAsia="Arial" w:hAnsi="Arial"/>
          <w:sz w:val="18"/>
          <w:szCs w:val="18"/>
          <w:b w:val="1"/>
          <w:bCs w:val="1"/>
          <w:color w:val="BD03F7"/>
        </w:rPr>
      </w:pPr>
      <w:r>
        <w:rPr>
          <w:rFonts w:ascii="Arial" w:cs="Arial" w:eastAsia="Arial" w:hAnsi="Arial"/>
          <w:sz w:val="18"/>
          <w:szCs w:val="18"/>
          <w:b w:val="1"/>
          <w:bCs w:val="1"/>
          <w:color w:val="auto"/>
        </w:rPr>
        <w:t>Assist the Board in overseeing and monitoring:</w:t>
      </w:r>
    </w:p>
    <w:p>
      <w:pPr>
        <w:spacing w:after="0" w:line="33" w:lineRule="exact"/>
        <w:rPr>
          <w:rFonts w:ascii="Arial" w:cs="Arial" w:eastAsia="Arial" w:hAnsi="Arial"/>
          <w:sz w:val="18"/>
          <w:szCs w:val="18"/>
          <w:b w:val="1"/>
          <w:bCs w:val="1"/>
          <w:color w:val="BD03F7"/>
        </w:rPr>
      </w:pPr>
    </w:p>
    <w:p>
      <w:pPr>
        <w:ind w:left="740"/>
        <w:spacing w:after="0"/>
        <w:rPr>
          <w:rFonts w:ascii="Arial" w:cs="Arial" w:eastAsia="Arial" w:hAnsi="Arial"/>
          <w:sz w:val="18"/>
          <w:szCs w:val="18"/>
          <w:b w:val="1"/>
          <w:bCs w:val="1"/>
          <w:color w:val="BD03F7"/>
        </w:rPr>
      </w:pPr>
      <w:r>
        <w:rPr>
          <w:rFonts w:ascii="Arial" w:cs="Arial" w:eastAsia="Arial" w:hAnsi="Arial"/>
          <w:sz w:val="18"/>
          <w:szCs w:val="18"/>
          <w:b w:val="1"/>
          <w:bCs w:val="1"/>
          <w:color w:val="auto"/>
        </w:rPr>
        <w:t>Meetings in Fiscal 2025</w:t>
      </w:r>
      <w:r>
        <w:rPr>
          <w:rFonts w:ascii="Arial" w:cs="Arial" w:eastAsia="Arial" w:hAnsi="Arial"/>
          <w:sz w:val="18"/>
          <w:szCs w:val="18"/>
          <w:b w:val="1"/>
          <w:bCs w:val="1"/>
          <w:color w:val="BD03F7"/>
        </w:rPr>
        <w:t xml:space="preserve">• </w:t>
      </w:r>
      <w:r>
        <w:rPr>
          <w:rFonts w:ascii="Arial" w:cs="Arial" w:eastAsia="Arial" w:hAnsi="Arial"/>
          <w:sz w:val="18"/>
          <w:szCs w:val="18"/>
          <w:b w:val="1"/>
          <w:bCs w:val="1"/>
          <w:color w:val="000000"/>
        </w:rPr>
        <w:t>financial policies and strategies;</w:t>
      </w:r>
    </w:p>
    <w:p>
      <w:pPr>
        <w:spacing w:after="0" w:line="2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340" w:type="dxa"/>
            <w:vAlign w:val="bottom"/>
          </w:tcPr>
          <w:p>
            <w:pPr>
              <w:ind w:left="1120"/>
              <w:spacing w:after="0"/>
              <w:rPr>
                <w:sz w:val="20"/>
                <w:szCs w:val="20"/>
                <w:color w:val="auto"/>
              </w:rPr>
            </w:pPr>
            <w:r>
              <w:rPr>
                <w:rFonts w:ascii="Arial" w:cs="Arial" w:eastAsia="Arial" w:hAnsi="Arial"/>
                <w:sz w:val="18"/>
                <w:szCs w:val="18"/>
                <w:b w:val="1"/>
                <w:bCs w:val="1"/>
                <w:color w:val="BD03F7"/>
              </w:rPr>
              <w:t>4</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capital structure;</w:t>
            </w:r>
          </w:p>
        </w:tc>
      </w:tr>
      <w:tr>
        <w:trPr>
          <w:trHeight w:val="234"/>
        </w:trPr>
        <w:tc>
          <w:tcPr>
            <w:tcW w:w="2340" w:type="dxa"/>
            <w:vAlign w:val="bottom"/>
            <w:tcBorders>
              <w:bottom w:val="single" w:sz="8" w:color="BD03F7"/>
            </w:tcBorders>
          </w:tcPr>
          <w:p>
            <w:pPr>
              <w:ind w:left="780"/>
              <w:spacing w:after="0"/>
              <w:rPr>
                <w:sz w:val="20"/>
                <w:szCs w:val="20"/>
                <w:color w:val="auto"/>
              </w:rPr>
            </w:pPr>
            <w:r>
              <w:rPr>
                <w:rFonts w:ascii="Arial" w:cs="Arial" w:eastAsia="Arial" w:hAnsi="Arial"/>
                <w:sz w:val="18"/>
                <w:szCs w:val="18"/>
                <w:b w:val="1"/>
                <w:bCs w:val="1"/>
                <w:color w:val="auto"/>
              </w:rPr>
              <w:t>Members</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tcBorders>
              <w:bottom w:val="single" w:sz="8" w:color="F9F9F9"/>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debt and equity offerings;</w:t>
            </w:r>
          </w:p>
        </w:tc>
      </w:tr>
      <w:tr>
        <w:trPr>
          <w:trHeight w:val="203"/>
        </w:trPr>
        <w:tc>
          <w:tcPr>
            <w:tcW w:w="2340" w:type="dxa"/>
            <w:vAlign w:val="bottom"/>
          </w:tcPr>
          <w:p>
            <w:pPr>
              <w:spacing w:after="0"/>
              <w:rPr>
                <w:sz w:val="17"/>
                <w:szCs w:val="17"/>
                <w:color w:val="auto"/>
              </w:rPr>
            </w:pPr>
          </w:p>
        </w:tc>
        <w:tc>
          <w:tcPr>
            <w:tcW w:w="480" w:type="dxa"/>
            <w:vAlign w:val="bottom"/>
          </w:tcPr>
          <w:p>
            <w:pPr>
              <w:ind w:left="320"/>
              <w:spacing w:after="0" w:line="203" w:lineRule="exact"/>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line="203" w:lineRule="exact"/>
              <w:rPr>
                <w:sz w:val="20"/>
                <w:szCs w:val="20"/>
                <w:color w:val="auto"/>
              </w:rPr>
            </w:pPr>
            <w:r>
              <w:rPr>
                <w:rFonts w:ascii="Arial" w:cs="Arial" w:eastAsia="Arial" w:hAnsi="Arial"/>
                <w:sz w:val="18"/>
                <w:szCs w:val="18"/>
                <w:b w:val="1"/>
                <w:bCs w:val="1"/>
                <w:color w:val="auto"/>
              </w:rPr>
              <w:t>capital return program;</w:t>
            </w:r>
          </w:p>
        </w:tc>
      </w:tr>
      <w:tr>
        <w:trPr>
          <w:trHeight w:val="228"/>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Steven J. Gomo, Chair</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cash management and investments; and</w:t>
            </w:r>
          </w:p>
        </w:tc>
      </w:tr>
      <w:tr>
        <w:trPr>
          <w:trHeight w:val="228"/>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T. Mark Liu</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risk management related to hedge and derivative instruments and insurance.</w:t>
            </w:r>
          </w:p>
        </w:tc>
      </w:tr>
      <w:tr>
        <w:trPr>
          <w:trHeight w:val="228"/>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Mary Pat McCarthy</w:t>
            </w:r>
          </w:p>
        </w:tc>
        <w:tc>
          <w:tcPr>
            <w:tcW w:w="480" w:type="dxa"/>
            <w:vAlign w:val="bottom"/>
          </w:tcPr>
          <w:p>
            <w:pPr>
              <w:spacing w:after="0"/>
              <w:rPr>
                <w:sz w:val="19"/>
                <w:szCs w:val="19"/>
                <w:color w:val="auto"/>
              </w:rPr>
            </w:pPr>
          </w:p>
        </w:tc>
        <w:tc>
          <w:tcPr>
            <w:tcW w:w="7300" w:type="dxa"/>
            <w:vAlign w:val="bottom"/>
            <w:shd w:val="clear" w:color="auto" w:fill="F9F9F9"/>
          </w:tcPr>
          <w:p>
            <w:pPr>
              <w:spacing w:after="0"/>
              <w:rPr>
                <w:sz w:val="19"/>
                <w:szCs w:val="19"/>
                <w:color w:val="auto"/>
              </w:rPr>
            </w:pPr>
          </w:p>
        </w:tc>
      </w:tr>
      <w:tr>
        <w:trPr>
          <w:trHeight w:val="234"/>
        </w:trPr>
        <w:tc>
          <w:tcPr>
            <w:tcW w:w="234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Robert H. Swan</w:t>
            </w:r>
          </w:p>
        </w:tc>
        <w:tc>
          <w:tcPr>
            <w:tcW w:w="480" w:type="dxa"/>
            <w:vAlign w:val="bottom"/>
            <w:tcBorders>
              <w:bottom w:val="single" w:sz="8" w:color="BD03F7"/>
            </w:tcBorders>
          </w:tcPr>
          <w:p>
            <w:pPr>
              <w:spacing w:after="0"/>
              <w:rPr>
                <w:sz w:val="20"/>
                <w:szCs w:val="20"/>
                <w:color w:val="auto"/>
              </w:rPr>
            </w:pPr>
          </w:p>
        </w:tc>
        <w:tc>
          <w:tcPr>
            <w:tcW w:w="7300" w:type="dxa"/>
            <w:vAlign w:val="bottom"/>
            <w:tcBorders>
              <w:bottom w:val="single" w:sz="8" w:color="BD03F7"/>
            </w:tcBorders>
            <w:shd w:val="clear" w:color="auto" w:fill="F9F9F9"/>
          </w:tcPr>
          <w:p>
            <w:pPr>
              <w:spacing w:after="0"/>
              <w:rPr>
                <w:sz w:val="20"/>
                <w:szCs w:val="20"/>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Sustainability Committee</w:t>
      </w:r>
    </w:p>
    <w:p>
      <w:pPr>
        <w:spacing w:after="0" w:line="236" w:lineRule="exact"/>
        <w:rPr>
          <w:sz w:val="20"/>
          <w:szCs w:val="20"/>
          <w:color w:val="auto"/>
        </w:rPr>
      </w:pPr>
    </w:p>
    <w:p>
      <w:pPr>
        <w:jc w:val="both"/>
        <w:ind w:right="140"/>
        <w:spacing w:after="0" w:line="251" w:lineRule="auto"/>
        <w:rPr>
          <w:sz w:val="20"/>
          <w:szCs w:val="20"/>
          <w:color w:val="auto"/>
        </w:rPr>
      </w:pPr>
      <w:r>
        <w:rPr>
          <w:rFonts w:ascii="Arial" w:cs="Arial" w:eastAsia="Arial" w:hAnsi="Arial"/>
          <w:sz w:val="18"/>
          <w:szCs w:val="18"/>
          <w:color w:val="auto"/>
        </w:rPr>
        <w:t>Mses. Dugle and Wright and Mr. Liu currently serve on the Governance and Sustainability Committee. Mr. Liu joined the committee in March 2025. Ms. Wright has served as Chair of the Governance and Sustainability Committee since April 2021. The Board has determined that all Governance and Sustainability Committee members are independent under the Listing Rules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154305</wp:posOffset>
            </wp:positionV>
            <wp:extent cx="6433185" cy="2073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33185" cy="2073275"/>
                    </a:xfrm>
                    <a:prstGeom prst="rect">
                      <a:avLst/>
                    </a:prstGeom>
                    <a:noFill/>
                  </pic:spPr>
                </pic:pic>
              </a:graphicData>
            </a:graphic>
          </wp:anchor>
        </w:drawing>
      </w:r>
    </w:p>
    <w:p>
      <w:pPr>
        <w:spacing w:after="0" w:line="31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Governance and</w:t>
            </w:r>
          </w:p>
        </w:tc>
        <w:tc>
          <w:tcPr>
            <w:tcW w:w="22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8"/>
              </w:rPr>
              <w:t>Primary Responsibilities</w:t>
            </w:r>
          </w:p>
        </w:tc>
        <w:tc>
          <w:tcPr>
            <w:tcW w:w="0" w:type="dxa"/>
            <w:vAlign w:val="bottom"/>
          </w:tcPr>
          <w:p>
            <w:pPr>
              <w:spacing w:after="0"/>
              <w:rPr>
                <w:sz w:val="1"/>
                <w:szCs w:val="1"/>
                <w:color w:val="auto"/>
              </w:rPr>
            </w:pPr>
          </w:p>
        </w:tc>
      </w:tr>
      <w:tr>
        <w:trPr>
          <w:trHeight w:val="246"/>
        </w:trPr>
        <w:tc>
          <w:tcPr>
            <w:tcW w:w="23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Sustainability Committee</w:t>
            </w:r>
          </w:p>
        </w:tc>
        <w:tc>
          <w:tcPr>
            <w:tcW w:w="2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3160" w:hanging="1482"/>
        <w:spacing w:after="0"/>
        <w:tabs>
          <w:tab w:leader="none" w:pos="3160" w:val="left"/>
        </w:tabs>
        <w:numPr>
          <w:ilvl w:val="0"/>
          <w:numId w:val="40"/>
        </w:numPr>
        <w:rPr>
          <w:rFonts w:ascii="Arial" w:cs="Arial" w:eastAsia="Arial" w:hAnsi="Arial"/>
          <w:sz w:val="18"/>
          <w:szCs w:val="18"/>
          <w:b w:val="1"/>
          <w:bCs w:val="1"/>
          <w:color w:val="BD03F7"/>
        </w:rPr>
      </w:pPr>
      <w:r>
        <w:rPr>
          <w:rFonts w:ascii="Arial" w:cs="Arial" w:eastAsia="Arial" w:hAnsi="Arial"/>
          <w:sz w:val="18"/>
          <w:szCs w:val="18"/>
          <w:b w:val="1"/>
          <w:bCs w:val="1"/>
          <w:color w:val="auto"/>
        </w:rPr>
        <w:t>Assist the Board in overseeing and monitoring:</w:t>
      </w:r>
    </w:p>
    <w:p>
      <w:pPr>
        <w:spacing w:after="0" w:line="34" w:lineRule="exact"/>
        <w:rPr>
          <w:rFonts w:ascii="Arial" w:cs="Arial" w:eastAsia="Arial" w:hAnsi="Arial"/>
          <w:sz w:val="18"/>
          <w:szCs w:val="18"/>
          <w:b w:val="1"/>
          <w:bCs w:val="1"/>
          <w:color w:val="BD03F7"/>
        </w:rPr>
      </w:pPr>
    </w:p>
    <w:p>
      <w:pPr>
        <w:ind w:left="740"/>
        <w:spacing w:after="0"/>
        <w:rPr>
          <w:rFonts w:ascii="Arial" w:cs="Arial" w:eastAsia="Arial" w:hAnsi="Arial"/>
          <w:sz w:val="18"/>
          <w:szCs w:val="18"/>
          <w:b w:val="1"/>
          <w:bCs w:val="1"/>
          <w:color w:val="BD03F7"/>
        </w:rPr>
      </w:pPr>
      <w:r>
        <w:rPr>
          <w:rFonts w:ascii="Arial" w:cs="Arial" w:eastAsia="Arial" w:hAnsi="Arial"/>
          <w:sz w:val="18"/>
          <w:szCs w:val="18"/>
          <w:b w:val="1"/>
          <w:bCs w:val="1"/>
          <w:color w:val="auto"/>
        </w:rPr>
        <w:t>Meetings in Fiscal 2025</w:t>
      </w:r>
      <w:r>
        <w:rPr>
          <w:rFonts w:ascii="Arial" w:cs="Arial" w:eastAsia="Arial" w:hAnsi="Arial"/>
          <w:sz w:val="18"/>
          <w:szCs w:val="18"/>
          <w:b w:val="1"/>
          <w:bCs w:val="1"/>
          <w:color w:val="BD03F7"/>
        </w:rPr>
        <w:t xml:space="preserve">• </w:t>
      </w:r>
      <w:r>
        <w:rPr>
          <w:rFonts w:ascii="Arial" w:cs="Arial" w:eastAsia="Arial" w:hAnsi="Arial"/>
          <w:sz w:val="18"/>
          <w:szCs w:val="18"/>
          <w:b w:val="1"/>
          <w:bCs w:val="1"/>
          <w:color w:val="000000"/>
        </w:rPr>
        <w:t>identification and selection of nominees to our Board;</w:t>
      </w:r>
    </w:p>
    <w:p>
      <w:pPr>
        <w:spacing w:after="0" w:line="2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340" w:type="dxa"/>
            <w:vAlign w:val="bottom"/>
          </w:tcPr>
          <w:p>
            <w:pPr>
              <w:jc w:val="right"/>
              <w:ind w:right="1030"/>
              <w:spacing w:after="0"/>
              <w:rPr>
                <w:sz w:val="20"/>
                <w:szCs w:val="20"/>
                <w:color w:val="auto"/>
              </w:rPr>
            </w:pPr>
            <w:r>
              <w:rPr>
                <w:rFonts w:ascii="Arial" w:cs="Arial" w:eastAsia="Arial" w:hAnsi="Arial"/>
                <w:sz w:val="18"/>
                <w:szCs w:val="18"/>
                <w:b w:val="1"/>
                <w:bCs w:val="1"/>
                <w:color w:val="BD03F7"/>
              </w:rPr>
              <w:t>3</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director compensation;</w:t>
            </w:r>
          </w:p>
        </w:tc>
        <w:tc>
          <w:tcPr>
            <w:tcW w:w="0" w:type="dxa"/>
            <w:vAlign w:val="bottom"/>
          </w:tcPr>
          <w:p>
            <w:pPr>
              <w:spacing w:after="0"/>
              <w:rPr>
                <w:sz w:val="1"/>
                <w:szCs w:val="1"/>
                <w:color w:val="auto"/>
              </w:rPr>
            </w:pPr>
          </w:p>
        </w:tc>
      </w:tr>
      <w:tr>
        <w:trPr>
          <w:trHeight w:val="234"/>
        </w:trPr>
        <w:tc>
          <w:tcPr>
            <w:tcW w:w="234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8"/>
              </w:rPr>
              <w:t>Members</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tcBorders>
              <w:bottom w:val="single" w:sz="8" w:color="F9F9F9"/>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development and integration of material sustainability strategies;</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480" w:type="dxa"/>
            <w:vAlign w:val="bottom"/>
            <w:vMerge w:val="restart"/>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our human capital management efforts, including talent development and retention,</w:t>
            </w:r>
          </w:p>
        </w:tc>
        <w:tc>
          <w:tcPr>
            <w:tcW w:w="0" w:type="dxa"/>
            <w:vAlign w:val="bottom"/>
          </w:tcPr>
          <w:p>
            <w:pPr>
              <w:spacing w:after="0"/>
              <w:rPr>
                <w:sz w:val="1"/>
                <w:szCs w:val="1"/>
                <w:color w:val="auto"/>
              </w:rPr>
            </w:pPr>
          </w:p>
        </w:tc>
      </w:tr>
      <w:tr>
        <w:trPr>
          <w:trHeight w:val="246"/>
        </w:trPr>
        <w:tc>
          <w:tcPr>
            <w:tcW w:w="234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and culture programs and initiatives;</w:t>
            </w:r>
          </w:p>
        </w:tc>
        <w:tc>
          <w:tcPr>
            <w:tcW w:w="0" w:type="dxa"/>
            <w:vAlign w:val="bottom"/>
          </w:tcPr>
          <w:p>
            <w:pPr>
              <w:spacing w:after="0"/>
              <w:rPr>
                <w:sz w:val="1"/>
                <w:szCs w:val="1"/>
                <w:color w:val="auto"/>
              </w:rPr>
            </w:pPr>
          </w:p>
        </w:tc>
      </w:tr>
      <w:tr>
        <w:trPr>
          <w:trHeight w:val="278"/>
        </w:trPr>
        <w:tc>
          <w:tcPr>
            <w:tcW w:w="2340" w:type="dxa"/>
            <w:vAlign w:val="bottom"/>
          </w:tcPr>
          <w:p>
            <w:pPr>
              <w:spacing w:after="0"/>
              <w:rPr>
                <w:sz w:val="24"/>
                <w:szCs w:val="24"/>
                <w:color w:val="auto"/>
              </w:rPr>
            </w:pP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development of our Corporate Governance Guidelines;</w:t>
            </w:r>
          </w:p>
        </w:tc>
        <w:tc>
          <w:tcPr>
            <w:tcW w:w="0" w:type="dxa"/>
            <w:vAlign w:val="bottom"/>
          </w:tcPr>
          <w:p>
            <w:pPr>
              <w:spacing w:after="0"/>
              <w:rPr>
                <w:sz w:val="1"/>
                <w:szCs w:val="1"/>
                <w:color w:val="auto"/>
              </w:rPr>
            </w:pPr>
          </w:p>
        </w:tc>
      </w:tr>
      <w:tr>
        <w:trPr>
          <w:trHeight w:val="246"/>
        </w:trPr>
        <w:tc>
          <w:tcPr>
            <w:tcW w:w="2340" w:type="dxa"/>
            <w:vAlign w:val="bottom"/>
          </w:tcPr>
          <w:p>
            <w:pPr>
              <w:spacing w:after="0"/>
              <w:rPr>
                <w:sz w:val="21"/>
                <w:szCs w:val="21"/>
                <w:color w:val="auto"/>
              </w:rPr>
            </w:pPr>
          </w:p>
        </w:tc>
        <w:tc>
          <w:tcPr>
            <w:tcW w:w="480" w:type="dxa"/>
            <w:vAlign w:val="bottom"/>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evaluation of the Board and management;</w:t>
            </w:r>
          </w:p>
        </w:tc>
        <w:tc>
          <w:tcPr>
            <w:tcW w:w="0" w:type="dxa"/>
            <w:vAlign w:val="bottom"/>
          </w:tcPr>
          <w:p>
            <w:pPr>
              <w:spacing w:after="0"/>
              <w:rPr>
                <w:sz w:val="1"/>
                <w:szCs w:val="1"/>
                <w:color w:val="auto"/>
              </w:rPr>
            </w:pPr>
          </w:p>
        </w:tc>
      </w:tr>
      <w:tr>
        <w:trPr>
          <w:trHeight w:val="224"/>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MaryAnn Wright, Chair</w:t>
            </w:r>
          </w:p>
        </w:tc>
        <w:tc>
          <w:tcPr>
            <w:tcW w:w="480" w:type="dxa"/>
            <w:vAlign w:val="bottom"/>
            <w:vMerge w:val="restart"/>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monitoring our lobbying and political activity, including policies and guidelines</w:t>
            </w:r>
          </w:p>
        </w:tc>
        <w:tc>
          <w:tcPr>
            <w:tcW w:w="0" w:type="dxa"/>
            <w:vAlign w:val="bottom"/>
          </w:tcPr>
          <w:p>
            <w:pPr>
              <w:spacing w:after="0"/>
              <w:rPr>
                <w:sz w:val="1"/>
                <w:szCs w:val="1"/>
                <w:color w:val="auto"/>
              </w:rPr>
            </w:pPr>
          </w:p>
        </w:tc>
      </w:tr>
      <w:tr>
        <w:trPr>
          <w:trHeight w:val="246"/>
        </w:trPr>
        <w:tc>
          <w:tcPr>
            <w:tcW w:w="2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Lynn A. Dugle</w:t>
            </w:r>
          </w:p>
        </w:tc>
        <w:tc>
          <w:tcPr>
            <w:tcW w:w="480" w:type="dxa"/>
            <w:vAlign w:val="bottom"/>
            <w:vMerge w:val="continue"/>
          </w:tcPr>
          <w:p>
            <w:pPr>
              <w:spacing w:after="0"/>
              <w:rPr>
                <w:sz w:val="21"/>
                <w:szCs w:val="21"/>
                <w:color w:val="auto"/>
              </w:rPr>
            </w:pP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regarding the Company’s political contributions and activities; and</w:t>
            </w:r>
          </w:p>
        </w:tc>
        <w:tc>
          <w:tcPr>
            <w:tcW w:w="0" w:type="dxa"/>
            <w:vAlign w:val="bottom"/>
          </w:tcPr>
          <w:p>
            <w:pPr>
              <w:spacing w:after="0"/>
              <w:rPr>
                <w:sz w:val="1"/>
                <w:szCs w:val="1"/>
                <w:color w:val="auto"/>
              </w:rPr>
            </w:pPr>
          </w:p>
        </w:tc>
      </w:tr>
      <w:tr>
        <w:trPr>
          <w:trHeight w:val="67"/>
        </w:trPr>
        <w:tc>
          <w:tcPr>
            <w:tcW w:w="2340" w:type="dxa"/>
            <w:vAlign w:val="bottom"/>
            <w:vMerge w:val="continue"/>
          </w:tcPr>
          <w:p>
            <w:pPr>
              <w:spacing w:after="0"/>
              <w:rPr>
                <w:sz w:val="5"/>
                <w:szCs w:val="5"/>
                <w:color w:val="auto"/>
              </w:rPr>
            </w:pPr>
          </w:p>
        </w:tc>
        <w:tc>
          <w:tcPr>
            <w:tcW w:w="480" w:type="dxa"/>
            <w:vAlign w:val="bottom"/>
            <w:vMerge w:val="restart"/>
          </w:tcPr>
          <w:p>
            <w:pPr>
              <w:ind w:left="320"/>
              <w:spacing w:after="0"/>
              <w:rPr>
                <w:sz w:val="20"/>
                <w:szCs w:val="20"/>
                <w:color w:val="auto"/>
              </w:rPr>
            </w:pPr>
            <w:r>
              <w:rPr>
                <w:rFonts w:ascii="Arial" w:cs="Arial" w:eastAsia="Arial" w:hAnsi="Arial"/>
                <w:sz w:val="18"/>
                <w:szCs w:val="18"/>
                <w:b w:val="1"/>
                <w:bCs w:val="1"/>
                <w:color w:val="BD03F7"/>
              </w:rPr>
              <w:t>•</w:t>
            </w:r>
          </w:p>
        </w:tc>
        <w:tc>
          <w:tcPr>
            <w:tcW w:w="7300" w:type="dxa"/>
            <w:vAlign w:val="bottom"/>
            <w:vMerge w:val="restart"/>
            <w:shd w:val="clear" w:color="auto" w:fill="F9F9F9"/>
          </w:tcPr>
          <w:p>
            <w:pPr>
              <w:ind w:left="20"/>
              <w:spacing w:after="0"/>
              <w:rPr>
                <w:sz w:val="20"/>
                <w:szCs w:val="20"/>
                <w:color w:val="auto"/>
              </w:rPr>
            </w:pPr>
            <w:r>
              <w:rPr>
                <w:rFonts w:ascii="Arial" w:cs="Arial" w:eastAsia="Arial" w:hAnsi="Arial"/>
                <w:sz w:val="18"/>
                <w:szCs w:val="18"/>
                <w:b w:val="1"/>
                <w:bCs w:val="1"/>
                <w:color w:val="auto"/>
              </w:rPr>
              <w:t>shareholder engagement and shareholder proposals.</w:t>
            </w:r>
          </w:p>
        </w:tc>
        <w:tc>
          <w:tcPr>
            <w:tcW w:w="0" w:type="dxa"/>
            <w:vAlign w:val="bottom"/>
          </w:tcPr>
          <w:p>
            <w:pPr>
              <w:spacing w:after="0"/>
              <w:rPr>
                <w:sz w:val="1"/>
                <w:szCs w:val="1"/>
                <w:color w:val="auto"/>
              </w:rPr>
            </w:pPr>
          </w:p>
        </w:tc>
      </w:tr>
      <w:tr>
        <w:trPr>
          <w:trHeight w:val="256"/>
        </w:trPr>
        <w:tc>
          <w:tcPr>
            <w:tcW w:w="234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T. Mark Liu</w:t>
            </w:r>
          </w:p>
        </w:tc>
        <w:tc>
          <w:tcPr>
            <w:tcW w:w="480" w:type="dxa"/>
            <w:vAlign w:val="bottom"/>
            <w:tcBorders>
              <w:bottom w:val="single" w:sz="8" w:color="BD03F7"/>
            </w:tcBorders>
            <w:vMerge w:val="continue"/>
          </w:tcPr>
          <w:p>
            <w:pPr>
              <w:spacing w:after="0"/>
              <w:rPr>
                <w:sz w:val="22"/>
                <w:szCs w:val="22"/>
                <w:color w:val="auto"/>
              </w:rPr>
            </w:pPr>
          </w:p>
        </w:tc>
        <w:tc>
          <w:tcPr>
            <w:tcW w:w="7300" w:type="dxa"/>
            <w:vAlign w:val="bottom"/>
            <w:tcBorders>
              <w:bottom w:val="single" w:sz="8" w:color="BD03F7"/>
            </w:tcBorders>
            <w:vMerge w:val="continue"/>
            <w:shd w:val="clear" w:color="auto" w:fill="F9F9F9"/>
          </w:tcPr>
          <w:p>
            <w:pPr>
              <w:spacing w:after="0"/>
              <w:rPr>
                <w:sz w:val="22"/>
                <w:szCs w:val="2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Committee</w:t>
      </w:r>
    </w:p>
    <w:p>
      <w:pPr>
        <w:spacing w:after="0" w:line="25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Mses. Haynesworth and Simons and Mr. Beyer currently serve on the Security Committee. Ms. Simons joined the committee in March 2025. Ms. Haynesworth has served as Chair of the Security Committee since January 2024. Mr. Beyer will continue to serve on the Security Committee until his term as a director ends at the Annual Meeting. The Board has determined that all Security Committee members are independent under the Listing Rules of Nasdaq.</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676910</wp:posOffset>
            </wp:positionV>
            <wp:extent cx="6433185" cy="21583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33185" cy="215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537"/>
        </w:trPr>
        <w:tc>
          <w:tcPr>
            <w:tcW w:w="2340" w:type="dxa"/>
            <w:vAlign w:val="bottom"/>
            <w:tcBorders>
              <w:bottom w:val="single" w:sz="8" w:color="BD03F7"/>
            </w:tcBorders>
          </w:tcPr>
          <w:p>
            <w:pPr>
              <w:ind w:left="320"/>
              <w:spacing w:after="0"/>
              <w:rPr>
                <w:sz w:val="20"/>
                <w:szCs w:val="20"/>
                <w:color w:val="auto"/>
              </w:rPr>
            </w:pPr>
            <w:r>
              <w:rPr>
                <w:rFonts w:ascii="Arial" w:cs="Arial" w:eastAsia="Arial" w:hAnsi="Arial"/>
                <w:sz w:val="18"/>
                <w:szCs w:val="18"/>
                <w:b w:val="1"/>
                <w:bCs w:val="1"/>
                <w:color w:val="auto"/>
              </w:rPr>
              <w:t>Security Committee</w:t>
            </w:r>
          </w:p>
        </w:tc>
        <w:tc>
          <w:tcPr>
            <w:tcW w:w="7780" w:type="dxa"/>
            <w:vAlign w:val="bottom"/>
            <w:tcBorders>
              <w:bottom w:val="single" w:sz="8" w:color="BD03F7"/>
            </w:tcBorders>
            <w:shd w:val="clear" w:color="auto" w:fill="F9F9F9"/>
          </w:tcPr>
          <w:p>
            <w:pPr>
              <w:ind w:left="260"/>
              <w:spacing w:after="0"/>
              <w:rPr>
                <w:sz w:val="20"/>
                <w:szCs w:val="20"/>
                <w:color w:val="auto"/>
              </w:rPr>
            </w:pPr>
            <w:r>
              <w:rPr>
                <w:rFonts w:ascii="Arial" w:cs="Arial" w:eastAsia="Arial" w:hAnsi="Arial"/>
                <w:sz w:val="18"/>
                <w:szCs w:val="18"/>
                <w:b w:val="1"/>
                <w:bCs w:val="1"/>
                <w:color w:val="auto"/>
              </w:rPr>
              <w:t>Primary Responsibilities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-7620</wp:posOffset>
            </wp:positionV>
            <wp:extent cx="153670" cy="1817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3670" cy="1817370"/>
                    </a:xfrm>
                    <a:prstGeom prst="rect">
                      <a:avLst/>
                    </a:prstGeom>
                    <a:noFill/>
                  </pic:spPr>
                </pic:pic>
              </a:graphicData>
            </a:graphic>
          </wp:anchor>
        </w:drawing>
      </w:r>
    </w:p>
    <w:p>
      <w:pPr>
        <w:ind w:left="3160" w:hanging="1482"/>
        <w:spacing w:after="0"/>
        <w:tabs>
          <w:tab w:leader="none" w:pos="3160" w:val="left"/>
        </w:tabs>
        <w:numPr>
          <w:ilvl w:val="0"/>
          <w:numId w:val="41"/>
        </w:numPr>
        <w:rPr>
          <w:rFonts w:ascii="Arial" w:cs="Arial" w:eastAsia="Arial" w:hAnsi="Arial"/>
          <w:sz w:val="18"/>
          <w:szCs w:val="18"/>
          <w:b w:val="1"/>
          <w:bCs w:val="1"/>
          <w:color w:val="BD03F7"/>
        </w:rPr>
      </w:pPr>
      <w:r>
        <w:rPr>
          <w:rFonts w:ascii="Arial" w:cs="Arial" w:eastAsia="Arial" w:hAnsi="Arial"/>
          <w:sz w:val="18"/>
          <w:szCs w:val="18"/>
          <w:b w:val="1"/>
          <w:bCs w:val="1"/>
          <w:color w:val="auto"/>
        </w:rPr>
        <w:t>Assist the Board in overseeing and monitoring:</w:t>
      </w:r>
    </w:p>
    <w:p>
      <w:pPr>
        <w:spacing w:after="0" w:line="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Meetings in Fiscal 2025</w:t>
            </w:r>
          </w:p>
        </w:tc>
        <w:tc>
          <w:tcPr>
            <w:tcW w:w="240" w:type="dxa"/>
            <w:vAlign w:val="bottom"/>
            <w:vMerge w:val="restart"/>
            <w:shd w:val="clear" w:color="auto" w:fill="F9F9F9"/>
          </w:tcPr>
          <w:p>
            <w:pPr>
              <w:ind w:left="80"/>
              <w:spacing w:after="0"/>
              <w:rPr>
                <w:sz w:val="20"/>
                <w:szCs w:val="20"/>
                <w:color w:val="auto"/>
              </w:rPr>
            </w:pPr>
            <w:r>
              <w:rPr>
                <w:rFonts w:ascii="Arial" w:cs="Arial" w:eastAsia="Arial" w:hAnsi="Arial"/>
                <w:sz w:val="18"/>
                <w:szCs w:val="18"/>
                <w:b w:val="1"/>
                <w:bCs w:val="1"/>
                <w:color w:val="BD03F7"/>
              </w:rPr>
              <w:t>•</w:t>
            </w: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physical security of our facilities and employees as well as enterprise cybersecurity</w:t>
            </w:r>
          </w:p>
        </w:tc>
        <w:tc>
          <w:tcPr>
            <w:tcW w:w="0" w:type="dxa"/>
            <w:vAlign w:val="bottom"/>
          </w:tcPr>
          <w:p>
            <w:pPr>
              <w:spacing w:after="0"/>
              <w:rPr>
                <w:sz w:val="1"/>
                <w:szCs w:val="1"/>
                <w:color w:val="auto"/>
              </w:rPr>
            </w:pPr>
          </w:p>
        </w:tc>
      </w:tr>
      <w:tr>
        <w:trPr>
          <w:trHeight w:val="170"/>
        </w:trPr>
        <w:tc>
          <w:tcPr>
            <w:tcW w:w="2340" w:type="dxa"/>
            <w:vAlign w:val="bottom"/>
            <w:vMerge w:val="restart"/>
          </w:tcPr>
          <w:p>
            <w:pPr>
              <w:jc w:val="center"/>
              <w:spacing w:after="0"/>
              <w:rPr>
                <w:sz w:val="20"/>
                <w:szCs w:val="20"/>
                <w:color w:val="auto"/>
              </w:rPr>
            </w:pPr>
            <w:r>
              <w:rPr>
                <w:rFonts w:ascii="Arial" w:cs="Arial" w:eastAsia="Arial" w:hAnsi="Arial"/>
                <w:sz w:val="18"/>
                <w:szCs w:val="18"/>
                <w:b w:val="1"/>
                <w:bCs w:val="1"/>
                <w:color w:val="BD03F7"/>
                <w:w w:val="99"/>
              </w:rPr>
              <w:t>3</w:t>
            </w:r>
          </w:p>
        </w:tc>
        <w:tc>
          <w:tcPr>
            <w:tcW w:w="240" w:type="dxa"/>
            <w:vAlign w:val="bottom"/>
          </w:tcPr>
          <w:p>
            <w:pPr>
              <w:spacing w:after="0"/>
              <w:rPr>
                <w:sz w:val="14"/>
                <w:szCs w:val="14"/>
                <w:color w:val="auto"/>
              </w:rPr>
            </w:pPr>
          </w:p>
        </w:tc>
        <w:tc>
          <w:tcPr>
            <w:tcW w:w="240" w:type="dxa"/>
            <w:vAlign w:val="bottom"/>
            <w:vMerge w:val="continue"/>
            <w:shd w:val="clear" w:color="auto" w:fill="F9F9F9"/>
          </w:tcPr>
          <w:p>
            <w:pPr>
              <w:spacing w:after="0"/>
              <w:rPr>
                <w:sz w:val="14"/>
                <w:szCs w:val="14"/>
                <w:color w:val="auto"/>
              </w:rPr>
            </w:pPr>
          </w:p>
        </w:tc>
        <w:tc>
          <w:tcPr>
            <w:tcW w:w="7300" w:type="dxa"/>
            <w:vAlign w:val="bottom"/>
          </w:tcPr>
          <w:p>
            <w:pPr>
              <w:ind w:left="20"/>
              <w:spacing w:after="0" w:line="170" w:lineRule="exact"/>
              <w:rPr>
                <w:sz w:val="20"/>
                <w:szCs w:val="20"/>
                <w:color w:val="auto"/>
              </w:rPr>
            </w:pPr>
            <w:r>
              <w:rPr>
                <w:rFonts w:ascii="Arial" w:cs="Arial" w:eastAsia="Arial" w:hAnsi="Arial"/>
                <w:sz w:val="18"/>
                <w:szCs w:val="18"/>
                <w:b w:val="1"/>
                <w:bCs w:val="1"/>
                <w:color w:val="auto"/>
              </w:rPr>
              <w:t>and data protection risks associated with our security-related infrastructure and</w:t>
            </w:r>
          </w:p>
        </w:tc>
        <w:tc>
          <w:tcPr>
            <w:tcW w:w="0" w:type="dxa"/>
            <w:vAlign w:val="bottom"/>
          </w:tcPr>
          <w:p>
            <w:pPr>
              <w:spacing w:after="0"/>
              <w:rPr>
                <w:sz w:val="1"/>
                <w:szCs w:val="1"/>
                <w:color w:val="auto"/>
              </w:rPr>
            </w:pPr>
          </w:p>
        </w:tc>
      </w:tr>
      <w:tr>
        <w:trPr>
          <w:trHeight w:val="234"/>
        </w:trPr>
        <w:tc>
          <w:tcPr>
            <w:tcW w:w="2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shd w:val="clear" w:color="auto" w:fill="F9F9F9"/>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related operations, including outside partners;</w:t>
            </w:r>
          </w:p>
        </w:tc>
        <w:tc>
          <w:tcPr>
            <w:tcW w:w="0" w:type="dxa"/>
            <w:vAlign w:val="bottom"/>
          </w:tcPr>
          <w:p>
            <w:pPr>
              <w:spacing w:after="0"/>
              <w:rPr>
                <w:sz w:val="1"/>
                <w:szCs w:val="1"/>
                <w:color w:val="auto"/>
              </w:rPr>
            </w:pPr>
          </w:p>
        </w:tc>
      </w:tr>
      <w:tr>
        <w:trPr>
          <w:trHeight w:val="246"/>
        </w:trPr>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Members</w:t>
            </w:r>
          </w:p>
        </w:tc>
        <w:tc>
          <w:tcPr>
            <w:tcW w:w="240" w:type="dxa"/>
            <w:vAlign w:val="bottom"/>
            <w:shd w:val="clear" w:color="auto" w:fill="F9F9F9"/>
          </w:tcPr>
          <w:p>
            <w:pPr>
              <w:ind w:left="8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cyber crisis preparedness and security breach and incident response plans;</w:t>
            </w:r>
          </w:p>
        </w:tc>
        <w:tc>
          <w:tcPr>
            <w:tcW w:w="0" w:type="dxa"/>
            <w:vAlign w:val="bottom"/>
          </w:tcPr>
          <w:p>
            <w:pPr>
              <w:spacing w:after="0"/>
              <w:rPr>
                <w:sz w:val="1"/>
                <w:szCs w:val="1"/>
                <w:color w:val="auto"/>
              </w:rPr>
            </w:pPr>
          </w:p>
        </w:tc>
      </w:tr>
      <w:tr>
        <w:trPr>
          <w:trHeight w:val="211"/>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vMerge w:val="restart"/>
            <w:shd w:val="clear" w:color="auto" w:fill="F9F9F9"/>
          </w:tcPr>
          <w:p>
            <w:pPr>
              <w:ind w:left="8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compliance with applicable information security and data protection laws and</w:t>
            </w:r>
          </w:p>
        </w:tc>
        <w:tc>
          <w:tcPr>
            <w:tcW w:w="0" w:type="dxa"/>
            <w:vAlign w:val="bottom"/>
          </w:tcPr>
          <w:p>
            <w:pPr>
              <w:spacing w:after="0"/>
              <w:rPr>
                <w:sz w:val="1"/>
                <w:szCs w:val="1"/>
                <w:color w:val="auto"/>
              </w:rPr>
            </w:pPr>
          </w:p>
        </w:tc>
      </w:tr>
      <w:tr>
        <w:trPr>
          <w:trHeight w:val="40"/>
        </w:trPr>
        <w:tc>
          <w:tcPr>
            <w:tcW w:w="2340" w:type="dxa"/>
            <w:vAlign w:val="bottom"/>
            <w:tcBorders>
              <w:bottom w:val="single" w:sz="8" w:color="BD03F7"/>
            </w:tcBorders>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Borders>
              <w:bottom w:val="single" w:sz="8" w:color="F9F9F9"/>
            </w:tcBorders>
            <w:vMerge w:val="continue"/>
            <w:shd w:val="clear" w:color="auto" w:fill="F9F9F9"/>
          </w:tcPr>
          <w:p>
            <w:pPr>
              <w:spacing w:after="0"/>
              <w:rPr>
                <w:sz w:val="3"/>
                <w:szCs w:val="3"/>
                <w:color w:val="auto"/>
              </w:rPr>
            </w:pPr>
          </w:p>
        </w:tc>
        <w:tc>
          <w:tcPr>
            <w:tcW w:w="7300" w:type="dxa"/>
            <w:vAlign w:val="bottom"/>
            <w:tcBorders>
              <w:bottom w:val="single" w:sz="8" w:color="F9F9F9"/>
            </w:tcBorders>
            <w:vMerge w:val="restart"/>
            <w:shd w:val="clear" w:color="auto" w:fill="F9F9F9"/>
          </w:tcPr>
          <w:p>
            <w:pPr>
              <w:ind w:left="20"/>
              <w:spacing w:after="0"/>
              <w:rPr>
                <w:sz w:val="20"/>
                <w:szCs w:val="20"/>
                <w:color w:val="auto"/>
              </w:rPr>
            </w:pPr>
            <w:r>
              <w:rPr>
                <w:rFonts w:ascii="Arial" w:cs="Arial" w:eastAsia="Arial" w:hAnsi="Arial"/>
                <w:sz w:val="18"/>
                <w:szCs w:val="18"/>
                <w:b w:val="1"/>
                <w:bCs w:val="1"/>
                <w:color w:val="auto"/>
              </w:rPr>
              <w:t>industry standards;</w:t>
            </w: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vMerge w:val="continue"/>
            <w:shd w:val="clear" w:color="auto" w:fill="F9F9F9"/>
          </w:tcPr>
          <w:p>
            <w:pPr>
              <w:spacing w:after="0"/>
              <w:rPr>
                <w:sz w:val="16"/>
                <w:szCs w:val="16"/>
                <w:color w:val="auto"/>
              </w:rPr>
            </w:pPr>
          </w:p>
        </w:tc>
        <w:tc>
          <w:tcPr>
            <w:tcW w:w="7300" w:type="dxa"/>
            <w:vAlign w:val="bottom"/>
            <w:vMerge w:val="continue"/>
            <w:shd w:val="clear" w:color="auto" w:fill="F9F9F9"/>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vMerge w:val="restart"/>
            <w:shd w:val="clear" w:color="auto" w:fill="F9F9F9"/>
          </w:tcPr>
          <w:p>
            <w:pPr>
              <w:ind w:left="8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our physical and cybersecurity strategy, crisis or incident management, as security-</w:t>
            </w:r>
          </w:p>
        </w:tc>
        <w:tc>
          <w:tcPr>
            <w:tcW w:w="0" w:type="dxa"/>
            <w:vAlign w:val="bottom"/>
          </w:tcPr>
          <w:p>
            <w:pPr>
              <w:spacing w:after="0"/>
              <w:rPr>
                <w:sz w:val="1"/>
                <w:szCs w:val="1"/>
                <w:color w:val="auto"/>
              </w:rPr>
            </w:pPr>
          </w:p>
        </w:tc>
      </w:tr>
      <w:tr>
        <w:trPr>
          <w:trHeight w:val="242"/>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Linnie M. Haynesworth,</w:t>
            </w:r>
          </w:p>
        </w:tc>
        <w:tc>
          <w:tcPr>
            <w:tcW w:w="240" w:type="dxa"/>
            <w:vAlign w:val="bottom"/>
            <w:vMerge w:val="continue"/>
            <w:shd w:val="clear" w:color="auto" w:fill="F9F9F9"/>
          </w:tcPr>
          <w:p>
            <w:pPr>
              <w:spacing w:after="0"/>
              <w:rPr>
                <w:sz w:val="21"/>
                <w:szCs w:val="21"/>
                <w:color w:val="auto"/>
              </w:rPr>
            </w:pP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related information technology and planning processes;</w:t>
            </w:r>
          </w:p>
        </w:tc>
        <w:tc>
          <w:tcPr>
            <w:tcW w:w="0" w:type="dxa"/>
            <w:vAlign w:val="bottom"/>
          </w:tcPr>
          <w:p>
            <w:pPr>
              <w:spacing w:after="0"/>
              <w:rPr>
                <w:sz w:val="1"/>
                <w:szCs w:val="1"/>
                <w:color w:val="auto"/>
              </w:rPr>
            </w:pPr>
          </w:p>
        </w:tc>
      </w:tr>
      <w:tr>
        <w:trPr>
          <w:trHeight w:val="236"/>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Chair</w:t>
            </w:r>
          </w:p>
        </w:tc>
        <w:tc>
          <w:tcPr>
            <w:tcW w:w="240" w:type="dxa"/>
            <w:vAlign w:val="bottom"/>
            <w:vMerge w:val="restart"/>
            <w:shd w:val="clear" w:color="auto" w:fill="F9F9F9"/>
          </w:tcPr>
          <w:p>
            <w:pPr>
              <w:ind w:left="80"/>
              <w:spacing w:after="0"/>
              <w:rPr>
                <w:sz w:val="20"/>
                <w:szCs w:val="20"/>
                <w:color w:val="auto"/>
              </w:rPr>
            </w:pPr>
            <w:r>
              <w:rPr>
                <w:rFonts w:ascii="Arial" w:cs="Arial" w:eastAsia="Arial" w:hAnsi="Arial"/>
                <w:sz w:val="18"/>
                <w:szCs w:val="18"/>
                <w:b w:val="1"/>
                <w:bCs w:val="1"/>
                <w:color w:val="BD03F7"/>
              </w:rPr>
              <w:t>•</w:t>
            </w: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public disclosure relating to security of our employees, facilities, and information</w:t>
            </w:r>
          </w:p>
        </w:tc>
        <w:tc>
          <w:tcPr>
            <w:tcW w:w="0" w:type="dxa"/>
            <w:vAlign w:val="bottom"/>
          </w:tcPr>
          <w:p>
            <w:pPr>
              <w:spacing w:after="0"/>
              <w:rPr>
                <w:sz w:val="1"/>
                <w:szCs w:val="1"/>
                <w:color w:val="auto"/>
              </w:rPr>
            </w:pPr>
          </w:p>
        </w:tc>
      </w:tr>
      <w:tr>
        <w:trPr>
          <w:trHeight w:val="269"/>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Richard M. Beyer</w:t>
            </w:r>
          </w:p>
        </w:tc>
        <w:tc>
          <w:tcPr>
            <w:tcW w:w="240" w:type="dxa"/>
            <w:vAlign w:val="bottom"/>
            <w:vMerge w:val="continue"/>
            <w:shd w:val="clear" w:color="auto" w:fill="F9F9F9"/>
          </w:tcPr>
          <w:p>
            <w:pPr>
              <w:spacing w:after="0"/>
              <w:rPr>
                <w:sz w:val="23"/>
                <w:szCs w:val="23"/>
                <w:color w:val="auto"/>
              </w:rPr>
            </w:pPr>
          </w:p>
        </w:tc>
        <w:tc>
          <w:tcPr>
            <w:tcW w:w="73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auto"/>
              </w:rPr>
              <w:t>technology systems, including privacy, network security and data security; and</w:t>
            </w:r>
          </w:p>
        </w:tc>
        <w:tc>
          <w:tcPr>
            <w:tcW w:w="0" w:type="dxa"/>
            <w:vAlign w:val="bottom"/>
          </w:tcPr>
          <w:p>
            <w:pPr>
              <w:spacing w:after="0"/>
              <w:rPr>
                <w:sz w:val="1"/>
                <w:szCs w:val="1"/>
                <w:color w:val="auto"/>
              </w:rPr>
            </w:pPr>
          </w:p>
        </w:tc>
      </w:tr>
      <w:tr>
        <w:trPr>
          <w:trHeight w:val="294"/>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A. Christine Simons</w:t>
            </w:r>
          </w:p>
        </w:tc>
        <w:tc>
          <w:tcPr>
            <w:tcW w:w="240" w:type="dxa"/>
            <w:vAlign w:val="bottom"/>
            <w:tcBorders>
              <w:bottom w:val="single" w:sz="8" w:color="F9F9F9"/>
            </w:tcBorders>
            <w:shd w:val="clear" w:color="auto" w:fill="F9F9F9"/>
          </w:tcPr>
          <w:p>
            <w:pPr>
              <w:ind w:left="80"/>
              <w:spacing w:after="0"/>
              <w:rPr>
                <w:sz w:val="20"/>
                <w:szCs w:val="20"/>
                <w:color w:val="auto"/>
              </w:rPr>
            </w:pPr>
            <w:r>
              <w:rPr>
                <w:rFonts w:ascii="Arial" w:cs="Arial" w:eastAsia="Arial" w:hAnsi="Arial"/>
                <w:sz w:val="18"/>
                <w:szCs w:val="18"/>
                <w:b w:val="1"/>
                <w:bCs w:val="1"/>
                <w:color w:val="BD03F7"/>
              </w:rPr>
              <w:t>•</w:t>
            </w:r>
          </w:p>
        </w:tc>
        <w:tc>
          <w:tcPr>
            <w:tcW w:w="7300" w:type="dxa"/>
            <w:vAlign w:val="bottom"/>
            <w:tcBorders>
              <w:bottom w:val="single" w:sz="8" w:color="F9F9F9"/>
            </w:tcBorders>
            <w:shd w:val="clear" w:color="auto" w:fill="F9F9F9"/>
          </w:tcPr>
          <w:p>
            <w:pPr>
              <w:ind w:left="20"/>
              <w:spacing w:after="0"/>
              <w:rPr>
                <w:sz w:val="20"/>
                <w:szCs w:val="20"/>
                <w:color w:val="auto"/>
              </w:rPr>
            </w:pPr>
            <w:r>
              <w:rPr>
                <w:rFonts w:ascii="Arial" w:cs="Arial" w:eastAsia="Arial" w:hAnsi="Arial"/>
                <w:sz w:val="18"/>
                <w:szCs w:val="18"/>
                <w:b w:val="1"/>
                <w:bCs w:val="1"/>
                <w:color w:val="auto"/>
              </w:rPr>
              <w:t>oversight of cybersecurity and data protection risks associated with our products.</w:t>
            </w:r>
          </w:p>
        </w:tc>
        <w:tc>
          <w:tcPr>
            <w:tcW w:w="0" w:type="dxa"/>
            <w:vAlign w:val="bottom"/>
          </w:tcPr>
          <w:p>
            <w:pPr>
              <w:spacing w:after="0"/>
              <w:rPr>
                <w:sz w:val="1"/>
                <w:szCs w:val="1"/>
                <w:color w:val="auto"/>
              </w:rPr>
            </w:pPr>
          </w:p>
        </w:tc>
      </w:tr>
      <w:tr>
        <w:trPr>
          <w:trHeight w:val="20"/>
        </w:trPr>
        <w:tc>
          <w:tcPr>
            <w:tcW w:w="2340" w:type="dxa"/>
            <w:vAlign w:val="bottom"/>
            <w:shd w:val="clear" w:color="auto" w:fill="BD03F7"/>
          </w:tcPr>
          <w:p>
            <w:pPr>
              <w:spacing w:after="0" w:line="20" w:lineRule="exact"/>
              <w:rPr>
                <w:sz w:val="1"/>
                <w:szCs w:val="1"/>
                <w:color w:val="auto"/>
              </w:rPr>
            </w:pPr>
          </w:p>
        </w:tc>
        <w:tc>
          <w:tcPr>
            <w:tcW w:w="240" w:type="dxa"/>
            <w:vAlign w:val="bottom"/>
            <w:shd w:val="clear" w:color="auto" w:fill="BD03F7"/>
          </w:tcPr>
          <w:p>
            <w:pPr>
              <w:spacing w:after="0" w:line="20" w:lineRule="exact"/>
              <w:rPr>
                <w:sz w:val="1"/>
                <w:szCs w:val="1"/>
                <w:color w:val="auto"/>
              </w:rPr>
            </w:pPr>
          </w:p>
        </w:tc>
        <w:tc>
          <w:tcPr>
            <w:tcW w:w="240" w:type="dxa"/>
            <w:vAlign w:val="bottom"/>
            <w:shd w:val="clear" w:color="auto" w:fill="BD03F7"/>
          </w:tcPr>
          <w:p>
            <w:pPr>
              <w:spacing w:after="0" w:line="20" w:lineRule="exact"/>
              <w:rPr>
                <w:sz w:val="1"/>
                <w:szCs w:val="1"/>
                <w:color w:val="auto"/>
              </w:rPr>
            </w:pPr>
          </w:p>
        </w:tc>
        <w:tc>
          <w:tcPr>
            <w:tcW w:w="7300" w:type="dxa"/>
            <w:vAlign w:val="bottom"/>
            <w:shd w:val="clear" w:color="auto" w:fill="BD03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Sessions</w:t>
      </w:r>
    </w:p>
    <w:p>
      <w:pPr>
        <w:spacing w:after="0" w:line="23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Ms. Dugle has been the Lead Independent Director of our Board since January 2025. During Fiscal 2025, as part of her duties as Lead Independent Director, Ms. Dugle chaired Executive Session meetings of our Board. The Board meets in Executive Session regularly and held six such Executive Session meetings in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THE BOARD’S 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1329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BOARD’S ROLE IN RISK OVERSIGHT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 Assessment and Mitigation</w:t>
      </w:r>
    </w:p>
    <w:p>
      <w:pPr>
        <w:spacing w:after="0" w:line="25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operate in a dynamic economic, social, and political landscape, making structured and conscientious risk management more important than ever. Our Board reviews and oversees our enterprise risk management program, which uses an integrated approach to manage risks that helps us achieve a shared understanding of risks and opportunities and make informed business decisions. This approach enhances our capability to identify potential events, trends, and operating conditions that could create uncertainty for our business, enabling us to better prepare and respond to the risks in an efficient and effective manner.</w:t>
      </w:r>
    </w:p>
    <w:p>
      <w:pPr>
        <w:spacing w:after="0" w:line="204"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The Board has delegated primary oversight of our enterprise risk management process to the Audit Committee, which conducts reviews of our risk assessment and enterprise risk management policies as described below, including overseeing the management of risks related to financial reporting and compliance. Other Board committees provide additional insights into our enterprise risk management program in the areas of their core competencies, and report to the Board regularly on matters relating to the following specific areas of risk the committees oversee:</w:t>
      </w:r>
    </w:p>
    <w:p>
      <w:pPr>
        <w:spacing w:after="0" w:line="204" w:lineRule="exact"/>
        <w:rPr>
          <w:sz w:val="20"/>
          <w:szCs w:val="20"/>
          <w:color w:val="auto"/>
        </w:rPr>
      </w:pPr>
    </w:p>
    <w:p>
      <w:pPr>
        <w:ind w:left="640" w:hanging="310"/>
        <w:spacing w:after="0"/>
        <w:tabs>
          <w:tab w:leader="none" w:pos="640" w:val="left"/>
        </w:tabs>
        <w:numPr>
          <w:ilvl w:val="0"/>
          <w:numId w:val="42"/>
        </w:numPr>
        <w:rPr>
          <w:rFonts w:ascii="Arial" w:cs="Arial" w:eastAsia="Arial" w:hAnsi="Arial"/>
          <w:sz w:val="18"/>
          <w:szCs w:val="18"/>
          <w:color w:val="BD03F7"/>
        </w:rPr>
      </w:pPr>
      <w:r>
        <w:rPr>
          <w:rFonts w:ascii="Arial" w:cs="Arial" w:eastAsia="Arial" w:hAnsi="Arial"/>
          <w:sz w:val="18"/>
          <w:szCs w:val="18"/>
          <w:color w:val="auto"/>
        </w:rPr>
        <w:t>The Compensation Committee oversees management of risks relating to our compensation plans and programs.</w:t>
      </w:r>
    </w:p>
    <w:p>
      <w:pPr>
        <w:spacing w:after="0" w:line="249" w:lineRule="exact"/>
        <w:rPr>
          <w:rFonts w:ascii="Arial" w:cs="Arial" w:eastAsia="Arial" w:hAnsi="Arial"/>
          <w:sz w:val="18"/>
          <w:szCs w:val="18"/>
          <w:color w:val="BD03F7"/>
        </w:rPr>
      </w:pPr>
    </w:p>
    <w:p>
      <w:pPr>
        <w:ind w:left="640" w:hanging="310"/>
        <w:spacing w:after="0"/>
        <w:tabs>
          <w:tab w:leader="none" w:pos="640" w:val="left"/>
        </w:tabs>
        <w:numPr>
          <w:ilvl w:val="0"/>
          <w:numId w:val="42"/>
        </w:numPr>
        <w:rPr>
          <w:rFonts w:ascii="Arial" w:cs="Arial" w:eastAsia="Arial" w:hAnsi="Arial"/>
          <w:sz w:val="18"/>
          <w:szCs w:val="18"/>
          <w:color w:val="BD03F7"/>
        </w:rPr>
      </w:pPr>
      <w:r>
        <w:rPr>
          <w:rFonts w:ascii="Arial" w:cs="Arial" w:eastAsia="Arial" w:hAnsi="Arial"/>
          <w:sz w:val="18"/>
          <w:szCs w:val="18"/>
          <w:color w:val="auto"/>
        </w:rPr>
        <w:t>The Finance Committee oversees the Company’s strategies for management of significant financial risks.</w:t>
      </w:r>
    </w:p>
    <w:p>
      <w:pPr>
        <w:spacing w:after="0" w:line="249" w:lineRule="exact"/>
        <w:rPr>
          <w:rFonts w:ascii="Arial" w:cs="Arial" w:eastAsia="Arial" w:hAnsi="Arial"/>
          <w:sz w:val="18"/>
          <w:szCs w:val="18"/>
          <w:color w:val="BD03F7"/>
        </w:rPr>
      </w:pPr>
    </w:p>
    <w:p>
      <w:pPr>
        <w:ind w:left="660" w:right="260" w:hanging="330"/>
        <w:spacing w:after="0" w:line="285" w:lineRule="auto"/>
        <w:tabs>
          <w:tab w:leader="none" w:pos="655" w:val="left"/>
        </w:tabs>
        <w:numPr>
          <w:ilvl w:val="0"/>
          <w:numId w:val="42"/>
        </w:numPr>
        <w:rPr>
          <w:rFonts w:ascii="Arial" w:cs="Arial" w:eastAsia="Arial" w:hAnsi="Arial"/>
          <w:sz w:val="18"/>
          <w:szCs w:val="18"/>
          <w:color w:val="BD03F7"/>
        </w:rPr>
      </w:pPr>
      <w:r>
        <w:rPr>
          <w:rFonts w:ascii="Arial" w:cs="Arial" w:eastAsia="Arial" w:hAnsi="Arial"/>
          <w:sz w:val="18"/>
          <w:szCs w:val="18"/>
          <w:color w:val="auto"/>
        </w:rPr>
        <w:t>The Governance and Sustainability Committee oversees risks associated with the Board’s governance, director independence, the Company’s human capital programs and sustainability initiatives, and public policy and government affairs activities.</w:t>
      </w:r>
    </w:p>
    <w:p>
      <w:pPr>
        <w:spacing w:after="0" w:line="180" w:lineRule="exact"/>
        <w:rPr>
          <w:rFonts w:ascii="Arial" w:cs="Arial" w:eastAsia="Arial" w:hAnsi="Arial"/>
          <w:sz w:val="18"/>
          <w:szCs w:val="18"/>
          <w:color w:val="BD03F7"/>
        </w:rPr>
      </w:pPr>
    </w:p>
    <w:p>
      <w:pPr>
        <w:ind w:left="640" w:hanging="310"/>
        <w:spacing w:after="0"/>
        <w:tabs>
          <w:tab w:leader="none" w:pos="640" w:val="left"/>
        </w:tabs>
        <w:numPr>
          <w:ilvl w:val="0"/>
          <w:numId w:val="42"/>
        </w:numPr>
        <w:rPr>
          <w:rFonts w:ascii="Arial" w:cs="Arial" w:eastAsia="Arial" w:hAnsi="Arial"/>
          <w:sz w:val="18"/>
          <w:szCs w:val="18"/>
          <w:color w:val="BD03F7"/>
        </w:rPr>
      </w:pPr>
      <w:r>
        <w:rPr>
          <w:rFonts w:ascii="Arial" w:cs="Arial" w:eastAsia="Arial" w:hAnsi="Arial"/>
          <w:sz w:val="18"/>
          <w:szCs w:val="18"/>
          <w:color w:val="auto"/>
        </w:rPr>
        <w:t>The Security Committee oversees risks associated with physical security and cybersecurity.</w:t>
      </w:r>
    </w:p>
    <w:p>
      <w:pPr>
        <w:spacing w:after="0" w:line="25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 performing their oversight responsibilities, the Board and each committee has full access to management, as well as the ability to engage independent advisors. In addition, the Lead Independent Director of the Board leads regular executive sessions of the independent directors, facilitates cross-committee feedback, and fosters open dialogue and constructive feedback among the independent directors, which further supports the Board’s ability to fulfill its risk oversight duties. See “Proposal 1 - Election of Directors—Board’s Roles and Responsibilities— Board Leadership Structure.”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Risk Management Process</w:t>
      </w:r>
    </w:p>
    <w:p>
      <w:pPr>
        <w:spacing w:after="0" w:line="248" w:lineRule="exact"/>
        <w:rPr>
          <w:sz w:val="20"/>
          <w:szCs w:val="20"/>
          <w:color w:val="auto"/>
        </w:rPr>
      </w:pPr>
    </w:p>
    <w:p>
      <w:pPr>
        <w:jc w:val="both"/>
        <w:ind w:right="340"/>
        <w:spacing w:after="0" w:line="267" w:lineRule="auto"/>
        <w:rPr>
          <w:sz w:val="20"/>
          <w:szCs w:val="20"/>
          <w:color w:val="auto"/>
        </w:rPr>
      </w:pPr>
      <w:r>
        <w:rPr>
          <w:rFonts w:ascii="Arial" w:cs="Arial" w:eastAsia="Arial" w:hAnsi="Arial"/>
          <w:sz w:val="18"/>
          <w:szCs w:val="18"/>
          <w:color w:val="auto"/>
        </w:rPr>
        <w:t>We designed our enterprise risk management program to clearly identify risk management roles and responsibilities, bring together senior management to discuss risk, promote visibility and constructive dialogue, and facilitate risk response and mitigation strategies. The Audit Committee plays a key role in this process, and the full Board conducts periodic reviews.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Vice President of Risk Advisory Services coordinates two enterprise risk management workstreams:</w:t>
      </w:r>
    </w:p>
    <w:p>
      <w:pPr>
        <w:spacing w:after="0" w:line="250" w:lineRule="exact"/>
        <w:rPr>
          <w:sz w:val="20"/>
          <w:szCs w:val="20"/>
          <w:color w:val="auto"/>
        </w:rPr>
      </w:pPr>
    </w:p>
    <w:p>
      <w:pPr>
        <w:ind w:left="660" w:right="60" w:hanging="330"/>
        <w:spacing w:after="0" w:line="256" w:lineRule="auto"/>
        <w:tabs>
          <w:tab w:leader="none" w:pos="655" w:val="left"/>
        </w:tabs>
        <w:numPr>
          <w:ilvl w:val="0"/>
          <w:numId w:val="43"/>
        </w:numPr>
        <w:rPr>
          <w:rFonts w:ascii="Arial" w:cs="Arial" w:eastAsia="Arial" w:hAnsi="Arial"/>
          <w:sz w:val="18"/>
          <w:szCs w:val="18"/>
          <w:color w:val="BD03F7"/>
        </w:rPr>
      </w:pPr>
      <w:r>
        <w:rPr>
          <w:rFonts w:ascii="Arial" w:cs="Arial" w:eastAsia="Arial" w:hAnsi="Arial"/>
          <w:sz w:val="18"/>
          <w:szCs w:val="18"/>
          <w:b w:val="1"/>
          <w:bCs w:val="1"/>
          <w:color w:val="auto"/>
        </w:rPr>
        <w:t>Quarterly Assessment by Risk Council</w:t>
      </w:r>
      <w:r>
        <w:rPr>
          <w:rFonts w:ascii="Arial" w:cs="Arial" w:eastAsia="Arial" w:hAnsi="Arial"/>
          <w:sz w:val="18"/>
          <w:szCs w:val="18"/>
          <w:color w:val="auto"/>
        </w:rPr>
        <w:t>: This workstream consists of a quarterly meeting of the Risk Council, which is composed of</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from all our major functions. The Risk Council evaluates our operations and surrounding circumstances, identifying potential events, trends, or operational conditions that could result in a risk exposure, referred to as Risk Triggers. Once the most significant Risk Triggers are identified, Risk Advisory Services performs an evaluation of their potential impacts on us, assesses if the existing business processes and controls are sufficient to manage the risk and identifies if additional risk mitigating actions are needed. Where additional actions are deemed necessary, the Risk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right="180"/>
        <w:spacing w:after="0" w:line="267" w:lineRule="auto"/>
        <w:rPr>
          <w:sz w:val="20"/>
          <w:szCs w:val="20"/>
          <w:color w:val="auto"/>
        </w:rPr>
      </w:pPr>
      <w:r>
        <w:rPr>
          <w:rFonts w:ascii="Arial" w:cs="Arial" w:eastAsia="Arial" w:hAnsi="Arial"/>
          <w:sz w:val="18"/>
          <w:szCs w:val="18"/>
          <w:color w:val="auto"/>
        </w:rPr>
        <w:t>Council representative of the relevant function coordinates the implementation of such actions. The results of Risk Council quarterly assessments are presented to the Company’s senior leadership and the Audit Committee for review and discussion, and feedback from these parties is taken into consideration in the implementation of such actions.</w:t>
      </w:r>
    </w:p>
    <w:p>
      <w:pPr>
        <w:spacing w:after="0" w:line="196" w:lineRule="exact"/>
        <w:rPr>
          <w:sz w:val="20"/>
          <w:szCs w:val="20"/>
          <w:color w:val="auto"/>
        </w:rPr>
      </w:pPr>
    </w:p>
    <w:p>
      <w:pPr>
        <w:ind w:left="660" w:right="40" w:hanging="330"/>
        <w:spacing w:after="0" w:line="258" w:lineRule="auto"/>
        <w:tabs>
          <w:tab w:leader="none" w:pos="655" w:val="left"/>
        </w:tabs>
        <w:numPr>
          <w:ilvl w:val="0"/>
          <w:numId w:val="44"/>
        </w:numPr>
        <w:rPr>
          <w:rFonts w:ascii="Arial" w:cs="Arial" w:eastAsia="Arial" w:hAnsi="Arial"/>
          <w:sz w:val="18"/>
          <w:szCs w:val="18"/>
          <w:color w:val="BD03F7"/>
        </w:rPr>
      </w:pPr>
      <w:r>
        <w:rPr>
          <w:rFonts w:ascii="Arial" w:cs="Arial" w:eastAsia="Arial" w:hAnsi="Arial"/>
          <w:sz w:val="18"/>
          <w:szCs w:val="18"/>
          <w:b w:val="1"/>
          <w:bCs w:val="1"/>
          <w:color w:val="auto"/>
        </w:rPr>
        <w:t>Annual Process Owner Risk Self-Assessment</w:t>
      </w:r>
      <w:r>
        <w:rPr>
          <w:rFonts w:ascii="Arial" w:cs="Arial" w:eastAsia="Arial" w:hAnsi="Arial"/>
          <w:sz w:val="18"/>
          <w:szCs w:val="18"/>
          <w:color w:val="auto"/>
        </w:rPr>
        <w:t>: Annually, Risk Advisory Services facilitates a process where key process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the enterprise evaluate their processes’ ability to mitigate related risks and identify necessary improvements. This assessment is presented to each functional head, where process owners and their senior functional leaders discuss the results and determine if any actions, process changes or improvements are necessary. The overall results of the annual self-assessment are presented to the Audit Committee and the Board.</w:t>
      </w:r>
    </w:p>
    <w:p>
      <w:pPr>
        <w:spacing w:after="0" w:line="204"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color w:val="auto"/>
        </w:rPr>
        <w:t>The combination of these two workstreams embeds risk management in our fabric, regularly engaging leaders across the enterprise and focusing the entire organization on the identification of and mitigation of risks.</w:t>
      </w:r>
    </w:p>
    <w:p>
      <w:pPr>
        <w:spacing w:after="0" w:line="180"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These workstreams also provide timely information to our Chief Executive Officer’s staff and the Audit Committee that is used as input in the development of the Company’s strategy and direction.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Risks</w:t>
      </w:r>
    </w:p>
    <w:p>
      <w:pPr>
        <w:spacing w:after="0" w:line="2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Compensation Committee reviews our compensation programs annually to determine whether risks arising from our compensation policies and practices are reasonably likely to have a material adverse effect on us. In making this assessment, we, with guidance from outside compensation consultants, reviewed our compensation programs to determine if the programs’ provisions and operations create undesired or unintentional risk of a material nature. The Compensation Committee then reviewed the results of our findings with our outside compensation consultant. This risk assessment process included a review of program policies and practices; program analysis to identify risk and risk control related to the programs; and determinations as to the sufficiency of risk identification, the balance of potential risk to potential reward, and risk control. In most cases, our compensation policies and practices are centrally designed and administered and are substantially the same across the Company. Certain internal groups have different or supplemental compensation programs tailored to their specific operations and goals, and programs may differ by country due to variations in local laws and customs. Although the Compensation Committee’s review included all compensation programs, the committee focused on the programs with variability of payout, with the ability of a participant to directly affect payout, and the controls on participant action and payout. Following the review, the Compensation Committee concluded that our compensation policies and practices are not reasonably likely to create situations that would have a material adverse effect on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Risks</w:t>
      </w:r>
    </w:p>
    <w:p>
      <w:pPr>
        <w:spacing w:after="0" w:line="2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Board administers its cybersecurity risk oversight function directly as a whole, as well as through the Security Committee, which is comprised of independent directors. Our Chief Security Officer and our Chief Information Officer report to our Security Committee, which oversees monitoring and incident response, risk mitigation, supply chain security, physical security, product security, insider trust, and other security-related items, and are primarily responsible to assess and manage our material risks from cybersecurity threats. Our Chief Security Officer and Chief Information Officer provide quarterly briefings to the Security Committee regarding our cybersecurity risks and activities, including any recent cybersecurity incidents and related responses, cybersecurity systems testing, and activities of third parties. Our Security Committee provides regular updates to the Board on such reports. In addition, our Chief Security Officer and our Chief Information Officer provide annual briefings to the Board on cybersecurity risks and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cybersecurity policies and practices follow the cybersecurity framework of the National Institute of Standards and Technology (NIST). We periodically engage assessors, consultants, auditors, or other third parties in connection with our risk assessment processes. The results of those assessments are reported to the Security Committee, and we make adjustments to our cybersecurity policies and practices as necessary in light of the assessments. Like any other technology company operating in today’s environment, we have experienced incidents in the past and may experience them in the future. However, we have not experienced any cybersecurity incidents that have been determined to be material. We maintain an information security (cybersecurity) risk insurance policy as a matter of good practice.</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ARTIFICIAL INTELLIGENCE</w:t>
      </w:r>
    </w:p>
    <w:p>
      <w:pPr>
        <w:spacing w:after="0" w:line="25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Our artificial intelligence (“AI”) governance framework is intended to be flexible enough to keep pace with emerging opportunities, challenges and risks, as well as the evolving international regulatory environment. In the fall of 2023, with Board support, we launched a generative AI governance initiative. Our governance structure provides for technical and AI risk assessment and executive leadership oversight on the innovative and responsible use of emerging generative AI-enabled solutions. All Micron team members are required to adhere to our AI Governance Policy in the development or deployment of AI systems.</w:t>
      </w:r>
    </w:p>
    <w:p>
      <w:pPr>
        <w:spacing w:after="0" w:line="2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information technology and security teams, led by our Chief Information Officer, are responsible for the AI governance process, with close support from the Compliance, Legal, and People teams. We have established an Executive Committee, comprised of senior management, which provides strategic guidance and meets periodically to review key cases escalated by the Operating Committee. The cross-functional Operating Committee drives compliance with AI ethical principles and regulatory requirements in the development and usage of generative AI tools and implements Executive Committee Guidance. Our Operating Committee, which meets regularly, reports to our Chief Information Officer and provides regular updates. The Security Committee of the Board also receives regular updates on our AI governance process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HUMAN CAPITAL AND CULTURE</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Micron is committed to fostering a culture of innovation and excellence by attracting and retaining top talent. In alignment with this commitment, the Company mandates comprehensive training for all employees to promote a respectful and inclusive workplace, free from harassment and discrimination. Leaders receive additional training focused on psychological safety to enhance trust, collaboration, and organizational performance. To further support employee wellbeing, Micron provides a global Employee Assistance Program accessible to all team members. The Company’s 10 Employee Resource Groups (“ERGs”) play a critical role in cultivating inclusive environments, with membership now representing more than half of the workforce. Micron also facilitates opportunities for team members to engage in community service and build social connections through onsite experiences.</w:t>
      </w:r>
    </w:p>
    <w:p>
      <w:pPr>
        <w:spacing w:after="0" w:line="20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The Board has directed management to proactively develop the future semiconductor workforce and regularly evaluates improvement efforts. We are investing in upskilling employees for an AI-driven workplace by assessing current AI proficiency, launching foundational learning pathways, and creating cohort-based, hands-on training to address skills gaps and enhance AI capabilities throughout the organization.</w:t>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Beyond these internal initiatives, the Board has directed the Company to strengthen its support for global communities. The Micron Foundation, established by the Company, advances this goal by providing grants that expand access to STEM education, careers in the semiconductor industry, and resources addressing basic living needs. The Company has increased its annual donation match cap to $10,000 per employee and enhanced corporate governance by implementing a new company-wide policy governing financial and in-kind contributions to nonprofits, academic institutions, and governments. Micron employs outcomes-based, data-driven grant making and encourages skills-based volunteering to further employee development and community impact.</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SUSTAINABILITY</w:t>
      </w:r>
    </w:p>
    <w:p>
      <w:pPr>
        <w:spacing w:after="0" w:line="252"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Our commitment to understanding and addressing sustainability impacts and opportunities relevant to our business, along our value chain and in our communities is a critical part of our business practice and our vision to transform how the world uses information to enrich life for all. Our Board considers sustainability to be an integral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part of its business oversight and our corporate strategy and has encouraged a proactive approach toward mitigating our impact on the environment, establishing energy and climate strategy, supporting our team members and the communities in which they live, respecting human rights, driving transparency and accountability in our supply chain, and developing innovative products that support our customers and a sustainable future. We have developed and are executing a sustainability strategy addressing these areas that leverages our leading products, responsible sourcing and operations, and engaged team members.</w:t>
      </w:r>
    </w:p>
    <w:p>
      <w:pPr>
        <w:spacing w:after="0" w:line="20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Board, supported by the Governance and Sustainability Committee and other Board committees as needed, oversees and monitors the development and integration of this strategy and regularly reviews sustainability performance. Board oversight includes, but is not limited to, monitoring material sustainability trends and related long- and short-term impacts of the Company’s operations, supply chains, and products, as well as the Company’s activities and annual public reporting on these topics directed by the Company’s Sustainability Council, which is made up of senior leaders who represent a range of functions, sustainability staff, and various teams implementing the Company’s sustainability efforts.</w:t>
      </w:r>
    </w:p>
    <w:p>
      <w:pPr>
        <w:spacing w:after="0" w:line="20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Governance and Sustainability Committee reviews and discusses sustainability issues at each quarterly committee meeting. Discussions and reports to the committee include information about significant sustainability issues, such as observations from consultations with team members, customers, investors, and other stakeholders about their interests and expectations for us; our sustainability impacts and benefits; and the risks and opportunities that these subjects may pose to our business. The Governance and Sustainability Committee regularly reviews the establishment and implementation of our long-term environmental goals and aspirations. As our programs continue to evolve, we revisit these goals to drive greater performance and address the expectations of our stakeholders. In 2020, we set ambitious long-term goals for emissions, energy, water, and waste. In 2022, we expanded our ambitions, setting new goals for our climate initiatives. We expect to allocate about $1 billion of capital expenditures between 2021 and 2028 to support these goals, though we cannot guarantee that our environmental goals and aspirations set forth below will be realized. These goals and initiatives have been developed based in part on feedback from investors, customers, and team members, and are a critical component of our management of evolving physical, regulatory, market, supply chain, and other risks and opportunities related to climate change, water availability, and other sustainability issues.</w:t>
      </w: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Our Environmental Goals and Aspirations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20" w:type="dxa"/>
            <w:vAlign w:val="bottom"/>
            <w:tcBorders>
              <w:top w:val="single" w:sz="8" w:color="BD03F7"/>
              <w:bottom w:val="single" w:sz="8" w:color="BD03F7"/>
            </w:tcBorders>
          </w:tcPr>
          <w:p>
            <w:pPr>
              <w:spacing w:after="0"/>
              <w:rPr>
                <w:sz w:val="19"/>
                <w:szCs w:val="19"/>
                <w:color w:val="auto"/>
              </w:rPr>
            </w:pPr>
          </w:p>
        </w:tc>
        <w:tc>
          <w:tcPr>
            <w:tcW w:w="4980" w:type="dxa"/>
            <w:vAlign w:val="bottom"/>
            <w:tcBorders>
              <w:top w:val="single" w:sz="8" w:color="BD03F7"/>
              <w:bottom w:val="single" w:sz="8" w:color="BD03F7"/>
            </w:tcBorders>
          </w:tcPr>
          <w:p>
            <w:pPr>
              <w:jc w:val="center"/>
              <w:ind w:left="70"/>
              <w:spacing w:after="0"/>
              <w:rPr>
                <w:sz w:val="20"/>
                <w:szCs w:val="20"/>
                <w:color w:val="auto"/>
              </w:rPr>
            </w:pPr>
            <w:r>
              <w:rPr>
                <w:rFonts w:ascii="Arial" w:cs="Arial" w:eastAsia="Arial" w:hAnsi="Arial"/>
                <w:sz w:val="18"/>
                <w:szCs w:val="18"/>
                <w:b w:val="1"/>
                <w:bCs w:val="1"/>
                <w:color w:val="auto"/>
                <w:w w:val="99"/>
              </w:rPr>
              <w:t>Goals</w:t>
            </w:r>
          </w:p>
        </w:tc>
        <w:tc>
          <w:tcPr>
            <w:tcW w:w="4740" w:type="dxa"/>
            <w:vAlign w:val="bottom"/>
            <w:tcBorders>
              <w:top w:val="single" w:sz="8" w:color="BD03F7"/>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8"/>
              </w:rPr>
              <w:t>Aspirations</w:t>
            </w:r>
          </w:p>
        </w:tc>
      </w:tr>
      <w:tr>
        <w:trPr>
          <w:trHeight w:val="176"/>
        </w:trPr>
        <w:tc>
          <w:tcPr>
            <w:tcW w:w="14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Emissions:</w:t>
            </w:r>
          </w:p>
        </w:tc>
        <w:tc>
          <w:tcPr>
            <w:tcW w:w="4980" w:type="dxa"/>
            <w:vAlign w:val="bottom"/>
          </w:tcPr>
          <w:p>
            <w:pPr>
              <w:jc w:val="center"/>
              <w:ind w:left="70"/>
              <w:spacing w:after="0" w:line="176" w:lineRule="exact"/>
              <w:rPr>
                <w:sz w:val="20"/>
                <w:szCs w:val="20"/>
                <w:color w:val="auto"/>
              </w:rPr>
            </w:pPr>
            <w:r>
              <w:rPr>
                <w:rFonts w:ascii="Arial" w:cs="Arial" w:eastAsia="Arial" w:hAnsi="Arial"/>
                <w:sz w:val="18"/>
                <w:szCs w:val="18"/>
                <w:color w:val="auto"/>
                <w:w w:val="99"/>
              </w:rPr>
              <w:t>42% absolute reduction in scope 1 emissions by</w:t>
            </w:r>
          </w:p>
        </w:tc>
        <w:tc>
          <w:tcPr>
            <w:tcW w:w="4740" w:type="dxa"/>
            <w:vAlign w:val="bottom"/>
          </w:tcPr>
          <w:p>
            <w:pPr>
              <w:jc w:val="center"/>
              <w:spacing w:after="0" w:line="176" w:lineRule="exact"/>
              <w:rPr>
                <w:sz w:val="20"/>
                <w:szCs w:val="20"/>
                <w:color w:val="auto"/>
              </w:rPr>
            </w:pPr>
            <w:r>
              <w:rPr>
                <w:rFonts w:ascii="Arial" w:cs="Arial" w:eastAsia="Arial" w:hAnsi="Arial"/>
                <w:sz w:val="18"/>
                <w:szCs w:val="18"/>
                <w:color w:val="auto"/>
                <w:w w:val="99"/>
              </w:rPr>
              <w:t>Net zero scope 1 and 2 emissions by</w:t>
            </w:r>
          </w:p>
        </w:tc>
      </w:tr>
      <w:tr>
        <w:trPr>
          <w:trHeight w:val="202"/>
        </w:trPr>
        <w:tc>
          <w:tcPr>
            <w:tcW w:w="1420" w:type="dxa"/>
            <w:vAlign w:val="bottom"/>
          </w:tcPr>
          <w:p>
            <w:pPr>
              <w:spacing w:after="0"/>
              <w:rPr>
                <w:sz w:val="17"/>
                <w:szCs w:val="17"/>
                <w:color w:val="auto"/>
              </w:rPr>
            </w:pPr>
          </w:p>
        </w:tc>
        <w:tc>
          <w:tcPr>
            <w:tcW w:w="4980" w:type="dxa"/>
            <w:vAlign w:val="bottom"/>
          </w:tcPr>
          <w:p>
            <w:pPr>
              <w:jc w:val="center"/>
              <w:ind w:left="70"/>
              <w:spacing w:after="0" w:line="201" w:lineRule="exact"/>
              <w:rPr>
                <w:sz w:val="20"/>
                <w:szCs w:val="20"/>
                <w:color w:val="auto"/>
              </w:rPr>
            </w:pPr>
            <w:r>
              <w:rPr>
                <w:rFonts w:ascii="Arial" w:cs="Arial" w:eastAsia="Arial" w:hAnsi="Arial"/>
                <w:sz w:val="18"/>
                <w:szCs w:val="18"/>
                <w:color w:val="auto"/>
                <w:w w:val="99"/>
              </w:rPr>
              <w:t>calendar year 2030 from the calendar year 2020</w:t>
            </w:r>
          </w:p>
        </w:tc>
        <w:tc>
          <w:tcPr>
            <w:tcW w:w="4740" w:type="dxa"/>
            <w:vAlign w:val="bottom"/>
          </w:tcPr>
          <w:p>
            <w:pPr>
              <w:jc w:val="center"/>
              <w:spacing w:after="0" w:line="201" w:lineRule="exact"/>
              <w:rPr>
                <w:sz w:val="20"/>
                <w:szCs w:val="20"/>
                <w:color w:val="auto"/>
              </w:rPr>
            </w:pPr>
            <w:r>
              <w:rPr>
                <w:rFonts w:ascii="Arial" w:cs="Arial" w:eastAsia="Arial" w:hAnsi="Arial"/>
                <w:sz w:val="18"/>
                <w:szCs w:val="18"/>
                <w:color w:val="auto"/>
                <w:w w:val="99"/>
              </w:rPr>
              <w:t>calendar year 2050</w:t>
            </w:r>
          </w:p>
        </w:tc>
      </w:tr>
      <w:tr>
        <w:trPr>
          <w:trHeight w:val="243"/>
        </w:trPr>
        <w:tc>
          <w:tcPr>
            <w:tcW w:w="1420" w:type="dxa"/>
            <w:vAlign w:val="bottom"/>
            <w:tcBorders>
              <w:bottom w:val="single" w:sz="8" w:color="DBDBDB"/>
            </w:tcBorders>
          </w:tcPr>
          <w:p>
            <w:pPr>
              <w:spacing w:after="0"/>
              <w:rPr>
                <w:sz w:val="21"/>
                <w:szCs w:val="21"/>
                <w:color w:val="auto"/>
              </w:rPr>
            </w:pPr>
          </w:p>
        </w:tc>
        <w:tc>
          <w:tcPr>
            <w:tcW w:w="4980" w:type="dxa"/>
            <w:vAlign w:val="bottom"/>
            <w:tcBorders>
              <w:bottom w:val="single" w:sz="8" w:color="DBDBDB"/>
            </w:tcBorders>
          </w:tcPr>
          <w:p>
            <w:pPr>
              <w:jc w:val="center"/>
              <w:ind w:left="70"/>
              <w:spacing w:after="0"/>
              <w:rPr>
                <w:sz w:val="20"/>
                <w:szCs w:val="20"/>
                <w:color w:val="auto"/>
              </w:rPr>
            </w:pPr>
            <w:r>
              <w:rPr>
                <w:rFonts w:ascii="Arial" w:cs="Arial" w:eastAsia="Arial" w:hAnsi="Arial"/>
                <w:sz w:val="18"/>
                <w:szCs w:val="18"/>
                <w:color w:val="auto"/>
                <w:w w:val="98"/>
              </w:rPr>
              <w:t>baseline</w:t>
            </w:r>
          </w:p>
        </w:tc>
        <w:tc>
          <w:tcPr>
            <w:tcW w:w="4740" w:type="dxa"/>
            <w:vAlign w:val="bottom"/>
            <w:tcBorders>
              <w:bottom w:val="single" w:sz="8" w:color="DBDBDB"/>
            </w:tcBorders>
          </w:tcPr>
          <w:p>
            <w:pPr>
              <w:spacing w:after="0"/>
              <w:rPr>
                <w:sz w:val="21"/>
                <w:szCs w:val="21"/>
                <w:color w:val="auto"/>
              </w:rPr>
            </w:pPr>
          </w:p>
        </w:tc>
      </w:tr>
      <w:tr>
        <w:trPr>
          <w:trHeight w:val="181"/>
        </w:trPr>
        <w:tc>
          <w:tcPr>
            <w:tcW w:w="142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Energy:</w:t>
            </w:r>
          </w:p>
        </w:tc>
        <w:tc>
          <w:tcPr>
            <w:tcW w:w="4980" w:type="dxa"/>
            <w:vAlign w:val="bottom"/>
          </w:tcPr>
          <w:p>
            <w:pPr>
              <w:jc w:val="center"/>
              <w:ind w:left="90"/>
              <w:spacing w:after="0" w:line="181" w:lineRule="exact"/>
              <w:rPr>
                <w:sz w:val="20"/>
                <w:szCs w:val="20"/>
                <w:color w:val="auto"/>
              </w:rPr>
            </w:pPr>
            <w:r>
              <w:rPr>
                <w:rFonts w:ascii="Arial" w:cs="Arial" w:eastAsia="Arial" w:hAnsi="Arial"/>
                <w:sz w:val="18"/>
                <w:szCs w:val="18"/>
                <w:color w:val="auto"/>
                <w:w w:val="99"/>
              </w:rPr>
              <w:t>100% renewable electricity in U.S. operations by</w:t>
            </w:r>
          </w:p>
        </w:tc>
        <w:tc>
          <w:tcPr>
            <w:tcW w:w="4740" w:type="dxa"/>
            <w:vAlign w:val="bottom"/>
          </w:tcPr>
          <w:p>
            <w:pPr>
              <w:jc w:val="center"/>
              <w:spacing w:after="0" w:line="181" w:lineRule="exact"/>
              <w:rPr>
                <w:sz w:val="20"/>
                <w:szCs w:val="20"/>
                <w:color w:val="auto"/>
              </w:rPr>
            </w:pPr>
            <w:r>
              <w:rPr>
                <w:rFonts w:ascii="Arial" w:cs="Arial" w:eastAsia="Arial" w:hAnsi="Arial"/>
                <w:sz w:val="18"/>
                <w:szCs w:val="18"/>
                <w:color w:val="auto"/>
                <w:w w:val="99"/>
              </w:rPr>
              <w:t>100% carbon-free electricity globally, where available</w:t>
            </w:r>
          </w:p>
        </w:tc>
      </w:tr>
      <w:tr>
        <w:trPr>
          <w:trHeight w:val="238"/>
        </w:trPr>
        <w:tc>
          <w:tcPr>
            <w:tcW w:w="1420" w:type="dxa"/>
            <w:vAlign w:val="bottom"/>
          </w:tcPr>
          <w:p>
            <w:pPr>
              <w:spacing w:after="0"/>
              <w:rPr>
                <w:sz w:val="20"/>
                <w:szCs w:val="20"/>
                <w:color w:val="auto"/>
              </w:rPr>
            </w:pPr>
          </w:p>
        </w:tc>
        <w:tc>
          <w:tcPr>
            <w:tcW w:w="4980" w:type="dxa"/>
            <w:vAlign w:val="bottom"/>
          </w:tcPr>
          <w:p>
            <w:pPr>
              <w:jc w:val="center"/>
              <w:ind w:left="70"/>
              <w:spacing w:after="0"/>
              <w:rPr>
                <w:sz w:val="20"/>
                <w:szCs w:val="20"/>
                <w:color w:val="auto"/>
              </w:rPr>
            </w:pPr>
            <w:r>
              <w:rPr>
                <w:rFonts w:ascii="Arial" w:cs="Arial" w:eastAsia="Arial" w:hAnsi="Arial"/>
                <w:sz w:val="18"/>
                <w:szCs w:val="18"/>
                <w:color w:val="auto"/>
                <w:w w:val="99"/>
              </w:rPr>
              <w:t>the end of calendar year 2025</w:t>
            </w:r>
          </w:p>
        </w:tc>
        <w:tc>
          <w:tcPr>
            <w:tcW w:w="4740" w:type="dxa"/>
            <w:vAlign w:val="bottom"/>
          </w:tcPr>
          <w:p>
            <w:pPr>
              <w:spacing w:after="0"/>
              <w:rPr>
                <w:sz w:val="20"/>
                <w:szCs w:val="20"/>
                <w:color w:val="auto"/>
              </w:rPr>
            </w:pPr>
          </w:p>
        </w:tc>
      </w:tr>
      <w:tr>
        <w:trPr>
          <w:trHeight w:val="393"/>
        </w:trPr>
        <w:tc>
          <w:tcPr>
            <w:tcW w:w="1420" w:type="dxa"/>
            <w:vAlign w:val="bottom"/>
          </w:tcPr>
          <w:p>
            <w:pPr>
              <w:spacing w:after="0"/>
              <w:rPr>
                <w:sz w:val="24"/>
                <w:szCs w:val="24"/>
                <w:color w:val="auto"/>
              </w:rPr>
            </w:pPr>
          </w:p>
        </w:tc>
        <w:tc>
          <w:tcPr>
            <w:tcW w:w="4980" w:type="dxa"/>
            <w:vAlign w:val="bottom"/>
          </w:tcPr>
          <w:p>
            <w:pPr>
              <w:jc w:val="center"/>
              <w:ind w:left="70"/>
              <w:spacing w:after="0"/>
              <w:rPr>
                <w:sz w:val="20"/>
                <w:szCs w:val="20"/>
                <w:color w:val="auto"/>
              </w:rPr>
            </w:pPr>
            <w:r>
              <w:rPr>
                <w:rFonts w:ascii="Arial" w:cs="Arial" w:eastAsia="Arial" w:hAnsi="Arial"/>
                <w:sz w:val="18"/>
                <w:szCs w:val="18"/>
                <w:color w:val="auto"/>
                <w:w w:val="99"/>
              </w:rPr>
              <w:t>100% renewable electricity in Malaysia and China</w:t>
            </w:r>
          </w:p>
        </w:tc>
        <w:tc>
          <w:tcPr>
            <w:tcW w:w="4740" w:type="dxa"/>
            <w:vAlign w:val="bottom"/>
          </w:tcPr>
          <w:p>
            <w:pPr>
              <w:spacing w:after="0"/>
              <w:rPr>
                <w:sz w:val="24"/>
                <w:szCs w:val="24"/>
                <w:color w:val="auto"/>
              </w:rPr>
            </w:pPr>
          </w:p>
        </w:tc>
      </w:tr>
      <w:tr>
        <w:trPr>
          <w:trHeight w:val="243"/>
        </w:trPr>
        <w:tc>
          <w:tcPr>
            <w:tcW w:w="1420" w:type="dxa"/>
            <w:vAlign w:val="bottom"/>
            <w:tcBorders>
              <w:bottom w:val="single" w:sz="8" w:color="DBDBDB"/>
            </w:tcBorders>
          </w:tcPr>
          <w:p>
            <w:pPr>
              <w:spacing w:after="0"/>
              <w:rPr>
                <w:sz w:val="21"/>
                <w:szCs w:val="21"/>
                <w:color w:val="auto"/>
              </w:rPr>
            </w:pPr>
          </w:p>
        </w:tc>
        <w:tc>
          <w:tcPr>
            <w:tcW w:w="4980" w:type="dxa"/>
            <w:vAlign w:val="bottom"/>
            <w:tcBorders>
              <w:bottom w:val="single" w:sz="8" w:color="DBDBDB"/>
            </w:tcBorders>
          </w:tcPr>
          <w:p>
            <w:pPr>
              <w:jc w:val="center"/>
              <w:ind w:left="70"/>
              <w:spacing w:after="0"/>
              <w:rPr>
                <w:sz w:val="20"/>
                <w:szCs w:val="20"/>
                <w:color w:val="auto"/>
              </w:rPr>
            </w:pPr>
            <w:r>
              <w:rPr>
                <w:rFonts w:ascii="Arial" w:cs="Arial" w:eastAsia="Arial" w:hAnsi="Arial"/>
                <w:sz w:val="18"/>
                <w:szCs w:val="18"/>
                <w:color w:val="auto"/>
                <w:w w:val="97"/>
              </w:rPr>
              <w:t>(ongoing)</w:t>
            </w:r>
          </w:p>
        </w:tc>
        <w:tc>
          <w:tcPr>
            <w:tcW w:w="4740" w:type="dxa"/>
            <w:vAlign w:val="bottom"/>
            <w:tcBorders>
              <w:bottom w:val="single" w:sz="8" w:color="DBDBDB"/>
            </w:tcBorders>
          </w:tcPr>
          <w:p>
            <w:pPr>
              <w:spacing w:after="0"/>
              <w:rPr>
                <w:sz w:val="21"/>
                <w:szCs w:val="21"/>
                <w:color w:val="auto"/>
              </w:rPr>
            </w:pPr>
          </w:p>
        </w:tc>
      </w:tr>
      <w:tr>
        <w:trPr>
          <w:trHeight w:val="181"/>
        </w:trPr>
        <w:tc>
          <w:tcPr>
            <w:tcW w:w="142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Water:</w:t>
            </w:r>
          </w:p>
        </w:tc>
        <w:tc>
          <w:tcPr>
            <w:tcW w:w="4980" w:type="dxa"/>
            <w:vAlign w:val="bottom"/>
          </w:tcPr>
          <w:p>
            <w:pPr>
              <w:jc w:val="center"/>
              <w:ind w:left="70"/>
              <w:spacing w:after="0" w:line="181" w:lineRule="exact"/>
              <w:rPr>
                <w:sz w:val="20"/>
                <w:szCs w:val="20"/>
                <w:color w:val="auto"/>
              </w:rPr>
            </w:pPr>
            <w:r>
              <w:rPr>
                <w:rFonts w:ascii="Arial" w:cs="Arial" w:eastAsia="Arial" w:hAnsi="Arial"/>
                <w:sz w:val="18"/>
                <w:szCs w:val="18"/>
                <w:color w:val="auto"/>
                <w:w w:val="99"/>
              </w:rPr>
              <w:t>75% water conservation through reuse, recycling, and</w:t>
            </w:r>
          </w:p>
        </w:tc>
        <w:tc>
          <w:tcPr>
            <w:tcW w:w="4740" w:type="dxa"/>
            <w:vAlign w:val="bottom"/>
          </w:tcPr>
          <w:p>
            <w:pPr>
              <w:jc w:val="center"/>
              <w:spacing w:after="0" w:line="181" w:lineRule="exact"/>
              <w:rPr>
                <w:sz w:val="20"/>
                <w:szCs w:val="20"/>
                <w:color w:val="auto"/>
              </w:rPr>
            </w:pPr>
            <w:r>
              <w:rPr>
                <w:rFonts w:ascii="Arial" w:cs="Arial" w:eastAsia="Arial" w:hAnsi="Arial"/>
                <w:sz w:val="18"/>
                <w:szCs w:val="18"/>
                <w:color w:val="auto"/>
                <w:w w:val="99"/>
              </w:rPr>
              <w:t>100% water conservation through reuse,</w:t>
            </w:r>
          </w:p>
        </w:tc>
      </w:tr>
      <w:tr>
        <w:trPr>
          <w:trHeight w:val="238"/>
        </w:trPr>
        <w:tc>
          <w:tcPr>
            <w:tcW w:w="1420" w:type="dxa"/>
            <w:vAlign w:val="bottom"/>
          </w:tcPr>
          <w:p>
            <w:pPr>
              <w:spacing w:after="0"/>
              <w:rPr>
                <w:sz w:val="20"/>
                <w:szCs w:val="20"/>
                <w:color w:val="auto"/>
              </w:rPr>
            </w:pPr>
          </w:p>
        </w:tc>
        <w:tc>
          <w:tcPr>
            <w:tcW w:w="4980" w:type="dxa"/>
            <w:vAlign w:val="bottom"/>
          </w:tcPr>
          <w:p>
            <w:pPr>
              <w:jc w:val="center"/>
              <w:ind w:left="70"/>
              <w:spacing w:after="0"/>
              <w:rPr>
                <w:sz w:val="20"/>
                <w:szCs w:val="20"/>
                <w:color w:val="auto"/>
              </w:rPr>
            </w:pPr>
            <w:r>
              <w:rPr>
                <w:rFonts w:ascii="Arial" w:cs="Arial" w:eastAsia="Arial" w:hAnsi="Arial"/>
                <w:sz w:val="18"/>
                <w:szCs w:val="18"/>
                <w:color w:val="auto"/>
                <w:w w:val="99"/>
              </w:rPr>
              <w:t>restoration in calendar year 2030</w:t>
            </w:r>
          </w:p>
        </w:tc>
        <w:tc>
          <w:tcPr>
            <w:tcW w:w="4740" w:type="dxa"/>
            <w:vAlign w:val="bottom"/>
          </w:tcPr>
          <w:p>
            <w:pPr>
              <w:jc w:val="center"/>
              <w:spacing w:after="0"/>
              <w:rPr>
                <w:sz w:val="20"/>
                <w:szCs w:val="20"/>
                <w:color w:val="auto"/>
              </w:rPr>
            </w:pPr>
            <w:r>
              <w:rPr>
                <w:rFonts w:ascii="Arial" w:cs="Arial" w:eastAsia="Arial" w:hAnsi="Arial"/>
                <w:sz w:val="18"/>
                <w:szCs w:val="18"/>
                <w:color w:val="auto"/>
                <w:w w:val="99"/>
              </w:rPr>
              <w:t>recycling, and restoration</w:t>
            </w:r>
          </w:p>
        </w:tc>
      </w:tr>
      <w:tr>
        <w:trPr>
          <w:trHeight w:val="23"/>
        </w:trPr>
        <w:tc>
          <w:tcPr>
            <w:tcW w:w="1420" w:type="dxa"/>
            <w:vAlign w:val="bottom"/>
            <w:tcBorders>
              <w:bottom w:val="single" w:sz="8" w:color="DBDBDB"/>
            </w:tcBorders>
          </w:tcPr>
          <w:p>
            <w:pPr>
              <w:spacing w:after="0" w:line="20" w:lineRule="exact"/>
              <w:rPr>
                <w:sz w:val="1"/>
                <w:szCs w:val="1"/>
                <w:color w:val="auto"/>
              </w:rPr>
            </w:pPr>
          </w:p>
        </w:tc>
        <w:tc>
          <w:tcPr>
            <w:tcW w:w="4980" w:type="dxa"/>
            <w:vAlign w:val="bottom"/>
            <w:tcBorders>
              <w:bottom w:val="single" w:sz="8" w:color="DBDBDB"/>
            </w:tcBorders>
          </w:tcPr>
          <w:p>
            <w:pPr>
              <w:spacing w:after="0" w:line="20" w:lineRule="exact"/>
              <w:rPr>
                <w:sz w:val="1"/>
                <w:szCs w:val="1"/>
                <w:color w:val="auto"/>
              </w:rPr>
            </w:pPr>
          </w:p>
        </w:tc>
        <w:tc>
          <w:tcPr>
            <w:tcW w:w="4740" w:type="dxa"/>
            <w:vAlign w:val="bottom"/>
            <w:tcBorders>
              <w:bottom w:val="single" w:sz="8" w:color="DBDBDB"/>
            </w:tcBorders>
          </w:tcPr>
          <w:p>
            <w:pPr>
              <w:spacing w:after="0" w:line="20" w:lineRule="exact"/>
              <w:rPr>
                <w:sz w:val="1"/>
                <w:szCs w:val="1"/>
                <w:color w:val="auto"/>
              </w:rPr>
            </w:pPr>
          </w:p>
        </w:tc>
      </w:tr>
      <w:tr>
        <w:trPr>
          <w:trHeight w:val="176"/>
        </w:trPr>
        <w:tc>
          <w:tcPr>
            <w:tcW w:w="14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Waste:</w:t>
            </w:r>
          </w:p>
        </w:tc>
        <w:tc>
          <w:tcPr>
            <w:tcW w:w="4980" w:type="dxa"/>
            <w:vAlign w:val="bottom"/>
          </w:tcPr>
          <w:p>
            <w:pPr>
              <w:jc w:val="center"/>
              <w:ind w:left="70"/>
              <w:spacing w:after="0" w:line="176" w:lineRule="exact"/>
              <w:rPr>
                <w:sz w:val="20"/>
                <w:szCs w:val="20"/>
                <w:color w:val="auto"/>
              </w:rPr>
            </w:pPr>
            <w:r>
              <w:rPr>
                <w:rFonts w:ascii="Arial" w:cs="Arial" w:eastAsia="Arial" w:hAnsi="Arial"/>
                <w:sz w:val="18"/>
                <w:szCs w:val="18"/>
                <w:color w:val="auto"/>
                <w:w w:val="99"/>
              </w:rPr>
              <w:t>95% reuse, recycle, and recovery and zero hazardous</w:t>
            </w:r>
          </w:p>
        </w:tc>
        <w:tc>
          <w:tcPr>
            <w:tcW w:w="4740" w:type="dxa"/>
            <w:vAlign w:val="bottom"/>
          </w:tcPr>
          <w:p>
            <w:pPr>
              <w:jc w:val="center"/>
              <w:spacing w:after="0" w:line="176" w:lineRule="exact"/>
              <w:rPr>
                <w:sz w:val="20"/>
                <w:szCs w:val="20"/>
                <w:color w:val="auto"/>
              </w:rPr>
            </w:pPr>
            <w:r>
              <w:rPr>
                <w:rFonts w:ascii="Arial" w:cs="Arial" w:eastAsia="Arial" w:hAnsi="Arial"/>
                <w:sz w:val="18"/>
                <w:szCs w:val="18"/>
                <w:color w:val="auto"/>
                <w:w w:val="99"/>
              </w:rPr>
              <w:t>Zero waste to landfill through waste minimization,</w:t>
            </w:r>
          </w:p>
        </w:tc>
      </w:tr>
      <w:tr>
        <w:trPr>
          <w:trHeight w:val="238"/>
        </w:trPr>
        <w:tc>
          <w:tcPr>
            <w:tcW w:w="1420" w:type="dxa"/>
            <w:vAlign w:val="bottom"/>
          </w:tcPr>
          <w:p>
            <w:pPr>
              <w:spacing w:after="0"/>
              <w:rPr>
                <w:sz w:val="20"/>
                <w:szCs w:val="20"/>
                <w:color w:val="auto"/>
              </w:rPr>
            </w:pPr>
          </w:p>
        </w:tc>
        <w:tc>
          <w:tcPr>
            <w:tcW w:w="4980" w:type="dxa"/>
            <w:vAlign w:val="bottom"/>
          </w:tcPr>
          <w:p>
            <w:pPr>
              <w:jc w:val="center"/>
              <w:ind w:left="70"/>
              <w:spacing w:after="0"/>
              <w:rPr>
                <w:sz w:val="20"/>
                <w:szCs w:val="20"/>
                <w:color w:val="auto"/>
              </w:rPr>
            </w:pPr>
            <w:r>
              <w:rPr>
                <w:rFonts w:ascii="Arial" w:cs="Arial" w:eastAsia="Arial" w:hAnsi="Arial"/>
                <w:sz w:val="18"/>
                <w:szCs w:val="18"/>
                <w:color w:val="auto"/>
                <w:w w:val="99"/>
              </w:rPr>
              <w:t>waste to landfill in calendar year 2030*</w:t>
            </w:r>
          </w:p>
        </w:tc>
        <w:tc>
          <w:tcPr>
            <w:tcW w:w="4740" w:type="dxa"/>
            <w:vAlign w:val="bottom"/>
          </w:tcPr>
          <w:p>
            <w:pPr>
              <w:jc w:val="center"/>
              <w:spacing w:after="0"/>
              <w:rPr>
                <w:sz w:val="20"/>
                <w:szCs w:val="20"/>
                <w:color w:val="auto"/>
              </w:rPr>
            </w:pPr>
            <w:r>
              <w:rPr>
                <w:rFonts w:ascii="Arial" w:cs="Arial" w:eastAsia="Arial" w:hAnsi="Arial"/>
                <w:sz w:val="18"/>
                <w:szCs w:val="18"/>
                <w:color w:val="auto"/>
                <w:w w:val="99"/>
              </w:rPr>
              <w:t>reuse, recycling, and recovery</w:t>
            </w:r>
          </w:p>
        </w:tc>
      </w:tr>
      <w:tr>
        <w:trPr>
          <w:trHeight w:val="23"/>
        </w:trPr>
        <w:tc>
          <w:tcPr>
            <w:tcW w:w="1420" w:type="dxa"/>
            <w:vAlign w:val="bottom"/>
            <w:tcBorders>
              <w:bottom w:val="single" w:sz="8" w:color="BD03F7"/>
            </w:tcBorders>
          </w:tcPr>
          <w:p>
            <w:pPr>
              <w:spacing w:after="0" w:line="20" w:lineRule="exact"/>
              <w:rPr>
                <w:sz w:val="1"/>
                <w:szCs w:val="1"/>
                <w:color w:val="auto"/>
              </w:rPr>
            </w:pPr>
          </w:p>
        </w:tc>
        <w:tc>
          <w:tcPr>
            <w:tcW w:w="4980" w:type="dxa"/>
            <w:vAlign w:val="bottom"/>
            <w:tcBorders>
              <w:bottom w:val="single" w:sz="8" w:color="BD03F7"/>
            </w:tcBorders>
          </w:tcPr>
          <w:p>
            <w:pPr>
              <w:spacing w:after="0" w:line="20" w:lineRule="exact"/>
              <w:rPr>
                <w:sz w:val="1"/>
                <w:szCs w:val="1"/>
                <w:color w:val="auto"/>
              </w:rPr>
            </w:pPr>
          </w:p>
        </w:tc>
        <w:tc>
          <w:tcPr>
            <w:tcW w:w="4740" w:type="dxa"/>
            <w:vAlign w:val="bottom"/>
            <w:tcBorders>
              <w:bottom w:val="single" w:sz="8" w:color="BD03F7"/>
            </w:tcBorders>
          </w:tcPr>
          <w:p>
            <w:pPr>
              <w:spacing w:after="0" w:line="20" w:lineRule="exact"/>
              <w:rPr>
                <w:sz w:val="1"/>
                <w:szCs w:val="1"/>
                <w:color w:val="auto"/>
              </w:rPr>
            </w:pPr>
          </w:p>
        </w:tc>
      </w:tr>
    </w:tbl>
    <w:p>
      <w:pPr>
        <w:spacing w:after="0" w:line="174" w:lineRule="exact"/>
        <w:rPr>
          <w:sz w:val="20"/>
          <w:szCs w:val="20"/>
          <w:color w:val="auto"/>
        </w:rPr>
      </w:pPr>
    </w:p>
    <w:p>
      <w:pPr>
        <w:ind w:left="120" w:hanging="113"/>
        <w:spacing w:after="0"/>
        <w:tabs>
          <w:tab w:leader="none" w:pos="120" w:val="left"/>
        </w:tabs>
        <w:numPr>
          <w:ilvl w:val="0"/>
          <w:numId w:val="45"/>
        </w:numPr>
        <w:rPr>
          <w:rFonts w:ascii="Arial" w:cs="Arial" w:eastAsia="Arial" w:hAnsi="Arial"/>
          <w:sz w:val="18"/>
          <w:szCs w:val="18"/>
          <w:color w:val="auto"/>
        </w:rPr>
      </w:pPr>
      <w:r>
        <w:rPr>
          <w:rFonts w:ascii="Arial" w:cs="Arial" w:eastAsia="Arial" w:hAnsi="Arial"/>
          <w:sz w:val="16"/>
          <w:szCs w:val="16"/>
          <w:color w:val="auto"/>
        </w:rPr>
        <w:t>Subject to vendor availability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Fiscal 2025, the Board also reviewed:</w:t>
      </w:r>
    </w:p>
    <w:p>
      <w:pPr>
        <w:spacing w:after="0" w:line="250" w:lineRule="exact"/>
        <w:rPr>
          <w:sz w:val="20"/>
          <w:szCs w:val="20"/>
          <w:color w:val="auto"/>
        </w:rPr>
      </w:pPr>
    </w:p>
    <w:p>
      <w:pPr>
        <w:ind w:left="660" w:right="440" w:hanging="330"/>
        <w:spacing w:after="0" w:line="267" w:lineRule="auto"/>
        <w:tabs>
          <w:tab w:leader="none" w:pos="655" w:val="left"/>
        </w:tabs>
        <w:numPr>
          <w:ilvl w:val="0"/>
          <w:numId w:val="46"/>
        </w:numPr>
        <w:rPr>
          <w:rFonts w:ascii="Arial" w:cs="Arial" w:eastAsia="Arial" w:hAnsi="Arial"/>
          <w:sz w:val="18"/>
          <w:szCs w:val="18"/>
          <w:color w:val="BD03F7"/>
        </w:rPr>
      </w:pPr>
      <w:r>
        <w:rPr>
          <w:rFonts w:ascii="Arial" w:cs="Arial" w:eastAsia="Arial" w:hAnsi="Arial"/>
          <w:sz w:val="18"/>
          <w:szCs w:val="18"/>
          <w:color w:val="auto"/>
        </w:rPr>
        <w:t>our annual sustainability report content and processes, which includes indexes and information aligning with the Sustainability Accounting Standards Board (“SASB”) semiconductor industry standard, and Taskforce on Climate-related Financial Disclosures (“TCFD”);</w:t>
      </w:r>
    </w:p>
    <w:p>
      <w:pPr>
        <w:spacing w:after="0" w:line="196" w:lineRule="exact"/>
        <w:rPr>
          <w:rFonts w:ascii="Arial" w:cs="Arial" w:eastAsia="Arial" w:hAnsi="Arial"/>
          <w:sz w:val="18"/>
          <w:szCs w:val="18"/>
          <w:color w:val="BD03F7"/>
        </w:rPr>
      </w:pPr>
    </w:p>
    <w:p>
      <w:pPr>
        <w:ind w:left="640" w:hanging="310"/>
        <w:spacing w:after="0"/>
        <w:tabs>
          <w:tab w:leader="none" w:pos="640" w:val="left"/>
        </w:tabs>
        <w:numPr>
          <w:ilvl w:val="0"/>
          <w:numId w:val="46"/>
        </w:numPr>
        <w:rPr>
          <w:rFonts w:ascii="Arial" w:cs="Arial" w:eastAsia="Arial" w:hAnsi="Arial"/>
          <w:sz w:val="18"/>
          <w:szCs w:val="18"/>
          <w:color w:val="BD03F7"/>
        </w:rPr>
      </w:pPr>
      <w:r>
        <w:rPr>
          <w:rFonts w:ascii="Arial" w:cs="Arial" w:eastAsia="Arial" w:hAnsi="Arial"/>
          <w:sz w:val="18"/>
          <w:szCs w:val="18"/>
          <w:color w:val="auto"/>
        </w:rPr>
        <w:t>our responsible sourcing and human rights efforts, including our annual modern slavery and human trafficking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40" w:hanging="310"/>
        <w:spacing w:after="0"/>
        <w:tabs>
          <w:tab w:leader="none" w:pos="640" w:val="left"/>
        </w:tabs>
        <w:numPr>
          <w:ilvl w:val="0"/>
          <w:numId w:val="47"/>
        </w:numPr>
        <w:rPr>
          <w:rFonts w:ascii="Arial" w:cs="Arial" w:eastAsia="Arial" w:hAnsi="Arial"/>
          <w:sz w:val="18"/>
          <w:szCs w:val="18"/>
          <w:color w:val="BD03F7"/>
        </w:rPr>
      </w:pPr>
      <w:r>
        <w:rPr>
          <w:rFonts w:ascii="Arial" w:cs="Arial" w:eastAsia="Arial" w:hAnsi="Arial"/>
          <w:sz w:val="18"/>
          <w:szCs w:val="18"/>
          <w:color w:val="auto"/>
        </w:rPr>
        <w:t>our human capital initiatives, including our talent acquisition, retention, and development policies and practices; and</w:t>
      </w:r>
    </w:p>
    <w:p>
      <w:pPr>
        <w:spacing w:after="0" w:line="249" w:lineRule="exact"/>
        <w:rPr>
          <w:rFonts w:ascii="Arial" w:cs="Arial" w:eastAsia="Arial" w:hAnsi="Arial"/>
          <w:sz w:val="18"/>
          <w:szCs w:val="18"/>
          <w:color w:val="BD03F7"/>
        </w:rPr>
      </w:pPr>
    </w:p>
    <w:p>
      <w:pPr>
        <w:ind w:left="640" w:hanging="310"/>
        <w:spacing w:after="0"/>
        <w:tabs>
          <w:tab w:leader="none" w:pos="640" w:val="left"/>
        </w:tabs>
        <w:numPr>
          <w:ilvl w:val="0"/>
          <w:numId w:val="47"/>
        </w:numPr>
        <w:rPr>
          <w:rFonts w:ascii="Arial" w:cs="Arial" w:eastAsia="Arial" w:hAnsi="Arial"/>
          <w:sz w:val="18"/>
          <w:szCs w:val="18"/>
          <w:color w:val="BD03F7"/>
        </w:rPr>
      </w:pPr>
      <w:r>
        <w:rPr>
          <w:rFonts w:ascii="Arial" w:cs="Arial" w:eastAsia="Arial" w:hAnsi="Arial"/>
          <w:sz w:val="18"/>
          <w:szCs w:val="18"/>
          <w:color w:val="auto"/>
        </w:rPr>
        <w:t>findings from team member, customer, investor and other stakeholder engagement exercises.</w:t>
      </w:r>
    </w:p>
    <w:p>
      <w:pPr>
        <w:spacing w:after="0" w:line="250" w:lineRule="exact"/>
        <w:rPr>
          <w:sz w:val="20"/>
          <w:szCs w:val="20"/>
          <w:color w:val="auto"/>
        </w:rPr>
      </w:pPr>
    </w:p>
    <w:p>
      <w:pPr>
        <w:jc w:val="both"/>
        <w:ind w:right="240"/>
        <w:spacing w:after="0" w:line="267" w:lineRule="auto"/>
        <w:rPr>
          <w:sz w:val="20"/>
          <w:szCs w:val="20"/>
          <w:color w:val="auto"/>
        </w:rPr>
      </w:pPr>
      <w:r>
        <w:rPr>
          <w:rFonts w:ascii="Arial" w:cs="Arial" w:eastAsia="Arial" w:hAnsi="Arial"/>
          <w:sz w:val="18"/>
          <w:szCs w:val="18"/>
          <w:color w:val="auto"/>
        </w:rPr>
        <w:t>We plan to continue regular consultation with stakeholders regarding sustainability, reviewing and enhancing our performance in support of our business, and reporting annually on our progress. Our 2025 Sustainability Report, available at micron.com/sustainability, includes more details about our sustainability programs.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COMMUNICATIONS WITH THE BOARD OF DIRECTORS</w:t>
      </w:r>
    </w:p>
    <w:p>
      <w:pPr>
        <w:spacing w:after="0" w:line="252"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Shareholders and interested parties wishing to communicate with our Board, or our non-employee directors as a group, may contact our Corporate Secretary at corporatesecretary@micron.com. Communications are reviewed by our Legal and Investor Relations teams and directed to the appropriate member of the Board. Certain items that are unrelated to the duties and responsibilities of the Board will not be forwarded, such as: business solicitation or advertisements; product- or service-related inquiries, junk mail or mass mailings; resumes or other job-related inquiries; spam; and overly hostile, threatening, potentially illegal, or similarly unsuitable communications.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PROCESSES AND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5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Acting ethically is a critical part of our culture and our vision to transform how the world uses information to enrich life for all. The Board has adopted a Code of Business Conduct and Ethics that is applicable to all our directors, officers, and team members. The Code of Business Conduct and Ethics sets out our expectations regarding the treatment of our team members, customers, and the communities in which we operate, as well as our commitment to high product quality, ethical and legal sourcing of our materials, and acting with integrity for our investors. A copy of our Code of Business Conduct and Ethics is available at www.micron.com and is also available in print without charge upon request to corporatesecretary@micron.com. Any amendments or waivers of the Code of Business Conduct and Ethics will also be posted on our website as required by applicable rules and regulations of the SEC and the Listing Rules of Nasdaq.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5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Board has adopted Corporate Governance Guidelines that address items such as the qualifications and responsibilities of our directors and director candidates, board leadership, certain governance policies and practices, and the Board’s communications with our stakeholders. A copy of our Corporate Governance Guidelines is available at www.micron.com and is also available in print without charge upon request to corporatesecretary@micron.com.</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SHAREHOLDER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1329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relationship with our shareholders plays an important part in our long-term success. Our shareholders have regularly shared their insights and perspectives with us over the years through our investor relations program, which involves one-on-one meetings, conferences and roadshows, among other engagements. In 2025, we continued our expanded, integrated shareholder engagement effort that included outreach to our shareholders’ investor stewardship and governance teams to continue to solicit feedback on areas of interest from shareholders, including governance, compensation and sustainability matters.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36"/>
          <w:szCs w:val="36"/>
          <w:b w:val="1"/>
          <w:bCs w:val="1"/>
          <w:color w:val="auto"/>
        </w:rPr>
        <w:t>Who We Met With</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57"/>
          <w:szCs w:val="57"/>
          <w:b w:val="1"/>
          <w:bCs w:val="1"/>
          <w:color w:val="BD03F7"/>
        </w:rPr>
        <w:t>58%</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21"/>
          <w:szCs w:val="21"/>
          <w:color w:val="auto"/>
        </w:rPr>
        <w:t>Of Shares Outstanding Contacted</w:t>
      </w:r>
    </w:p>
    <w:p>
      <w:pPr>
        <w:spacing w:after="0" w:line="363" w:lineRule="exact"/>
        <w:rPr>
          <w:sz w:val="20"/>
          <w:szCs w:val="20"/>
          <w:color w:val="auto"/>
        </w:rPr>
      </w:pPr>
    </w:p>
    <w:p>
      <w:pPr>
        <w:ind w:left="300"/>
        <w:spacing w:after="0"/>
        <w:rPr>
          <w:sz w:val="20"/>
          <w:szCs w:val="20"/>
          <w:color w:val="auto"/>
        </w:rPr>
      </w:pPr>
      <w:r>
        <w:rPr>
          <w:rFonts w:ascii="Arial" w:cs="Arial" w:eastAsia="Arial" w:hAnsi="Arial"/>
          <w:sz w:val="21"/>
          <w:szCs w:val="21"/>
          <w:color w:val="auto"/>
        </w:rPr>
        <w:t>Including Contacting</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57"/>
          <w:szCs w:val="57"/>
          <w:b w:val="1"/>
          <w:bCs w:val="1"/>
          <w:color w:val="BD03F7"/>
        </w:rPr>
        <w:t>100%</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21"/>
          <w:szCs w:val="21"/>
          <w:color w:val="auto"/>
        </w:rPr>
        <w:t>Of Our 40 Largest Shareholders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57"/>
          <w:szCs w:val="57"/>
          <w:b w:val="1"/>
          <w:bCs w:val="1"/>
          <w:color w:val="BD03F7"/>
        </w:rPr>
        <w:t>40%</w:t>
      </w:r>
    </w:p>
    <w:p>
      <w:pPr>
        <w:spacing w:after="0" w:line="118" w:lineRule="exact"/>
        <w:rPr>
          <w:sz w:val="20"/>
          <w:szCs w:val="20"/>
          <w:color w:val="auto"/>
        </w:rPr>
      </w:pPr>
    </w:p>
    <w:p>
      <w:pPr>
        <w:ind w:left="300" w:right="1180"/>
        <w:spacing w:after="0" w:line="237" w:lineRule="auto"/>
        <w:rPr>
          <w:sz w:val="20"/>
          <w:szCs w:val="20"/>
          <w:color w:val="auto"/>
        </w:rPr>
      </w:pPr>
      <w:r>
        <w:rPr>
          <w:rFonts w:ascii="Arial" w:cs="Arial" w:eastAsia="Arial" w:hAnsi="Arial"/>
          <w:sz w:val="21"/>
          <w:szCs w:val="21"/>
          <w:color w:val="auto"/>
        </w:rPr>
        <w:t>Of Shares Outstanding Met with Us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21"/>
          <w:szCs w:val="21"/>
          <w:color w:val="auto"/>
        </w:rPr>
        <w:t>Across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57"/>
          <w:szCs w:val="57"/>
          <w:b w:val="1"/>
          <w:bCs w:val="1"/>
          <w:color w:val="BD03F7"/>
        </w:rPr>
        <w:t>13</w:t>
      </w:r>
    </w:p>
    <w:p>
      <w:pPr>
        <w:ind w:left="300"/>
        <w:spacing w:after="0"/>
        <w:rPr>
          <w:sz w:val="20"/>
          <w:szCs w:val="20"/>
          <w:color w:val="auto"/>
        </w:rPr>
      </w:pPr>
      <w:r>
        <w:rPr>
          <w:rFonts w:ascii="Arial" w:cs="Arial" w:eastAsia="Arial" w:hAnsi="Arial"/>
          <w:sz w:val="21"/>
          <w:szCs w:val="21"/>
          <w:color w:val="auto"/>
        </w:rPr>
        <w:t>Meetings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414"/>
        </w:trPr>
        <w:tc>
          <w:tcPr>
            <w:tcW w:w="3420" w:type="dxa"/>
            <w:vAlign w:val="bottom"/>
          </w:tcPr>
          <w:p>
            <w:pPr>
              <w:jc w:val="center"/>
              <w:ind w:left="90"/>
              <w:spacing w:after="0"/>
              <w:rPr>
                <w:sz w:val="20"/>
                <w:szCs w:val="20"/>
                <w:color w:val="auto"/>
              </w:rPr>
            </w:pPr>
            <w:r>
              <w:rPr>
                <w:rFonts w:ascii="Arial" w:cs="Arial" w:eastAsia="Arial" w:hAnsi="Arial"/>
                <w:sz w:val="36"/>
                <w:szCs w:val="36"/>
                <w:b w:val="1"/>
                <w:bCs w:val="1"/>
                <w:color w:val="auto"/>
                <w:w w:val="98"/>
              </w:rPr>
              <w:t>Micron’s</w:t>
            </w:r>
          </w:p>
        </w:tc>
        <w:tc>
          <w:tcPr>
            <w:tcW w:w="220" w:type="dxa"/>
            <w:vAlign w:val="bottom"/>
          </w:tcPr>
          <w:p>
            <w:pPr>
              <w:spacing w:after="0"/>
              <w:rPr>
                <w:sz w:val="24"/>
                <w:szCs w:val="24"/>
                <w:color w:val="auto"/>
              </w:rPr>
            </w:pPr>
          </w:p>
        </w:tc>
        <w:tc>
          <w:tcPr>
            <w:tcW w:w="3260" w:type="dxa"/>
            <w:vAlign w:val="bottom"/>
          </w:tcPr>
          <w:p>
            <w:pPr>
              <w:ind w:left="360"/>
              <w:spacing w:after="0"/>
              <w:rPr>
                <w:sz w:val="20"/>
                <w:szCs w:val="20"/>
                <w:color w:val="auto"/>
              </w:rPr>
            </w:pPr>
            <w:r>
              <w:rPr>
                <w:rFonts w:ascii="Arial" w:cs="Arial" w:eastAsia="Arial" w:hAnsi="Arial"/>
                <w:sz w:val="36"/>
                <w:szCs w:val="36"/>
                <w:b w:val="1"/>
                <w:bCs w:val="1"/>
                <w:color w:val="auto"/>
              </w:rPr>
              <w:t>Primary Topics</w:t>
            </w:r>
          </w:p>
        </w:tc>
        <w:tc>
          <w:tcPr>
            <w:tcW w:w="0" w:type="dxa"/>
            <w:vAlign w:val="bottom"/>
          </w:tcPr>
          <w:p>
            <w:pPr>
              <w:spacing w:after="0"/>
              <w:rPr>
                <w:sz w:val="1"/>
                <w:szCs w:val="1"/>
                <w:color w:val="auto"/>
              </w:rPr>
            </w:pPr>
          </w:p>
        </w:tc>
      </w:tr>
      <w:tr>
        <w:trPr>
          <w:trHeight w:val="494"/>
        </w:trPr>
        <w:tc>
          <w:tcPr>
            <w:tcW w:w="3420" w:type="dxa"/>
            <w:vAlign w:val="bottom"/>
          </w:tcPr>
          <w:p>
            <w:pPr>
              <w:jc w:val="center"/>
              <w:ind w:left="90"/>
              <w:spacing w:after="0"/>
              <w:rPr>
                <w:sz w:val="20"/>
                <w:szCs w:val="20"/>
                <w:color w:val="auto"/>
              </w:rPr>
            </w:pPr>
            <w:r>
              <w:rPr>
                <w:rFonts w:ascii="Arial" w:cs="Arial" w:eastAsia="Arial" w:hAnsi="Arial"/>
                <w:sz w:val="36"/>
                <w:szCs w:val="36"/>
                <w:b w:val="1"/>
                <w:bCs w:val="1"/>
                <w:color w:val="auto"/>
                <w:w w:val="98"/>
              </w:rPr>
              <w:t>Outreach Team</w:t>
            </w:r>
          </w:p>
        </w:tc>
        <w:tc>
          <w:tcPr>
            <w:tcW w:w="220" w:type="dxa"/>
            <w:vAlign w:val="bottom"/>
          </w:tcPr>
          <w:p>
            <w:pPr>
              <w:spacing w:after="0"/>
              <w:rPr>
                <w:sz w:val="24"/>
                <w:szCs w:val="24"/>
                <w:color w:val="auto"/>
              </w:rPr>
            </w:pPr>
          </w:p>
        </w:tc>
        <w:tc>
          <w:tcPr>
            <w:tcW w:w="3260" w:type="dxa"/>
            <w:vAlign w:val="bottom"/>
          </w:tcPr>
          <w:p>
            <w:pPr>
              <w:ind w:left="920"/>
              <w:spacing w:after="0"/>
              <w:rPr>
                <w:sz w:val="20"/>
                <w:szCs w:val="20"/>
                <w:color w:val="auto"/>
              </w:rPr>
            </w:pPr>
            <w:r>
              <w:rPr>
                <w:rFonts w:ascii="Arial" w:cs="Arial" w:eastAsia="Arial" w:hAnsi="Arial"/>
                <w:sz w:val="36"/>
                <w:szCs w:val="36"/>
                <w:b w:val="1"/>
                <w:bCs w:val="1"/>
                <w:color w:val="auto"/>
              </w:rPr>
              <w:t>Covered</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420" w:type="dxa"/>
            <w:vAlign w:val="bottom"/>
            <w:tcBorders>
              <w:left w:val="single" w:sz="8" w:color="auto"/>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5"/>
        </w:trPr>
        <w:tc>
          <w:tcPr>
            <w:tcW w:w="34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9"/>
                <w:szCs w:val="29"/>
                <w:b w:val="1"/>
                <w:bCs w:val="1"/>
                <w:color w:val="auto"/>
                <w:w w:val="99"/>
              </w:rPr>
              <w:t>Lead Independent</w:t>
            </w:r>
          </w:p>
        </w:tc>
        <w:tc>
          <w:tcPr>
            <w:tcW w:w="220" w:type="dxa"/>
            <w:vAlign w:val="bottom"/>
            <w:shd w:val="clear" w:color="auto" w:fill="F2F2F2"/>
          </w:tcPr>
          <w:p>
            <w:pPr>
              <w:spacing w:after="0"/>
              <w:rPr>
                <w:sz w:val="24"/>
                <w:szCs w:val="24"/>
                <w:color w:val="auto"/>
              </w:rPr>
            </w:pPr>
          </w:p>
        </w:tc>
        <w:tc>
          <w:tcPr>
            <w:tcW w:w="3260" w:type="dxa"/>
            <w:vAlign w:val="bottom"/>
            <w:shd w:val="clear" w:color="auto" w:fill="F2F2F2"/>
          </w:tcPr>
          <w:p>
            <w:pPr>
              <w:ind w:left="20"/>
              <w:spacing w:after="0"/>
              <w:rPr>
                <w:sz w:val="20"/>
                <w:szCs w:val="20"/>
                <w:color w:val="auto"/>
              </w:rPr>
            </w:pPr>
            <w:r>
              <w:rPr>
                <w:rFonts w:ascii="Arial" w:cs="Arial" w:eastAsia="Arial" w:hAnsi="Arial"/>
                <w:sz w:val="25"/>
                <w:szCs w:val="25"/>
                <w:b w:val="1"/>
                <w:bCs w:val="1"/>
                <w:color w:val="auto"/>
              </w:rPr>
              <w:t>Sustainability, Human</w:t>
            </w:r>
          </w:p>
        </w:tc>
        <w:tc>
          <w:tcPr>
            <w:tcW w:w="0" w:type="dxa"/>
            <w:vAlign w:val="bottom"/>
          </w:tcPr>
          <w:p>
            <w:pPr>
              <w:spacing w:after="0"/>
              <w:rPr>
                <w:sz w:val="1"/>
                <w:szCs w:val="1"/>
                <w:color w:val="auto"/>
              </w:rPr>
            </w:pPr>
          </w:p>
        </w:tc>
      </w:tr>
      <w:tr>
        <w:trPr>
          <w:trHeight w:val="244"/>
        </w:trPr>
        <w:tc>
          <w:tcPr>
            <w:tcW w:w="3420" w:type="dxa"/>
            <w:vAlign w:val="bottom"/>
            <w:tcBorders>
              <w:left w:val="single" w:sz="8" w:color="auto"/>
              <w:right w:val="single" w:sz="8" w:color="auto"/>
            </w:tcBorders>
            <w:shd w:val="clear" w:color="auto" w:fill="F2F2F2"/>
          </w:tcPr>
          <w:p>
            <w:pPr>
              <w:jc w:val="center"/>
              <w:spacing w:after="0" w:line="245" w:lineRule="exact"/>
              <w:rPr>
                <w:sz w:val="20"/>
                <w:szCs w:val="20"/>
                <w:color w:val="auto"/>
              </w:rPr>
            </w:pPr>
            <w:r>
              <w:rPr>
                <w:rFonts w:ascii="Arial" w:cs="Arial" w:eastAsia="Arial" w:hAnsi="Arial"/>
                <w:sz w:val="28"/>
                <w:szCs w:val="28"/>
                <w:b w:val="1"/>
                <w:bCs w:val="1"/>
                <w:color w:val="auto"/>
              </w:rPr>
              <w:t>Director of Board</w:t>
            </w:r>
          </w:p>
        </w:tc>
        <w:tc>
          <w:tcPr>
            <w:tcW w:w="220" w:type="dxa"/>
            <w:vAlign w:val="bottom"/>
            <w:shd w:val="clear" w:color="auto" w:fill="F2F2F2"/>
          </w:tcPr>
          <w:p>
            <w:pPr>
              <w:spacing w:after="0"/>
              <w:rPr>
                <w:sz w:val="21"/>
                <w:szCs w:val="21"/>
                <w:color w:val="auto"/>
              </w:rPr>
            </w:pPr>
          </w:p>
        </w:tc>
        <w:tc>
          <w:tcPr>
            <w:tcW w:w="3260" w:type="dxa"/>
            <w:vAlign w:val="bottom"/>
            <w:shd w:val="clear" w:color="auto" w:fill="F2F2F2"/>
          </w:tcPr>
          <w:p>
            <w:pPr>
              <w:ind w:left="20"/>
              <w:spacing w:after="0" w:line="244" w:lineRule="exact"/>
              <w:rPr>
                <w:sz w:val="20"/>
                <w:szCs w:val="20"/>
                <w:color w:val="auto"/>
              </w:rPr>
            </w:pPr>
            <w:r>
              <w:rPr>
                <w:rFonts w:ascii="Arial" w:cs="Arial" w:eastAsia="Arial" w:hAnsi="Arial"/>
                <w:sz w:val="25"/>
                <w:szCs w:val="25"/>
                <w:b w:val="1"/>
                <w:bCs w:val="1"/>
                <w:color w:val="auto"/>
              </w:rPr>
              <w:t>Capital and Artificial</w:t>
            </w:r>
          </w:p>
        </w:tc>
        <w:tc>
          <w:tcPr>
            <w:tcW w:w="0" w:type="dxa"/>
            <w:vAlign w:val="bottom"/>
          </w:tcPr>
          <w:p>
            <w:pPr>
              <w:spacing w:after="0"/>
              <w:rPr>
                <w:sz w:val="1"/>
                <w:szCs w:val="1"/>
                <w:color w:val="auto"/>
              </w:rPr>
            </w:pPr>
          </w:p>
        </w:tc>
      </w:tr>
      <w:tr>
        <w:trPr>
          <w:trHeight w:val="347"/>
        </w:trPr>
        <w:tc>
          <w:tcPr>
            <w:tcW w:w="3420" w:type="dxa"/>
            <w:vAlign w:val="bottom"/>
            <w:tcBorders>
              <w:left w:val="single" w:sz="8" w:color="auto"/>
              <w:right w:val="single" w:sz="8" w:color="auto"/>
            </w:tcBorders>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3260" w:type="dxa"/>
            <w:vAlign w:val="bottom"/>
            <w:shd w:val="clear" w:color="auto" w:fill="F2F2F2"/>
          </w:tcPr>
          <w:p>
            <w:pPr>
              <w:ind w:left="20"/>
              <w:spacing w:after="0"/>
              <w:rPr>
                <w:sz w:val="20"/>
                <w:szCs w:val="20"/>
                <w:color w:val="auto"/>
              </w:rPr>
            </w:pPr>
            <w:r>
              <w:rPr>
                <w:rFonts w:ascii="Arial" w:cs="Arial" w:eastAsia="Arial" w:hAnsi="Arial"/>
                <w:sz w:val="25"/>
                <w:szCs w:val="25"/>
                <w:b w:val="1"/>
                <w:bCs w:val="1"/>
                <w:color w:val="auto"/>
              </w:rPr>
              <w:t>Intelligence</w:t>
            </w:r>
          </w:p>
        </w:tc>
        <w:tc>
          <w:tcPr>
            <w:tcW w:w="0" w:type="dxa"/>
            <w:vAlign w:val="bottom"/>
          </w:tcPr>
          <w:p>
            <w:pPr>
              <w:spacing w:after="0"/>
              <w:rPr>
                <w:sz w:val="1"/>
                <w:szCs w:val="1"/>
                <w:color w:val="auto"/>
              </w:rPr>
            </w:pPr>
          </w:p>
        </w:tc>
      </w:tr>
      <w:tr>
        <w:trPr>
          <w:trHeight w:val="591"/>
        </w:trPr>
        <w:tc>
          <w:tcPr>
            <w:tcW w:w="3420" w:type="dxa"/>
            <w:vAlign w:val="bottom"/>
            <w:tcBorders>
              <w:left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29"/>
                <w:szCs w:val="29"/>
                <w:b w:val="1"/>
                <w:bCs w:val="1"/>
                <w:color w:val="auto"/>
                <w:w w:val="97"/>
              </w:rPr>
              <w:t>People Team</w:t>
            </w:r>
          </w:p>
        </w:tc>
        <w:tc>
          <w:tcPr>
            <w:tcW w:w="220" w:type="dxa"/>
            <w:vAlign w:val="bottom"/>
            <w:tcBorders>
              <w:bottom w:val="single" w:sz="8" w:color="F2F2F2"/>
            </w:tcBorders>
            <w:shd w:val="clear" w:color="auto" w:fill="F2F2F2"/>
          </w:tcPr>
          <w:p>
            <w:pPr>
              <w:spacing w:after="0"/>
              <w:rPr>
                <w:sz w:val="24"/>
                <w:szCs w:val="24"/>
                <w:color w:val="auto"/>
              </w:rPr>
            </w:pPr>
          </w:p>
        </w:tc>
        <w:tc>
          <w:tcPr>
            <w:tcW w:w="3260" w:type="dxa"/>
            <w:vAlign w:val="bottom"/>
            <w:tcBorders>
              <w:bottom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880"/>
        </w:trPr>
        <w:tc>
          <w:tcPr>
            <w:tcW w:w="34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9"/>
                <w:szCs w:val="29"/>
                <w:b w:val="1"/>
                <w:bCs w:val="1"/>
                <w:color w:val="auto"/>
                <w:w w:val="98"/>
              </w:rPr>
              <w:t>Environmental, Health &amp;</w:t>
            </w:r>
          </w:p>
        </w:tc>
        <w:tc>
          <w:tcPr>
            <w:tcW w:w="220" w:type="dxa"/>
            <w:vAlign w:val="bottom"/>
            <w:shd w:val="clear" w:color="auto" w:fill="F2F2F2"/>
          </w:tcPr>
          <w:p>
            <w:pPr>
              <w:spacing w:after="0"/>
              <w:rPr>
                <w:sz w:val="24"/>
                <w:szCs w:val="24"/>
                <w:color w:val="auto"/>
              </w:rPr>
            </w:pPr>
          </w:p>
        </w:tc>
        <w:tc>
          <w:tcPr>
            <w:tcW w:w="32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4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9"/>
                <w:szCs w:val="29"/>
                <w:b w:val="1"/>
                <w:bCs w:val="1"/>
                <w:color w:val="auto"/>
                <w:w w:val="98"/>
              </w:rPr>
              <w:t>Safety</w:t>
            </w:r>
          </w:p>
        </w:tc>
        <w:tc>
          <w:tcPr>
            <w:tcW w:w="220" w:type="dxa"/>
            <w:vAlign w:val="bottom"/>
            <w:shd w:val="clear" w:color="auto" w:fill="F2F2F2"/>
          </w:tcPr>
          <w:p>
            <w:pPr>
              <w:spacing w:after="0"/>
              <w:rPr>
                <w:sz w:val="24"/>
                <w:szCs w:val="24"/>
                <w:color w:val="auto"/>
              </w:rPr>
            </w:pPr>
          </w:p>
        </w:tc>
        <w:tc>
          <w:tcPr>
            <w:tcW w:w="3260" w:type="dxa"/>
            <w:vAlign w:val="bottom"/>
            <w:vMerge w:val="restart"/>
            <w:shd w:val="clear" w:color="auto" w:fill="F2F2F2"/>
          </w:tcPr>
          <w:p>
            <w:pPr>
              <w:ind w:left="20"/>
              <w:spacing w:after="0"/>
              <w:rPr>
                <w:sz w:val="20"/>
                <w:szCs w:val="20"/>
                <w:color w:val="auto"/>
              </w:rPr>
            </w:pPr>
            <w:r>
              <w:rPr>
                <w:rFonts w:ascii="Arial" w:cs="Arial" w:eastAsia="Arial" w:hAnsi="Arial"/>
                <w:sz w:val="25"/>
                <w:szCs w:val="25"/>
                <w:b w:val="1"/>
                <w:bCs w:val="1"/>
                <w:color w:val="auto"/>
              </w:rPr>
              <w:t>Corporate Governance</w:t>
            </w:r>
          </w:p>
        </w:tc>
        <w:tc>
          <w:tcPr>
            <w:tcW w:w="0" w:type="dxa"/>
            <w:vAlign w:val="bottom"/>
          </w:tcPr>
          <w:p>
            <w:pPr>
              <w:spacing w:after="0"/>
              <w:rPr>
                <w:sz w:val="1"/>
                <w:szCs w:val="1"/>
                <w:color w:val="auto"/>
              </w:rPr>
            </w:pPr>
          </w:p>
        </w:tc>
      </w:tr>
      <w:tr>
        <w:trPr>
          <w:trHeight w:val="115"/>
        </w:trPr>
        <w:tc>
          <w:tcPr>
            <w:tcW w:w="3420" w:type="dxa"/>
            <w:vAlign w:val="bottom"/>
            <w:tcBorders>
              <w:left w:val="single" w:sz="8" w:color="auto"/>
              <w:right w:val="single" w:sz="8" w:color="auto"/>
            </w:tcBorders>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326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672"/>
        </w:trPr>
        <w:tc>
          <w:tcPr>
            <w:tcW w:w="34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9"/>
                <w:szCs w:val="29"/>
                <w:b w:val="1"/>
                <w:bCs w:val="1"/>
                <w:color w:val="auto"/>
                <w:w w:val="98"/>
              </w:rPr>
              <w:t>Corporate Secretary</w:t>
            </w:r>
          </w:p>
        </w:tc>
        <w:tc>
          <w:tcPr>
            <w:tcW w:w="220" w:type="dxa"/>
            <w:vAlign w:val="bottom"/>
            <w:shd w:val="clear" w:color="auto" w:fill="F2F2F2"/>
          </w:tcPr>
          <w:p>
            <w:pPr>
              <w:spacing w:after="0"/>
              <w:rPr>
                <w:sz w:val="24"/>
                <w:szCs w:val="24"/>
                <w:color w:val="auto"/>
              </w:rPr>
            </w:pPr>
          </w:p>
        </w:tc>
        <w:tc>
          <w:tcPr>
            <w:tcW w:w="32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3420" w:type="dxa"/>
            <w:vAlign w:val="bottom"/>
            <w:tcBorders>
              <w:left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29"/>
                <w:szCs w:val="29"/>
                <w:b w:val="1"/>
                <w:bCs w:val="1"/>
                <w:color w:val="auto"/>
                <w:w w:val="99"/>
              </w:rPr>
              <w:t>Office</w:t>
            </w:r>
          </w:p>
        </w:tc>
        <w:tc>
          <w:tcPr>
            <w:tcW w:w="220" w:type="dxa"/>
            <w:vAlign w:val="bottom"/>
            <w:tcBorders>
              <w:bottom w:val="single" w:sz="8" w:color="F2F2F2"/>
            </w:tcBorders>
            <w:shd w:val="clear" w:color="auto" w:fill="F2F2F2"/>
          </w:tcPr>
          <w:p>
            <w:pPr>
              <w:spacing w:after="0"/>
              <w:rPr>
                <w:sz w:val="24"/>
                <w:szCs w:val="24"/>
                <w:color w:val="auto"/>
              </w:rPr>
            </w:pPr>
          </w:p>
        </w:tc>
        <w:tc>
          <w:tcPr>
            <w:tcW w:w="3260" w:type="dxa"/>
            <w:vAlign w:val="bottom"/>
            <w:tcBorders>
              <w:bottom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879"/>
        </w:trPr>
        <w:tc>
          <w:tcPr>
            <w:tcW w:w="34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9"/>
                <w:szCs w:val="29"/>
                <w:b w:val="1"/>
                <w:bCs w:val="1"/>
                <w:color w:val="auto"/>
                <w:w w:val="99"/>
              </w:rPr>
              <w:t>Investor Relations</w:t>
            </w:r>
          </w:p>
        </w:tc>
        <w:tc>
          <w:tcPr>
            <w:tcW w:w="220" w:type="dxa"/>
            <w:vAlign w:val="bottom"/>
            <w:shd w:val="clear" w:color="auto" w:fill="F2F2F2"/>
          </w:tcPr>
          <w:p>
            <w:pPr>
              <w:spacing w:after="0"/>
              <w:rPr>
                <w:sz w:val="24"/>
                <w:szCs w:val="24"/>
                <w:color w:val="auto"/>
              </w:rPr>
            </w:pPr>
          </w:p>
        </w:tc>
        <w:tc>
          <w:tcPr>
            <w:tcW w:w="3260" w:type="dxa"/>
            <w:vAlign w:val="bottom"/>
            <w:vMerge w:val="restart"/>
            <w:shd w:val="clear" w:color="auto" w:fill="F2F2F2"/>
          </w:tcPr>
          <w:p>
            <w:pPr>
              <w:ind w:left="20"/>
              <w:spacing w:after="0"/>
              <w:rPr>
                <w:sz w:val="20"/>
                <w:szCs w:val="20"/>
                <w:color w:val="auto"/>
              </w:rPr>
            </w:pPr>
            <w:r>
              <w:rPr>
                <w:rFonts w:ascii="Arial" w:cs="Arial" w:eastAsia="Arial" w:hAnsi="Arial"/>
                <w:sz w:val="25"/>
                <w:szCs w:val="25"/>
                <w:b w:val="1"/>
                <w:bCs w:val="1"/>
                <w:color w:val="auto"/>
              </w:rPr>
              <w:t>Executive Compensation</w:t>
            </w:r>
          </w:p>
        </w:tc>
        <w:tc>
          <w:tcPr>
            <w:tcW w:w="0" w:type="dxa"/>
            <w:vAlign w:val="bottom"/>
          </w:tcPr>
          <w:p>
            <w:pPr>
              <w:spacing w:after="0"/>
              <w:rPr>
                <w:sz w:val="1"/>
                <w:szCs w:val="1"/>
                <w:color w:val="auto"/>
              </w:rPr>
            </w:pPr>
          </w:p>
        </w:tc>
      </w:tr>
      <w:tr>
        <w:trPr>
          <w:trHeight w:val="69"/>
        </w:trPr>
        <w:tc>
          <w:tcPr>
            <w:tcW w:w="3420" w:type="dxa"/>
            <w:vAlign w:val="bottom"/>
            <w:tcBorders>
              <w:left w:val="single" w:sz="8" w:color="auto"/>
              <w:right w:val="single" w:sz="8" w:color="auto"/>
            </w:tcBorders>
            <w:shd w:val="clear" w:color="auto" w:fill="F2F2F2"/>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326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3420" w:type="dxa"/>
            <w:vAlign w:val="bottom"/>
            <w:tcBorders>
              <w:left w:val="single" w:sz="8" w:color="auto"/>
              <w:right w:val="single" w:sz="8" w:color="auto"/>
            </w:tcBorders>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3260" w:type="dxa"/>
            <w:vAlign w:val="bottom"/>
            <w:shd w:val="clear" w:color="auto" w:fill="F2F2F2"/>
          </w:tcPr>
          <w:p>
            <w:pPr>
              <w:ind w:left="20"/>
              <w:spacing w:after="0"/>
              <w:rPr>
                <w:sz w:val="20"/>
                <w:szCs w:val="20"/>
                <w:color w:val="auto"/>
              </w:rPr>
            </w:pPr>
            <w:r>
              <w:rPr>
                <w:rFonts w:ascii="Arial" w:cs="Arial" w:eastAsia="Arial" w:hAnsi="Arial"/>
                <w:sz w:val="25"/>
                <w:szCs w:val="25"/>
                <w:b w:val="1"/>
                <w:bCs w:val="1"/>
                <w:color w:val="auto"/>
              </w:rPr>
              <w:t>Program</w:t>
            </w:r>
          </w:p>
        </w:tc>
        <w:tc>
          <w:tcPr>
            <w:tcW w:w="0" w:type="dxa"/>
            <w:vAlign w:val="bottom"/>
          </w:tcPr>
          <w:p>
            <w:pPr>
              <w:spacing w:after="0"/>
              <w:rPr>
                <w:sz w:val="1"/>
                <w:szCs w:val="1"/>
                <w:color w:val="auto"/>
              </w:rPr>
            </w:pPr>
          </w:p>
        </w:tc>
      </w:tr>
      <w:tr>
        <w:trPr>
          <w:trHeight w:val="459"/>
        </w:trPr>
        <w:tc>
          <w:tcPr>
            <w:tcW w:w="3420" w:type="dxa"/>
            <w:vAlign w:val="bottom"/>
            <w:tcBorders>
              <w:left w:val="single" w:sz="8" w:color="auto"/>
              <w:right w:val="single" w:sz="8" w:color="auto"/>
            </w:tcBorders>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32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420" w:type="dxa"/>
            <w:vAlign w:val="bottom"/>
            <w:tcBorders>
              <w:left w:val="single" w:sz="8" w:color="F2F2F2"/>
              <w:right w:val="single" w:sz="8" w:color="F2F2F2"/>
            </w:tcBorders>
            <w:shd w:val="clear" w:color="auto" w:fill="F2F2F2"/>
          </w:tcPr>
          <w:p>
            <w:pPr>
              <w:spacing w:after="0"/>
              <w:rPr>
                <w:sz w:val="23"/>
                <w:szCs w:val="23"/>
                <w:color w:val="auto"/>
              </w:rPr>
            </w:pPr>
          </w:p>
        </w:tc>
        <w:tc>
          <w:tcPr>
            <w:tcW w:w="220" w:type="dxa"/>
            <w:vAlign w:val="bottom"/>
            <w:shd w:val="clear" w:color="auto" w:fill="F2F2F2"/>
          </w:tcPr>
          <w:p>
            <w:pPr>
              <w:spacing w:after="0"/>
              <w:rPr>
                <w:sz w:val="23"/>
                <w:szCs w:val="23"/>
                <w:color w:val="auto"/>
              </w:rPr>
            </w:pPr>
          </w:p>
        </w:tc>
        <w:tc>
          <w:tcPr>
            <w:tcW w:w="326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-4359275</wp:posOffset>
            </wp:positionV>
            <wp:extent cx="6953885" cy="4359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53885" cy="4359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380"/>
            <w:col w:w="7180"/>
          </w:cols>
          <w:pgMar w:left="320" w:top="125" w:right="339" w:bottom="1440" w:gutter="0" w:footer="0" w:header="0"/>
          <w:type w:val="continuous"/>
        </w:sectPr>
      </w:pPr>
    </w:p>
    <w:p>
      <w:pPr>
        <w:spacing w:after="0" w:line="211" w:lineRule="exact"/>
        <w:rPr>
          <w:sz w:val="20"/>
          <w:szCs w:val="20"/>
          <w:color w:val="auto"/>
        </w:rPr>
      </w:pPr>
    </w:p>
    <w:p>
      <w:pPr>
        <w:jc w:val="both"/>
        <w:ind w:right="300"/>
        <w:spacing w:after="0" w:line="267" w:lineRule="auto"/>
        <w:rPr>
          <w:sz w:val="20"/>
          <w:szCs w:val="20"/>
          <w:color w:val="auto"/>
        </w:rPr>
      </w:pPr>
      <w:r>
        <w:rPr>
          <w:rFonts w:ascii="Arial" w:cs="Arial" w:eastAsia="Arial" w:hAnsi="Arial"/>
          <w:sz w:val="18"/>
          <w:szCs w:val="18"/>
          <w:color w:val="auto"/>
        </w:rPr>
        <w:t>Our discussions with shareholders included senior members of our Legal, People, Sustainability and Investor Relations teams. In addition, our Lead Independent Director was involved in meetings with holders of 39% of our outstanding shares. The feedback we received during these meetings was shared with our full Board and relevant committees.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780"/>
        <w:spacing w:after="0"/>
        <w:rPr>
          <w:sz w:val="20"/>
          <w:szCs w:val="20"/>
          <w:color w:val="auto"/>
        </w:rPr>
      </w:pPr>
      <w:r>
        <w:rPr>
          <w:sz w:val="1"/>
          <w:szCs w:val="1"/>
          <w:color w:val="auto"/>
        </w:rPr>
        <w:drawing>
          <wp:inline distT="0" distB="0" distL="0" distR="0">
            <wp:extent cx="776605" cy="16192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96520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Over the years, these conversations with our shareholders covered corporate governance, executive compensation, sustainability and human capital, business, strategy and global operations, and our governance and political practices, including AI governance and the impact of AI on these matters. Such conversations informed enhancements to our practices and disclosures in these areas. Specifically, feedback related to executive compensation was carefully considered in making changes to our compensation program.</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80" w:type="dxa"/>
            <w:vAlign w:val="bottom"/>
            <w:tcBorders>
              <w:bottom w:val="single" w:sz="8" w:color="BD03F7"/>
            </w:tcBorders>
          </w:tcPr>
          <w:p>
            <w:pPr>
              <w:ind w:left="1640"/>
              <w:spacing w:after="0"/>
              <w:rPr>
                <w:sz w:val="20"/>
                <w:szCs w:val="20"/>
                <w:color w:val="auto"/>
              </w:rPr>
            </w:pPr>
            <w:r>
              <w:rPr>
                <w:rFonts w:ascii="Arial" w:cs="Arial" w:eastAsia="Arial" w:hAnsi="Arial"/>
                <w:sz w:val="18"/>
                <w:szCs w:val="18"/>
                <w:b w:val="1"/>
                <w:bCs w:val="1"/>
                <w:color w:val="auto"/>
              </w:rPr>
              <w:t>Topic</w:t>
            </w:r>
          </w:p>
        </w:tc>
        <w:tc>
          <w:tcPr>
            <w:tcW w:w="7360" w:type="dxa"/>
            <w:vAlign w:val="bottom"/>
            <w:tcBorders>
              <w:bottom w:val="single" w:sz="8" w:color="BD03F7"/>
            </w:tcBorders>
          </w:tcPr>
          <w:p>
            <w:pPr>
              <w:ind w:left="2120"/>
              <w:spacing w:after="0"/>
              <w:rPr>
                <w:sz w:val="20"/>
                <w:szCs w:val="20"/>
                <w:color w:val="auto"/>
              </w:rPr>
            </w:pPr>
            <w:r>
              <w:rPr>
                <w:rFonts w:ascii="Arial" w:cs="Arial" w:eastAsia="Arial" w:hAnsi="Arial"/>
                <w:sz w:val="18"/>
                <w:szCs w:val="18"/>
                <w:b w:val="1"/>
                <w:bCs w:val="1"/>
                <w:color w:val="auto"/>
              </w:rPr>
              <w:t>What We Heard and Our Perspective</w:t>
            </w:r>
          </w:p>
        </w:tc>
      </w:tr>
      <w:tr>
        <w:trPr>
          <w:trHeight w:val="228"/>
        </w:trPr>
        <w:tc>
          <w:tcPr>
            <w:tcW w:w="3780" w:type="dxa"/>
            <w:vAlign w:val="bottom"/>
            <w:shd w:val="clear" w:color="auto" w:fill="F2F2F2"/>
          </w:tcPr>
          <w:p>
            <w:pPr>
              <w:ind w:left="20"/>
              <w:spacing w:after="0"/>
              <w:rPr>
                <w:sz w:val="20"/>
                <w:szCs w:val="20"/>
                <w:color w:val="auto"/>
              </w:rPr>
            </w:pPr>
            <w:r>
              <w:rPr>
                <w:rFonts w:ascii="Arial" w:cs="Arial" w:eastAsia="Arial" w:hAnsi="Arial"/>
                <w:sz w:val="18"/>
                <w:szCs w:val="18"/>
                <w:b w:val="1"/>
                <w:bCs w:val="1"/>
                <w:color w:val="auto"/>
              </w:rPr>
              <w:t>Compensation</w:t>
            </w:r>
          </w:p>
        </w:tc>
        <w:tc>
          <w:tcPr>
            <w:tcW w:w="7360" w:type="dxa"/>
            <w:vAlign w:val="bottom"/>
            <w:shd w:val="clear" w:color="auto" w:fill="F2F2F2"/>
          </w:tcPr>
          <w:p>
            <w:pPr>
              <w:spacing w:after="0"/>
              <w:rPr>
                <w:sz w:val="19"/>
                <w:szCs w:val="19"/>
                <w:color w:val="auto"/>
              </w:rPr>
            </w:pP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8"/>
                <w:szCs w:val="18"/>
                <w:color w:val="auto"/>
              </w:rPr>
              <w:t>Executive Compensation Program and</w:t>
            </w:r>
          </w:p>
        </w:tc>
        <w:tc>
          <w:tcPr>
            <w:tcW w:w="7360" w:type="dxa"/>
            <w:vAlign w:val="bottom"/>
          </w:tcPr>
          <w:p>
            <w:pPr>
              <w:ind w:left="320"/>
              <w:spacing w:after="0" w:line="175"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Shareholders appreciated the program enhancements and increased proxy</w:t>
            </w:r>
          </w:p>
        </w:tc>
      </w:tr>
      <w:tr>
        <w:trPr>
          <w:trHeight w:val="183"/>
        </w:trPr>
        <w:tc>
          <w:tcPr>
            <w:tcW w:w="3780" w:type="dxa"/>
            <w:vAlign w:val="bottom"/>
          </w:tcPr>
          <w:p>
            <w:pPr>
              <w:ind w:left="20"/>
              <w:spacing w:after="0" w:line="182" w:lineRule="exact"/>
              <w:rPr>
                <w:sz w:val="20"/>
                <w:szCs w:val="20"/>
                <w:color w:val="auto"/>
              </w:rPr>
            </w:pPr>
            <w:r>
              <w:rPr>
                <w:rFonts w:ascii="Arial" w:cs="Arial" w:eastAsia="Arial" w:hAnsi="Arial"/>
                <w:sz w:val="18"/>
                <w:szCs w:val="18"/>
                <w:color w:val="auto"/>
              </w:rPr>
              <w:t>Disclosures</w:t>
            </w:r>
          </w:p>
        </w:tc>
        <w:tc>
          <w:tcPr>
            <w:tcW w:w="7360" w:type="dxa"/>
            <w:vAlign w:val="bottom"/>
          </w:tcPr>
          <w:p>
            <w:pPr>
              <w:ind w:left="640"/>
              <w:spacing w:after="0" w:line="182" w:lineRule="exact"/>
              <w:rPr>
                <w:sz w:val="20"/>
                <w:szCs w:val="20"/>
                <w:color w:val="auto"/>
              </w:rPr>
            </w:pPr>
            <w:r>
              <w:rPr>
                <w:rFonts w:ascii="Arial" w:cs="Arial" w:eastAsia="Arial" w:hAnsi="Arial"/>
                <w:sz w:val="18"/>
                <w:szCs w:val="18"/>
                <w:color w:val="auto"/>
              </w:rPr>
              <w:t>statement disclosure in recent years.</w:t>
            </w:r>
          </w:p>
        </w:tc>
      </w:tr>
      <w:tr>
        <w:trPr>
          <w:trHeight w:val="180"/>
        </w:trPr>
        <w:tc>
          <w:tcPr>
            <w:tcW w:w="3780" w:type="dxa"/>
            <w:vAlign w:val="bottom"/>
          </w:tcPr>
          <w:p>
            <w:pPr>
              <w:spacing w:after="0"/>
              <w:rPr>
                <w:sz w:val="15"/>
                <w:szCs w:val="15"/>
                <w:color w:val="auto"/>
              </w:rPr>
            </w:pPr>
          </w:p>
        </w:tc>
        <w:tc>
          <w:tcPr>
            <w:tcW w:w="7360" w:type="dxa"/>
            <w:vAlign w:val="bottom"/>
          </w:tcPr>
          <w:p>
            <w:pPr>
              <w:ind w:left="320"/>
              <w:spacing w:after="0" w:line="180"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In response to shareholder questions, we discussed, and investors generally</w:t>
            </w:r>
          </w:p>
        </w:tc>
      </w:tr>
      <w:tr>
        <w:trPr>
          <w:trHeight w:val="175"/>
        </w:trPr>
        <w:tc>
          <w:tcPr>
            <w:tcW w:w="3780" w:type="dxa"/>
            <w:vAlign w:val="bottom"/>
          </w:tcPr>
          <w:p>
            <w:pPr>
              <w:spacing w:after="0"/>
              <w:rPr>
                <w:sz w:val="15"/>
                <w:szCs w:val="15"/>
                <w:color w:val="auto"/>
              </w:rPr>
            </w:pPr>
          </w:p>
        </w:tc>
        <w:tc>
          <w:tcPr>
            <w:tcW w:w="7360" w:type="dxa"/>
            <w:vAlign w:val="bottom"/>
          </w:tcPr>
          <w:p>
            <w:pPr>
              <w:ind w:left="640"/>
              <w:spacing w:after="0" w:line="175" w:lineRule="exact"/>
              <w:rPr>
                <w:sz w:val="20"/>
                <w:szCs w:val="20"/>
                <w:color w:val="auto"/>
              </w:rPr>
            </w:pPr>
            <w:r>
              <w:rPr>
                <w:rFonts w:ascii="Arial" w:cs="Arial" w:eastAsia="Arial" w:hAnsi="Arial"/>
                <w:sz w:val="18"/>
                <w:szCs w:val="18"/>
                <w:color w:val="auto"/>
              </w:rPr>
              <w:t>understood, that we are limited in our ability to disclose more details about our</w:t>
            </w:r>
          </w:p>
        </w:tc>
      </w:tr>
      <w:tr>
        <w:trPr>
          <w:trHeight w:val="183"/>
        </w:trPr>
        <w:tc>
          <w:tcPr>
            <w:tcW w:w="3780" w:type="dxa"/>
            <w:vAlign w:val="bottom"/>
          </w:tcPr>
          <w:p>
            <w:pPr>
              <w:spacing w:after="0"/>
              <w:rPr>
                <w:sz w:val="15"/>
                <w:szCs w:val="15"/>
                <w:color w:val="auto"/>
              </w:rPr>
            </w:pPr>
          </w:p>
        </w:tc>
        <w:tc>
          <w:tcPr>
            <w:tcW w:w="7360" w:type="dxa"/>
            <w:vAlign w:val="bottom"/>
          </w:tcPr>
          <w:p>
            <w:pPr>
              <w:ind w:left="640"/>
              <w:spacing w:after="0" w:line="182" w:lineRule="exact"/>
              <w:rPr>
                <w:sz w:val="20"/>
                <w:szCs w:val="20"/>
                <w:color w:val="auto"/>
              </w:rPr>
            </w:pPr>
            <w:r>
              <w:rPr>
                <w:rFonts w:ascii="Arial" w:cs="Arial" w:eastAsia="Arial" w:hAnsi="Arial"/>
                <w:sz w:val="18"/>
                <w:szCs w:val="18"/>
                <w:color w:val="auto"/>
              </w:rPr>
              <w:t>strategic goals because disclosure of these details could cause irreparable harm to</w:t>
            </w:r>
          </w:p>
        </w:tc>
      </w:tr>
      <w:tr>
        <w:trPr>
          <w:trHeight w:val="180"/>
        </w:trPr>
        <w:tc>
          <w:tcPr>
            <w:tcW w:w="3780" w:type="dxa"/>
            <w:vAlign w:val="bottom"/>
          </w:tcPr>
          <w:p>
            <w:pPr>
              <w:spacing w:after="0"/>
              <w:rPr>
                <w:sz w:val="15"/>
                <w:szCs w:val="15"/>
                <w:color w:val="auto"/>
              </w:rPr>
            </w:pPr>
          </w:p>
        </w:tc>
        <w:tc>
          <w:tcPr>
            <w:tcW w:w="7360" w:type="dxa"/>
            <w:vAlign w:val="bottom"/>
          </w:tcPr>
          <w:p>
            <w:pPr>
              <w:ind w:left="640"/>
              <w:spacing w:after="0" w:line="180" w:lineRule="exact"/>
              <w:rPr>
                <w:sz w:val="20"/>
                <w:szCs w:val="20"/>
                <w:color w:val="auto"/>
              </w:rPr>
            </w:pPr>
            <w:r>
              <w:rPr>
                <w:rFonts w:ascii="Arial" w:cs="Arial" w:eastAsia="Arial" w:hAnsi="Arial"/>
                <w:sz w:val="18"/>
                <w:szCs w:val="18"/>
                <w:color w:val="auto"/>
              </w:rPr>
              <w:t>us due to our unique competitive environment.</w:t>
            </w:r>
          </w:p>
        </w:tc>
      </w:tr>
      <w:tr>
        <w:trPr>
          <w:trHeight w:val="175"/>
        </w:trPr>
        <w:tc>
          <w:tcPr>
            <w:tcW w:w="3780" w:type="dxa"/>
            <w:vAlign w:val="bottom"/>
          </w:tcPr>
          <w:p>
            <w:pPr>
              <w:spacing w:after="0"/>
              <w:rPr>
                <w:sz w:val="15"/>
                <w:szCs w:val="15"/>
                <w:color w:val="auto"/>
              </w:rPr>
            </w:pPr>
          </w:p>
        </w:tc>
        <w:tc>
          <w:tcPr>
            <w:tcW w:w="7360" w:type="dxa"/>
            <w:vAlign w:val="bottom"/>
          </w:tcPr>
          <w:p>
            <w:pPr>
              <w:ind w:left="320"/>
              <w:spacing w:after="0" w:line="175"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Shareholders asked for details about, and we discussed, how sustainability is</w:t>
            </w:r>
          </w:p>
        </w:tc>
      </w:tr>
      <w:tr>
        <w:trPr>
          <w:trHeight w:val="240"/>
        </w:trPr>
        <w:tc>
          <w:tcPr>
            <w:tcW w:w="3780" w:type="dxa"/>
            <w:vAlign w:val="bottom"/>
            <w:tcBorders>
              <w:bottom w:val="single" w:sz="8" w:color="BD03F7"/>
            </w:tcBorders>
          </w:tcPr>
          <w:p>
            <w:pPr>
              <w:spacing w:after="0"/>
              <w:rPr>
                <w:sz w:val="20"/>
                <w:szCs w:val="20"/>
                <w:color w:val="auto"/>
              </w:rPr>
            </w:pPr>
          </w:p>
        </w:tc>
        <w:tc>
          <w:tcPr>
            <w:tcW w:w="7360" w:type="dxa"/>
            <w:vAlign w:val="bottom"/>
            <w:tcBorders>
              <w:bottom w:val="single" w:sz="8" w:color="BD03F7"/>
            </w:tcBorders>
          </w:tcPr>
          <w:p>
            <w:pPr>
              <w:ind w:left="640"/>
              <w:spacing w:after="0"/>
              <w:rPr>
                <w:sz w:val="20"/>
                <w:szCs w:val="20"/>
                <w:color w:val="auto"/>
              </w:rPr>
            </w:pPr>
            <w:r>
              <w:rPr>
                <w:rFonts w:ascii="Arial" w:cs="Arial" w:eastAsia="Arial" w:hAnsi="Arial"/>
                <w:sz w:val="18"/>
                <w:szCs w:val="18"/>
                <w:color w:val="auto"/>
              </w:rPr>
              <w:t>integrated into our executive compensation program and details about our targets.</w:t>
            </w:r>
          </w:p>
        </w:tc>
      </w:tr>
      <w:tr>
        <w:trPr>
          <w:trHeight w:val="224"/>
        </w:trPr>
        <w:tc>
          <w:tcPr>
            <w:tcW w:w="3780" w:type="dxa"/>
            <w:vAlign w:val="bottom"/>
            <w:shd w:val="clear" w:color="auto" w:fill="F2F2F2"/>
          </w:tcPr>
          <w:p>
            <w:pPr>
              <w:ind w:left="20"/>
              <w:spacing w:after="0"/>
              <w:rPr>
                <w:sz w:val="20"/>
                <w:szCs w:val="20"/>
                <w:color w:val="auto"/>
              </w:rPr>
            </w:pPr>
            <w:r>
              <w:rPr>
                <w:rFonts w:ascii="Arial" w:cs="Arial" w:eastAsia="Arial" w:hAnsi="Arial"/>
                <w:sz w:val="18"/>
                <w:szCs w:val="18"/>
                <w:b w:val="1"/>
                <w:bCs w:val="1"/>
                <w:color w:val="auto"/>
              </w:rPr>
              <w:t>Corporate Governance</w:t>
            </w:r>
          </w:p>
        </w:tc>
        <w:tc>
          <w:tcPr>
            <w:tcW w:w="7360" w:type="dxa"/>
            <w:vAlign w:val="bottom"/>
            <w:shd w:val="clear" w:color="auto" w:fill="F2F2F2"/>
          </w:tcPr>
          <w:p>
            <w:pPr>
              <w:spacing w:after="0"/>
              <w:rPr>
                <w:sz w:val="19"/>
                <w:szCs w:val="19"/>
                <w:color w:val="auto"/>
              </w:rPr>
            </w:pP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8"/>
                <w:szCs w:val="18"/>
                <w:color w:val="auto"/>
              </w:rPr>
              <w:t>Board Experience, Composition, and</w:t>
            </w:r>
          </w:p>
        </w:tc>
        <w:tc>
          <w:tcPr>
            <w:tcW w:w="7360" w:type="dxa"/>
            <w:vAlign w:val="bottom"/>
          </w:tcPr>
          <w:p>
            <w:pPr>
              <w:ind w:left="320"/>
              <w:spacing w:after="0" w:line="175"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We engaged with shareholders to familiarize them with the backgrounds and skills</w:t>
            </w:r>
          </w:p>
        </w:tc>
      </w:tr>
      <w:tr>
        <w:trPr>
          <w:trHeight w:val="183"/>
        </w:trPr>
        <w:tc>
          <w:tcPr>
            <w:tcW w:w="3780" w:type="dxa"/>
            <w:vAlign w:val="bottom"/>
          </w:tcPr>
          <w:p>
            <w:pPr>
              <w:ind w:left="20"/>
              <w:spacing w:after="0" w:line="182" w:lineRule="exact"/>
              <w:rPr>
                <w:sz w:val="20"/>
                <w:szCs w:val="20"/>
                <w:color w:val="auto"/>
              </w:rPr>
            </w:pPr>
            <w:r>
              <w:rPr>
                <w:rFonts w:ascii="Arial" w:cs="Arial" w:eastAsia="Arial" w:hAnsi="Arial"/>
                <w:sz w:val="18"/>
                <w:szCs w:val="18"/>
                <w:color w:val="auto"/>
              </w:rPr>
              <w:t>Refreshment</w:t>
            </w:r>
          </w:p>
        </w:tc>
        <w:tc>
          <w:tcPr>
            <w:tcW w:w="7360" w:type="dxa"/>
            <w:vAlign w:val="bottom"/>
          </w:tcPr>
          <w:p>
            <w:pPr>
              <w:ind w:left="640"/>
              <w:spacing w:after="0" w:line="182" w:lineRule="exact"/>
              <w:rPr>
                <w:sz w:val="20"/>
                <w:szCs w:val="20"/>
                <w:color w:val="auto"/>
              </w:rPr>
            </w:pPr>
            <w:r>
              <w:rPr>
                <w:rFonts w:ascii="Arial" w:cs="Arial" w:eastAsia="Arial" w:hAnsi="Arial"/>
                <w:sz w:val="18"/>
                <w:szCs w:val="18"/>
                <w:color w:val="auto"/>
              </w:rPr>
              <w:t>that Mr. Liu and Ms. Simons, two directors we added in March 2025, bring to the</w:t>
            </w:r>
          </w:p>
        </w:tc>
      </w:tr>
      <w:tr>
        <w:trPr>
          <w:trHeight w:val="180"/>
        </w:trPr>
        <w:tc>
          <w:tcPr>
            <w:tcW w:w="3780" w:type="dxa"/>
            <w:vAlign w:val="bottom"/>
          </w:tcPr>
          <w:p>
            <w:pPr>
              <w:spacing w:after="0"/>
              <w:rPr>
                <w:sz w:val="15"/>
                <w:szCs w:val="15"/>
                <w:color w:val="auto"/>
              </w:rPr>
            </w:pPr>
          </w:p>
        </w:tc>
        <w:tc>
          <w:tcPr>
            <w:tcW w:w="7360" w:type="dxa"/>
            <w:vAlign w:val="bottom"/>
          </w:tcPr>
          <w:p>
            <w:pPr>
              <w:ind w:left="640"/>
              <w:spacing w:after="0" w:line="180" w:lineRule="exact"/>
              <w:rPr>
                <w:sz w:val="20"/>
                <w:szCs w:val="20"/>
                <w:color w:val="auto"/>
              </w:rPr>
            </w:pPr>
            <w:r>
              <w:rPr>
                <w:rFonts w:ascii="Arial" w:cs="Arial" w:eastAsia="Arial" w:hAnsi="Arial"/>
                <w:sz w:val="18"/>
                <w:szCs w:val="18"/>
                <w:color w:val="auto"/>
              </w:rPr>
              <w:t>Board.</w:t>
            </w:r>
          </w:p>
        </w:tc>
      </w:tr>
      <w:tr>
        <w:trPr>
          <w:trHeight w:val="175"/>
        </w:trPr>
        <w:tc>
          <w:tcPr>
            <w:tcW w:w="3780" w:type="dxa"/>
            <w:vAlign w:val="bottom"/>
          </w:tcPr>
          <w:p>
            <w:pPr>
              <w:spacing w:after="0"/>
              <w:rPr>
                <w:sz w:val="15"/>
                <w:szCs w:val="15"/>
                <w:color w:val="auto"/>
              </w:rPr>
            </w:pPr>
          </w:p>
        </w:tc>
        <w:tc>
          <w:tcPr>
            <w:tcW w:w="7360" w:type="dxa"/>
            <w:vAlign w:val="bottom"/>
          </w:tcPr>
          <w:p>
            <w:pPr>
              <w:ind w:left="320"/>
              <w:spacing w:after="0" w:line="175"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We engaged with shareholders regarding our board leadership structure, including</w:t>
            </w:r>
          </w:p>
        </w:tc>
      </w:tr>
      <w:tr>
        <w:trPr>
          <w:trHeight w:val="183"/>
        </w:trPr>
        <w:tc>
          <w:tcPr>
            <w:tcW w:w="3780" w:type="dxa"/>
            <w:vAlign w:val="bottom"/>
          </w:tcPr>
          <w:p>
            <w:pPr>
              <w:spacing w:after="0"/>
              <w:rPr>
                <w:sz w:val="15"/>
                <w:szCs w:val="15"/>
                <w:color w:val="auto"/>
              </w:rPr>
            </w:pPr>
          </w:p>
        </w:tc>
        <w:tc>
          <w:tcPr>
            <w:tcW w:w="7360" w:type="dxa"/>
            <w:vAlign w:val="bottom"/>
          </w:tcPr>
          <w:p>
            <w:pPr>
              <w:ind w:left="640"/>
              <w:spacing w:after="0" w:line="182" w:lineRule="exact"/>
              <w:rPr>
                <w:sz w:val="20"/>
                <w:szCs w:val="20"/>
                <w:color w:val="auto"/>
              </w:rPr>
            </w:pPr>
            <w:r>
              <w:rPr>
                <w:rFonts w:ascii="Arial" w:cs="Arial" w:eastAsia="Arial" w:hAnsi="Arial"/>
                <w:sz w:val="18"/>
                <w:szCs w:val="18"/>
                <w:color w:val="auto"/>
              </w:rPr>
              <w:t>the rationale for the combined Chief Executive Officer/Chairman with a Lead</w:t>
            </w:r>
          </w:p>
        </w:tc>
      </w:tr>
      <w:tr>
        <w:trPr>
          <w:trHeight w:val="180"/>
        </w:trPr>
        <w:tc>
          <w:tcPr>
            <w:tcW w:w="3780" w:type="dxa"/>
            <w:vAlign w:val="bottom"/>
          </w:tcPr>
          <w:p>
            <w:pPr>
              <w:spacing w:after="0"/>
              <w:rPr>
                <w:sz w:val="15"/>
                <w:szCs w:val="15"/>
                <w:color w:val="auto"/>
              </w:rPr>
            </w:pPr>
          </w:p>
        </w:tc>
        <w:tc>
          <w:tcPr>
            <w:tcW w:w="7360" w:type="dxa"/>
            <w:vAlign w:val="bottom"/>
          </w:tcPr>
          <w:p>
            <w:pPr>
              <w:ind w:left="640"/>
              <w:spacing w:after="0" w:line="180" w:lineRule="exact"/>
              <w:rPr>
                <w:sz w:val="20"/>
                <w:szCs w:val="20"/>
                <w:color w:val="auto"/>
              </w:rPr>
            </w:pPr>
            <w:r>
              <w:rPr>
                <w:rFonts w:ascii="Arial" w:cs="Arial" w:eastAsia="Arial" w:hAnsi="Arial"/>
                <w:sz w:val="18"/>
                <w:szCs w:val="18"/>
                <w:color w:val="auto"/>
              </w:rPr>
              <w:t>Independent Director structure we implemented in January 2025, and why it is the</w:t>
            </w:r>
          </w:p>
        </w:tc>
      </w:tr>
      <w:tr>
        <w:trPr>
          <w:trHeight w:val="175"/>
        </w:trPr>
        <w:tc>
          <w:tcPr>
            <w:tcW w:w="3780" w:type="dxa"/>
            <w:vAlign w:val="bottom"/>
          </w:tcPr>
          <w:p>
            <w:pPr>
              <w:spacing w:after="0"/>
              <w:rPr>
                <w:sz w:val="15"/>
                <w:szCs w:val="15"/>
                <w:color w:val="auto"/>
              </w:rPr>
            </w:pPr>
          </w:p>
        </w:tc>
        <w:tc>
          <w:tcPr>
            <w:tcW w:w="7360" w:type="dxa"/>
            <w:vAlign w:val="bottom"/>
          </w:tcPr>
          <w:p>
            <w:pPr>
              <w:ind w:left="640"/>
              <w:spacing w:after="0" w:line="175" w:lineRule="exact"/>
              <w:rPr>
                <w:sz w:val="20"/>
                <w:szCs w:val="20"/>
                <w:color w:val="auto"/>
              </w:rPr>
            </w:pPr>
            <w:r>
              <w:rPr>
                <w:rFonts w:ascii="Arial" w:cs="Arial" w:eastAsia="Arial" w:hAnsi="Arial"/>
                <w:sz w:val="18"/>
                <w:szCs w:val="18"/>
                <w:color w:val="auto"/>
              </w:rPr>
              <w:t>best structure for the Board at this time.</w:t>
            </w:r>
          </w:p>
        </w:tc>
      </w:tr>
      <w:tr>
        <w:trPr>
          <w:trHeight w:val="183"/>
        </w:trPr>
        <w:tc>
          <w:tcPr>
            <w:tcW w:w="3780" w:type="dxa"/>
            <w:vAlign w:val="bottom"/>
          </w:tcPr>
          <w:p>
            <w:pPr>
              <w:spacing w:after="0"/>
              <w:rPr>
                <w:sz w:val="15"/>
                <w:szCs w:val="15"/>
                <w:color w:val="auto"/>
              </w:rPr>
            </w:pPr>
          </w:p>
        </w:tc>
        <w:tc>
          <w:tcPr>
            <w:tcW w:w="7360" w:type="dxa"/>
            <w:vAlign w:val="bottom"/>
          </w:tcPr>
          <w:p>
            <w:pPr>
              <w:ind w:left="320"/>
              <w:spacing w:after="0" w:line="182"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We engaged with shareholders on our Board’s composition, including tenure, skills</w:t>
            </w:r>
          </w:p>
        </w:tc>
      </w:tr>
      <w:tr>
        <w:trPr>
          <w:trHeight w:val="234"/>
        </w:trPr>
        <w:tc>
          <w:tcPr>
            <w:tcW w:w="3780" w:type="dxa"/>
            <w:vAlign w:val="bottom"/>
            <w:tcBorders>
              <w:bottom w:val="single" w:sz="8" w:color="B6B6B6"/>
            </w:tcBorders>
          </w:tcPr>
          <w:p>
            <w:pPr>
              <w:spacing w:after="0"/>
              <w:rPr>
                <w:sz w:val="20"/>
                <w:szCs w:val="20"/>
                <w:color w:val="auto"/>
              </w:rPr>
            </w:pPr>
          </w:p>
        </w:tc>
        <w:tc>
          <w:tcPr>
            <w:tcW w:w="7360" w:type="dxa"/>
            <w:vAlign w:val="bottom"/>
            <w:tcBorders>
              <w:bottom w:val="single" w:sz="8" w:color="B6B6B6"/>
            </w:tcBorders>
          </w:tcPr>
          <w:p>
            <w:pPr>
              <w:ind w:left="640"/>
              <w:spacing w:after="0"/>
              <w:rPr>
                <w:sz w:val="20"/>
                <w:szCs w:val="20"/>
                <w:color w:val="auto"/>
              </w:rPr>
            </w:pPr>
            <w:r>
              <w:rPr>
                <w:rFonts w:ascii="Arial" w:cs="Arial" w:eastAsia="Arial" w:hAnsi="Arial"/>
                <w:sz w:val="18"/>
                <w:szCs w:val="18"/>
                <w:color w:val="auto"/>
              </w:rPr>
              <w:t>and experience, as well as our evaluation process.</w:t>
            </w:r>
          </w:p>
        </w:tc>
      </w:tr>
      <w:tr>
        <w:trPr>
          <w:trHeight w:val="168"/>
        </w:trPr>
        <w:tc>
          <w:tcPr>
            <w:tcW w:w="3780" w:type="dxa"/>
            <w:vAlign w:val="bottom"/>
          </w:tcPr>
          <w:p>
            <w:pPr>
              <w:ind w:left="20"/>
              <w:spacing w:after="0" w:line="168" w:lineRule="exact"/>
              <w:rPr>
                <w:sz w:val="20"/>
                <w:szCs w:val="20"/>
                <w:color w:val="auto"/>
              </w:rPr>
            </w:pPr>
            <w:r>
              <w:rPr>
                <w:rFonts w:ascii="Arial" w:cs="Arial" w:eastAsia="Arial" w:hAnsi="Arial"/>
                <w:sz w:val="18"/>
                <w:szCs w:val="18"/>
                <w:color w:val="auto"/>
              </w:rPr>
              <w:t>Board Oversight of Risk</w:t>
            </w:r>
          </w:p>
        </w:tc>
        <w:tc>
          <w:tcPr>
            <w:tcW w:w="7360" w:type="dxa"/>
            <w:vAlign w:val="bottom"/>
          </w:tcPr>
          <w:p>
            <w:pPr>
              <w:ind w:left="320"/>
              <w:spacing w:after="0" w:line="168"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We engaged in discussions regarding our Board’s approach to oversight of risk,</w:t>
            </w:r>
          </w:p>
        </w:tc>
      </w:tr>
      <w:tr>
        <w:trPr>
          <w:trHeight w:val="183"/>
        </w:trPr>
        <w:tc>
          <w:tcPr>
            <w:tcW w:w="3780" w:type="dxa"/>
            <w:vAlign w:val="bottom"/>
          </w:tcPr>
          <w:p>
            <w:pPr>
              <w:spacing w:after="0"/>
              <w:rPr>
                <w:sz w:val="15"/>
                <w:szCs w:val="15"/>
                <w:color w:val="auto"/>
              </w:rPr>
            </w:pPr>
          </w:p>
        </w:tc>
        <w:tc>
          <w:tcPr>
            <w:tcW w:w="7360" w:type="dxa"/>
            <w:vAlign w:val="bottom"/>
          </w:tcPr>
          <w:p>
            <w:pPr>
              <w:ind w:left="640"/>
              <w:spacing w:after="0" w:line="182" w:lineRule="exact"/>
              <w:rPr>
                <w:sz w:val="20"/>
                <w:szCs w:val="20"/>
                <w:color w:val="auto"/>
              </w:rPr>
            </w:pPr>
            <w:r>
              <w:rPr>
                <w:rFonts w:ascii="Arial" w:cs="Arial" w:eastAsia="Arial" w:hAnsi="Arial"/>
                <w:sz w:val="18"/>
                <w:szCs w:val="18"/>
                <w:color w:val="auto"/>
              </w:rPr>
              <w:t>including geopolitical, cybersecurity and AI risks, and our enterprise risk</w:t>
            </w:r>
          </w:p>
        </w:tc>
      </w:tr>
      <w:tr>
        <w:trPr>
          <w:trHeight w:val="234"/>
        </w:trPr>
        <w:tc>
          <w:tcPr>
            <w:tcW w:w="3780" w:type="dxa"/>
            <w:vAlign w:val="bottom"/>
            <w:tcBorders>
              <w:bottom w:val="single" w:sz="8" w:color="BD03F7"/>
            </w:tcBorders>
          </w:tcPr>
          <w:p>
            <w:pPr>
              <w:spacing w:after="0"/>
              <w:rPr>
                <w:sz w:val="20"/>
                <w:szCs w:val="20"/>
                <w:color w:val="auto"/>
              </w:rPr>
            </w:pPr>
          </w:p>
        </w:tc>
        <w:tc>
          <w:tcPr>
            <w:tcW w:w="7360" w:type="dxa"/>
            <w:vAlign w:val="bottom"/>
            <w:tcBorders>
              <w:bottom w:val="single" w:sz="8" w:color="BD03F7"/>
            </w:tcBorders>
          </w:tcPr>
          <w:p>
            <w:pPr>
              <w:ind w:left="640"/>
              <w:spacing w:after="0"/>
              <w:rPr>
                <w:sz w:val="20"/>
                <w:szCs w:val="20"/>
                <w:color w:val="auto"/>
              </w:rPr>
            </w:pPr>
            <w:r>
              <w:rPr>
                <w:rFonts w:ascii="Arial" w:cs="Arial" w:eastAsia="Arial" w:hAnsi="Arial"/>
                <w:sz w:val="18"/>
                <w:szCs w:val="18"/>
                <w:color w:val="auto"/>
              </w:rPr>
              <w:t>management program.</w:t>
            </w:r>
          </w:p>
        </w:tc>
      </w:tr>
      <w:tr>
        <w:trPr>
          <w:trHeight w:val="222"/>
        </w:trPr>
        <w:tc>
          <w:tcPr>
            <w:tcW w:w="3780" w:type="dxa"/>
            <w:vAlign w:val="bottom"/>
            <w:shd w:val="clear" w:color="auto" w:fill="F2F2F2"/>
          </w:tcPr>
          <w:p>
            <w:pPr>
              <w:ind w:left="20"/>
              <w:spacing w:after="0"/>
              <w:rPr>
                <w:sz w:val="20"/>
                <w:szCs w:val="20"/>
                <w:color w:val="auto"/>
              </w:rPr>
            </w:pPr>
            <w:r>
              <w:rPr>
                <w:rFonts w:ascii="Arial" w:cs="Arial" w:eastAsia="Arial" w:hAnsi="Arial"/>
                <w:sz w:val="18"/>
                <w:szCs w:val="18"/>
                <w:b w:val="1"/>
                <w:bCs w:val="1"/>
                <w:color w:val="auto"/>
              </w:rPr>
              <w:t>Human Capital and Culture</w:t>
            </w:r>
          </w:p>
        </w:tc>
        <w:tc>
          <w:tcPr>
            <w:tcW w:w="7360" w:type="dxa"/>
            <w:vAlign w:val="bottom"/>
            <w:shd w:val="clear" w:color="auto" w:fill="F2F2F2"/>
          </w:tcPr>
          <w:p>
            <w:pPr>
              <w:spacing w:after="0"/>
              <w:rPr>
                <w:sz w:val="19"/>
                <w:szCs w:val="19"/>
                <w:color w:val="auto"/>
              </w:rPr>
            </w:pP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8"/>
                <w:szCs w:val="18"/>
                <w:color w:val="auto"/>
              </w:rPr>
              <w:t>Succession Planning, Employee Retention,</w:t>
            </w:r>
          </w:p>
        </w:tc>
        <w:tc>
          <w:tcPr>
            <w:tcW w:w="7360" w:type="dxa"/>
            <w:vAlign w:val="bottom"/>
          </w:tcPr>
          <w:p>
            <w:pPr>
              <w:ind w:left="320"/>
              <w:spacing w:after="0" w:line="175"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We engaged with our shareholders regarding succession planning, employee</w:t>
            </w:r>
          </w:p>
        </w:tc>
      </w:tr>
      <w:tr>
        <w:trPr>
          <w:trHeight w:val="183"/>
        </w:trPr>
        <w:tc>
          <w:tcPr>
            <w:tcW w:w="3780" w:type="dxa"/>
            <w:vAlign w:val="bottom"/>
          </w:tcPr>
          <w:p>
            <w:pPr>
              <w:ind w:left="20"/>
              <w:spacing w:after="0" w:line="182" w:lineRule="exact"/>
              <w:rPr>
                <w:sz w:val="20"/>
                <w:szCs w:val="20"/>
                <w:color w:val="auto"/>
              </w:rPr>
            </w:pPr>
            <w:r>
              <w:rPr>
                <w:rFonts w:ascii="Arial" w:cs="Arial" w:eastAsia="Arial" w:hAnsi="Arial"/>
                <w:sz w:val="18"/>
                <w:szCs w:val="18"/>
                <w:color w:val="auto"/>
              </w:rPr>
              <w:t>and Competition for Talent</w:t>
            </w:r>
          </w:p>
        </w:tc>
        <w:tc>
          <w:tcPr>
            <w:tcW w:w="7360" w:type="dxa"/>
            <w:vAlign w:val="bottom"/>
          </w:tcPr>
          <w:p>
            <w:pPr>
              <w:ind w:left="640"/>
              <w:spacing w:after="0" w:line="182" w:lineRule="exact"/>
              <w:rPr>
                <w:sz w:val="20"/>
                <w:szCs w:val="20"/>
                <w:color w:val="auto"/>
              </w:rPr>
            </w:pPr>
            <w:r>
              <w:rPr>
                <w:rFonts w:ascii="Arial" w:cs="Arial" w:eastAsia="Arial" w:hAnsi="Arial"/>
                <w:sz w:val="18"/>
                <w:szCs w:val="18"/>
                <w:color w:val="auto"/>
              </w:rPr>
              <w:t>retention, including the impact of AI on our workforce, and where we may face</w:t>
            </w:r>
          </w:p>
        </w:tc>
      </w:tr>
      <w:tr>
        <w:trPr>
          <w:trHeight w:val="180"/>
        </w:trPr>
        <w:tc>
          <w:tcPr>
            <w:tcW w:w="3780" w:type="dxa"/>
            <w:vAlign w:val="bottom"/>
          </w:tcPr>
          <w:p>
            <w:pPr>
              <w:spacing w:after="0"/>
              <w:rPr>
                <w:sz w:val="15"/>
                <w:szCs w:val="15"/>
                <w:color w:val="auto"/>
              </w:rPr>
            </w:pPr>
          </w:p>
        </w:tc>
        <w:tc>
          <w:tcPr>
            <w:tcW w:w="7360" w:type="dxa"/>
            <w:vAlign w:val="bottom"/>
          </w:tcPr>
          <w:p>
            <w:pPr>
              <w:ind w:left="640"/>
              <w:spacing w:after="0" w:line="180" w:lineRule="exact"/>
              <w:rPr>
                <w:sz w:val="20"/>
                <w:szCs w:val="20"/>
                <w:color w:val="auto"/>
              </w:rPr>
            </w:pPr>
            <w:r>
              <w:rPr>
                <w:rFonts w:ascii="Arial" w:cs="Arial" w:eastAsia="Arial" w:hAnsi="Arial"/>
                <w:sz w:val="18"/>
                <w:szCs w:val="18"/>
                <w:color w:val="auto"/>
              </w:rPr>
              <w:t>competition for talent.</w:t>
            </w:r>
          </w:p>
        </w:tc>
      </w:tr>
      <w:tr>
        <w:trPr>
          <w:trHeight w:val="175"/>
        </w:trPr>
        <w:tc>
          <w:tcPr>
            <w:tcW w:w="3780" w:type="dxa"/>
            <w:vAlign w:val="bottom"/>
          </w:tcPr>
          <w:p>
            <w:pPr>
              <w:spacing w:after="0"/>
              <w:rPr>
                <w:sz w:val="15"/>
                <w:szCs w:val="15"/>
                <w:color w:val="auto"/>
              </w:rPr>
            </w:pPr>
          </w:p>
        </w:tc>
        <w:tc>
          <w:tcPr>
            <w:tcW w:w="7360" w:type="dxa"/>
            <w:vAlign w:val="bottom"/>
          </w:tcPr>
          <w:p>
            <w:pPr>
              <w:ind w:left="320"/>
              <w:spacing w:after="0" w:line="175"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We provided our perspective on how we equip our team members with the latest AI</w:t>
            </w:r>
          </w:p>
        </w:tc>
      </w:tr>
      <w:tr>
        <w:trPr>
          <w:trHeight w:val="240"/>
        </w:trPr>
        <w:tc>
          <w:tcPr>
            <w:tcW w:w="3780" w:type="dxa"/>
            <w:vAlign w:val="bottom"/>
            <w:tcBorders>
              <w:bottom w:val="single" w:sz="8" w:color="BD03F7"/>
            </w:tcBorders>
          </w:tcPr>
          <w:p>
            <w:pPr>
              <w:spacing w:after="0"/>
              <w:rPr>
                <w:sz w:val="20"/>
                <w:szCs w:val="20"/>
                <w:color w:val="auto"/>
              </w:rPr>
            </w:pPr>
          </w:p>
        </w:tc>
        <w:tc>
          <w:tcPr>
            <w:tcW w:w="7360" w:type="dxa"/>
            <w:vAlign w:val="bottom"/>
            <w:tcBorders>
              <w:bottom w:val="single" w:sz="8" w:color="BD03F7"/>
            </w:tcBorders>
          </w:tcPr>
          <w:p>
            <w:pPr>
              <w:ind w:left="640"/>
              <w:spacing w:after="0"/>
              <w:rPr>
                <w:sz w:val="20"/>
                <w:szCs w:val="20"/>
                <w:color w:val="auto"/>
              </w:rPr>
            </w:pPr>
            <w:r>
              <w:rPr>
                <w:rFonts w:ascii="Arial" w:cs="Arial" w:eastAsia="Arial" w:hAnsi="Arial"/>
                <w:sz w:val="18"/>
                <w:szCs w:val="18"/>
                <w:color w:val="auto"/>
              </w:rPr>
              <w:t>tools and training to unlock human potential and labor productivity.</w:t>
            </w:r>
          </w:p>
        </w:tc>
      </w:tr>
      <w:tr>
        <w:trPr>
          <w:trHeight w:val="224"/>
        </w:trPr>
        <w:tc>
          <w:tcPr>
            <w:tcW w:w="3780" w:type="dxa"/>
            <w:vAlign w:val="bottom"/>
            <w:shd w:val="clear" w:color="auto" w:fill="F2F2F2"/>
          </w:tcPr>
          <w:p>
            <w:pPr>
              <w:ind w:left="20"/>
              <w:spacing w:after="0"/>
              <w:rPr>
                <w:sz w:val="20"/>
                <w:szCs w:val="20"/>
                <w:color w:val="auto"/>
              </w:rPr>
            </w:pPr>
            <w:r>
              <w:rPr>
                <w:rFonts w:ascii="Arial" w:cs="Arial" w:eastAsia="Arial" w:hAnsi="Arial"/>
                <w:sz w:val="18"/>
                <w:szCs w:val="18"/>
                <w:b w:val="1"/>
                <w:bCs w:val="1"/>
                <w:color w:val="auto"/>
              </w:rPr>
              <w:t>Sustainability</w:t>
            </w:r>
          </w:p>
        </w:tc>
        <w:tc>
          <w:tcPr>
            <w:tcW w:w="7360" w:type="dxa"/>
            <w:vAlign w:val="bottom"/>
            <w:shd w:val="clear" w:color="auto" w:fill="F2F2F2"/>
          </w:tcPr>
          <w:p>
            <w:pPr>
              <w:spacing w:after="0"/>
              <w:rPr>
                <w:sz w:val="19"/>
                <w:szCs w:val="19"/>
                <w:color w:val="auto"/>
              </w:rPr>
            </w:pP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8"/>
                <w:szCs w:val="18"/>
                <w:color w:val="auto"/>
              </w:rPr>
              <w:t>Goals and Investments</w:t>
            </w:r>
          </w:p>
        </w:tc>
        <w:tc>
          <w:tcPr>
            <w:tcW w:w="7360" w:type="dxa"/>
            <w:vAlign w:val="bottom"/>
          </w:tcPr>
          <w:p>
            <w:pPr>
              <w:ind w:left="320"/>
              <w:spacing w:after="0" w:line="175"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We engaged in discussions regarding our commitments on water, energy, waste and</w:t>
            </w:r>
          </w:p>
        </w:tc>
      </w:tr>
      <w:tr>
        <w:trPr>
          <w:trHeight w:val="183"/>
        </w:trPr>
        <w:tc>
          <w:tcPr>
            <w:tcW w:w="3780" w:type="dxa"/>
            <w:vAlign w:val="bottom"/>
          </w:tcPr>
          <w:p>
            <w:pPr>
              <w:spacing w:after="0"/>
              <w:rPr>
                <w:sz w:val="15"/>
                <w:szCs w:val="15"/>
                <w:color w:val="auto"/>
              </w:rPr>
            </w:pPr>
          </w:p>
        </w:tc>
        <w:tc>
          <w:tcPr>
            <w:tcW w:w="7360" w:type="dxa"/>
            <w:vAlign w:val="bottom"/>
          </w:tcPr>
          <w:p>
            <w:pPr>
              <w:ind w:left="640"/>
              <w:spacing w:after="0" w:line="182" w:lineRule="exact"/>
              <w:rPr>
                <w:sz w:val="20"/>
                <w:szCs w:val="20"/>
                <w:color w:val="auto"/>
              </w:rPr>
            </w:pPr>
            <w:r>
              <w:rPr>
                <w:rFonts w:ascii="Arial" w:cs="Arial" w:eastAsia="Arial" w:hAnsi="Arial"/>
                <w:sz w:val="18"/>
                <w:szCs w:val="18"/>
                <w:color w:val="auto"/>
                <w:w w:val="99"/>
              </w:rPr>
              <w:t>greenhouse gas emissions and maintaining our goals as we grow our manufacturing</w:t>
            </w:r>
          </w:p>
        </w:tc>
      </w:tr>
      <w:tr>
        <w:trPr>
          <w:trHeight w:val="180"/>
        </w:trPr>
        <w:tc>
          <w:tcPr>
            <w:tcW w:w="3780" w:type="dxa"/>
            <w:vAlign w:val="bottom"/>
          </w:tcPr>
          <w:p>
            <w:pPr>
              <w:spacing w:after="0"/>
              <w:rPr>
                <w:sz w:val="15"/>
                <w:szCs w:val="15"/>
                <w:color w:val="auto"/>
              </w:rPr>
            </w:pPr>
          </w:p>
        </w:tc>
        <w:tc>
          <w:tcPr>
            <w:tcW w:w="7360" w:type="dxa"/>
            <w:vAlign w:val="bottom"/>
          </w:tcPr>
          <w:p>
            <w:pPr>
              <w:ind w:left="640"/>
              <w:spacing w:after="0" w:line="180" w:lineRule="exact"/>
              <w:rPr>
                <w:sz w:val="20"/>
                <w:szCs w:val="20"/>
                <w:color w:val="auto"/>
              </w:rPr>
            </w:pPr>
            <w:r>
              <w:rPr>
                <w:rFonts w:ascii="Arial" w:cs="Arial" w:eastAsia="Arial" w:hAnsi="Arial"/>
                <w:sz w:val="18"/>
                <w:szCs w:val="18"/>
                <w:color w:val="auto"/>
              </w:rPr>
              <w:t>operations and business. Shareholders provided favorable feedback on our</w:t>
            </w:r>
          </w:p>
        </w:tc>
      </w:tr>
      <w:tr>
        <w:trPr>
          <w:trHeight w:val="175"/>
        </w:trPr>
        <w:tc>
          <w:tcPr>
            <w:tcW w:w="3780" w:type="dxa"/>
            <w:vAlign w:val="bottom"/>
          </w:tcPr>
          <w:p>
            <w:pPr>
              <w:spacing w:after="0"/>
              <w:rPr>
                <w:sz w:val="15"/>
                <w:szCs w:val="15"/>
                <w:color w:val="auto"/>
              </w:rPr>
            </w:pPr>
          </w:p>
        </w:tc>
        <w:tc>
          <w:tcPr>
            <w:tcW w:w="7360" w:type="dxa"/>
            <w:vAlign w:val="bottom"/>
          </w:tcPr>
          <w:p>
            <w:pPr>
              <w:ind w:left="640"/>
              <w:spacing w:after="0" w:line="175" w:lineRule="exact"/>
              <w:rPr>
                <w:sz w:val="20"/>
                <w:szCs w:val="20"/>
                <w:color w:val="auto"/>
              </w:rPr>
            </w:pPr>
            <w:r>
              <w:rPr>
                <w:rFonts w:ascii="Arial" w:cs="Arial" w:eastAsia="Arial" w:hAnsi="Arial"/>
                <w:sz w:val="18"/>
                <w:szCs w:val="18"/>
                <w:color w:val="auto"/>
              </w:rPr>
              <w:t>sustainability disclosures, and progress on our goals.</w:t>
            </w:r>
          </w:p>
        </w:tc>
      </w:tr>
      <w:tr>
        <w:trPr>
          <w:trHeight w:val="183"/>
        </w:trPr>
        <w:tc>
          <w:tcPr>
            <w:tcW w:w="3780" w:type="dxa"/>
            <w:vAlign w:val="bottom"/>
          </w:tcPr>
          <w:p>
            <w:pPr>
              <w:spacing w:after="0"/>
              <w:rPr>
                <w:sz w:val="15"/>
                <w:szCs w:val="15"/>
                <w:color w:val="auto"/>
              </w:rPr>
            </w:pPr>
          </w:p>
        </w:tc>
        <w:tc>
          <w:tcPr>
            <w:tcW w:w="7360" w:type="dxa"/>
            <w:vAlign w:val="bottom"/>
          </w:tcPr>
          <w:p>
            <w:pPr>
              <w:ind w:left="320"/>
              <w:spacing w:after="0" w:line="182"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We discussed our commitment to invest $1 billion by 2028 to advance our</w:t>
            </w:r>
          </w:p>
        </w:tc>
      </w:tr>
      <w:tr>
        <w:trPr>
          <w:trHeight w:val="180"/>
        </w:trPr>
        <w:tc>
          <w:tcPr>
            <w:tcW w:w="3780" w:type="dxa"/>
            <w:vAlign w:val="bottom"/>
          </w:tcPr>
          <w:p>
            <w:pPr>
              <w:spacing w:after="0"/>
              <w:rPr>
                <w:sz w:val="15"/>
                <w:szCs w:val="15"/>
                <w:color w:val="auto"/>
              </w:rPr>
            </w:pPr>
          </w:p>
        </w:tc>
        <w:tc>
          <w:tcPr>
            <w:tcW w:w="7360" w:type="dxa"/>
            <w:vAlign w:val="bottom"/>
          </w:tcPr>
          <w:p>
            <w:pPr>
              <w:ind w:left="640"/>
              <w:spacing w:after="0" w:line="180" w:lineRule="exact"/>
              <w:rPr>
                <w:sz w:val="20"/>
                <w:szCs w:val="20"/>
                <w:color w:val="auto"/>
              </w:rPr>
            </w:pPr>
            <w:r>
              <w:rPr>
                <w:rFonts w:ascii="Arial" w:cs="Arial" w:eastAsia="Arial" w:hAnsi="Arial"/>
                <w:sz w:val="18"/>
                <w:szCs w:val="18"/>
                <w:color w:val="auto"/>
              </w:rPr>
              <w:t>environmental goals, and the focus of our spend on opportunities relevant to</w:t>
            </w:r>
          </w:p>
        </w:tc>
      </w:tr>
      <w:tr>
        <w:trPr>
          <w:trHeight w:val="228"/>
        </w:trPr>
        <w:tc>
          <w:tcPr>
            <w:tcW w:w="3780" w:type="dxa"/>
            <w:vAlign w:val="bottom"/>
            <w:tcBorders>
              <w:bottom w:val="single" w:sz="8" w:color="B6B6B6"/>
            </w:tcBorders>
          </w:tcPr>
          <w:p>
            <w:pPr>
              <w:spacing w:after="0"/>
              <w:rPr>
                <w:sz w:val="19"/>
                <w:szCs w:val="19"/>
                <w:color w:val="auto"/>
              </w:rPr>
            </w:pPr>
          </w:p>
        </w:tc>
        <w:tc>
          <w:tcPr>
            <w:tcW w:w="7360" w:type="dxa"/>
            <w:vAlign w:val="bottom"/>
            <w:tcBorders>
              <w:bottom w:val="single" w:sz="8" w:color="B6B6B6"/>
            </w:tcBorders>
          </w:tcPr>
          <w:p>
            <w:pPr>
              <w:ind w:left="640"/>
              <w:spacing w:after="0"/>
              <w:rPr>
                <w:sz w:val="20"/>
                <w:szCs w:val="20"/>
                <w:color w:val="auto"/>
              </w:rPr>
            </w:pPr>
            <w:r>
              <w:rPr>
                <w:rFonts w:ascii="Arial" w:cs="Arial" w:eastAsia="Arial" w:hAnsi="Arial"/>
                <w:sz w:val="18"/>
                <w:szCs w:val="18"/>
                <w:color w:val="auto"/>
              </w:rPr>
              <w:t>Micron’s business.</w:t>
            </w:r>
          </w:p>
        </w:tc>
      </w:tr>
      <w:tr>
        <w:trPr>
          <w:trHeight w:val="168"/>
        </w:trPr>
        <w:tc>
          <w:tcPr>
            <w:tcW w:w="3780" w:type="dxa"/>
            <w:vAlign w:val="bottom"/>
          </w:tcPr>
          <w:p>
            <w:pPr>
              <w:ind w:left="20"/>
              <w:spacing w:after="0" w:line="168" w:lineRule="exact"/>
              <w:rPr>
                <w:sz w:val="20"/>
                <w:szCs w:val="20"/>
                <w:color w:val="auto"/>
              </w:rPr>
            </w:pPr>
            <w:r>
              <w:rPr>
                <w:rFonts w:ascii="Arial" w:cs="Arial" w:eastAsia="Arial" w:hAnsi="Arial"/>
                <w:sz w:val="18"/>
                <w:szCs w:val="18"/>
                <w:color w:val="auto"/>
              </w:rPr>
              <w:t>Energy Efficiency</w:t>
            </w:r>
          </w:p>
        </w:tc>
        <w:tc>
          <w:tcPr>
            <w:tcW w:w="7360" w:type="dxa"/>
            <w:vAlign w:val="bottom"/>
          </w:tcPr>
          <w:p>
            <w:pPr>
              <w:ind w:left="320"/>
              <w:spacing w:after="0" w:line="168"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We discussed our global renewable energy strategy, including how we are</w:t>
            </w:r>
          </w:p>
        </w:tc>
      </w:tr>
      <w:tr>
        <w:trPr>
          <w:trHeight w:val="183"/>
        </w:trPr>
        <w:tc>
          <w:tcPr>
            <w:tcW w:w="3780" w:type="dxa"/>
            <w:vAlign w:val="bottom"/>
          </w:tcPr>
          <w:p>
            <w:pPr>
              <w:spacing w:after="0"/>
              <w:rPr>
                <w:sz w:val="15"/>
                <w:szCs w:val="15"/>
                <w:color w:val="auto"/>
              </w:rPr>
            </w:pPr>
          </w:p>
        </w:tc>
        <w:tc>
          <w:tcPr>
            <w:tcW w:w="7360" w:type="dxa"/>
            <w:vAlign w:val="bottom"/>
          </w:tcPr>
          <w:p>
            <w:pPr>
              <w:ind w:left="640"/>
              <w:spacing w:after="0" w:line="182" w:lineRule="exact"/>
              <w:rPr>
                <w:sz w:val="20"/>
                <w:szCs w:val="20"/>
                <w:color w:val="auto"/>
              </w:rPr>
            </w:pPr>
            <w:r>
              <w:rPr>
                <w:rFonts w:ascii="Arial" w:cs="Arial" w:eastAsia="Arial" w:hAnsi="Arial"/>
                <w:sz w:val="18"/>
                <w:szCs w:val="18"/>
                <w:color w:val="auto"/>
              </w:rPr>
              <w:t>managing the energy demand of AI, and our efforts to build energy efficiency into</w:t>
            </w:r>
          </w:p>
        </w:tc>
      </w:tr>
      <w:tr>
        <w:trPr>
          <w:trHeight w:val="180"/>
        </w:trPr>
        <w:tc>
          <w:tcPr>
            <w:tcW w:w="3780" w:type="dxa"/>
            <w:vAlign w:val="bottom"/>
          </w:tcPr>
          <w:p>
            <w:pPr>
              <w:spacing w:after="0"/>
              <w:rPr>
                <w:sz w:val="15"/>
                <w:szCs w:val="15"/>
                <w:color w:val="auto"/>
              </w:rPr>
            </w:pPr>
          </w:p>
        </w:tc>
        <w:tc>
          <w:tcPr>
            <w:tcW w:w="7360" w:type="dxa"/>
            <w:vAlign w:val="bottom"/>
          </w:tcPr>
          <w:p>
            <w:pPr>
              <w:ind w:left="640"/>
              <w:spacing w:after="0" w:line="180" w:lineRule="exact"/>
              <w:rPr>
                <w:sz w:val="20"/>
                <w:szCs w:val="20"/>
                <w:color w:val="auto"/>
              </w:rPr>
            </w:pPr>
            <w:r>
              <w:rPr>
                <w:rFonts w:ascii="Arial" w:cs="Arial" w:eastAsia="Arial" w:hAnsi="Arial"/>
                <w:sz w:val="18"/>
                <w:szCs w:val="18"/>
                <w:color w:val="auto"/>
              </w:rPr>
              <w:t>our products. Shareholders appreciated our energy strategy and energy efficient</w:t>
            </w:r>
          </w:p>
        </w:tc>
      </w:tr>
      <w:tr>
        <w:trPr>
          <w:trHeight w:val="228"/>
        </w:trPr>
        <w:tc>
          <w:tcPr>
            <w:tcW w:w="3780" w:type="dxa"/>
            <w:vAlign w:val="bottom"/>
            <w:tcBorders>
              <w:bottom w:val="single" w:sz="8" w:color="B6B6B6"/>
            </w:tcBorders>
          </w:tcPr>
          <w:p>
            <w:pPr>
              <w:spacing w:after="0"/>
              <w:rPr>
                <w:sz w:val="19"/>
                <w:szCs w:val="19"/>
                <w:color w:val="auto"/>
              </w:rPr>
            </w:pPr>
          </w:p>
        </w:tc>
        <w:tc>
          <w:tcPr>
            <w:tcW w:w="7360" w:type="dxa"/>
            <w:vAlign w:val="bottom"/>
            <w:tcBorders>
              <w:bottom w:val="single" w:sz="8" w:color="B6B6B6"/>
            </w:tcBorders>
          </w:tcPr>
          <w:p>
            <w:pPr>
              <w:ind w:left="640"/>
              <w:spacing w:after="0"/>
              <w:rPr>
                <w:sz w:val="20"/>
                <w:szCs w:val="20"/>
                <w:color w:val="auto"/>
              </w:rPr>
            </w:pPr>
            <w:r>
              <w:rPr>
                <w:rFonts w:ascii="Arial" w:cs="Arial" w:eastAsia="Arial" w:hAnsi="Arial"/>
                <w:sz w:val="18"/>
                <w:szCs w:val="18"/>
                <w:color w:val="auto"/>
              </w:rPr>
              <w:t>products.</w:t>
            </w:r>
          </w:p>
        </w:tc>
      </w:tr>
      <w:tr>
        <w:trPr>
          <w:trHeight w:val="168"/>
        </w:trPr>
        <w:tc>
          <w:tcPr>
            <w:tcW w:w="3780" w:type="dxa"/>
            <w:vAlign w:val="bottom"/>
          </w:tcPr>
          <w:p>
            <w:pPr>
              <w:ind w:left="20"/>
              <w:spacing w:after="0" w:line="168" w:lineRule="exact"/>
              <w:rPr>
                <w:sz w:val="20"/>
                <w:szCs w:val="20"/>
                <w:color w:val="auto"/>
              </w:rPr>
            </w:pPr>
            <w:r>
              <w:rPr>
                <w:rFonts w:ascii="Arial" w:cs="Arial" w:eastAsia="Arial" w:hAnsi="Arial"/>
                <w:sz w:val="18"/>
                <w:szCs w:val="18"/>
                <w:color w:val="auto"/>
              </w:rPr>
              <w:t>Supply Chain</w:t>
            </w:r>
          </w:p>
        </w:tc>
        <w:tc>
          <w:tcPr>
            <w:tcW w:w="7360" w:type="dxa"/>
            <w:vAlign w:val="bottom"/>
          </w:tcPr>
          <w:p>
            <w:pPr>
              <w:ind w:left="320"/>
              <w:spacing w:after="0" w:line="168" w:lineRule="exact"/>
              <w:rPr>
                <w:sz w:val="20"/>
                <w:szCs w:val="20"/>
                <w:color w:val="auto"/>
              </w:rPr>
            </w:pPr>
            <w:r>
              <w:rPr>
                <w:rFonts w:ascii="Arial" w:cs="Arial" w:eastAsia="Arial" w:hAnsi="Arial"/>
                <w:sz w:val="18"/>
                <w:szCs w:val="18"/>
                <w:color w:val="BD03F7"/>
              </w:rPr>
              <w:t xml:space="preserve">•   </w:t>
            </w:r>
            <w:r>
              <w:rPr>
                <w:rFonts w:ascii="Arial" w:cs="Arial" w:eastAsia="Arial" w:hAnsi="Arial"/>
                <w:sz w:val="18"/>
                <w:szCs w:val="18"/>
                <w:color w:val="000000"/>
              </w:rPr>
              <w:t>We discussed our active engagement with all stakeholders to continue to advance a</w:t>
            </w:r>
          </w:p>
        </w:tc>
      </w:tr>
      <w:tr>
        <w:trPr>
          <w:trHeight w:val="240"/>
        </w:trPr>
        <w:tc>
          <w:tcPr>
            <w:tcW w:w="3780" w:type="dxa"/>
            <w:vAlign w:val="bottom"/>
            <w:tcBorders>
              <w:bottom w:val="single" w:sz="8" w:color="BD03F7"/>
            </w:tcBorders>
          </w:tcPr>
          <w:p>
            <w:pPr>
              <w:spacing w:after="0"/>
              <w:rPr>
                <w:sz w:val="20"/>
                <w:szCs w:val="20"/>
                <w:color w:val="auto"/>
              </w:rPr>
            </w:pPr>
          </w:p>
        </w:tc>
        <w:tc>
          <w:tcPr>
            <w:tcW w:w="7360" w:type="dxa"/>
            <w:vAlign w:val="bottom"/>
            <w:tcBorders>
              <w:bottom w:val="single" w:sz="8" w:color="BD03F7"/>
            </w:tcBorders>
          </w:tcPr>
          <w:p>
            <w:pPr>
              <w:ind w:left="640"/>
              <w:spacing w:after="0"/>
              <w:rPr>
                <w:sz w:val="20"/>
                <w:szCs w:val="20"/>
                <w:color w:val="auto"/>
              </w:rPr>
            </w:pPr>
            <w:r>
              <w:rPr>
                <w:rFonts w:ascii="Arial" w:cs="Arial" w:eastAsia="Arial" w:hAnsi="Arial"/>
                <w:sz w:val="18"/>
                <w:szCs w:val="18"/>
                <w:color w:val="auto"/>
              </w:rPr>
              <w:t>resilient and sustainable semiconductor supply chain.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right="2420"/>
        <w:spacing w:after="0" w:line="295" w:lineRule="auto"/>
        <w:rPr>
          <w:sz w:val="20"/>
          <w:szCs w:val="20"/>
          <w:color w:val="auto"/>
        </w:rPr>
      </w:pPr>
      <w:r>
        <w:rPr>
          <w:rFonts w:ascii="Arial" w:cs="Arial" w:eastAsia="Arial" w:hAnsi="Arial"/>
          <w:sz w:val="36"/>
          <w:szCs w:val="36"/>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Related Person Transactions Policy delegates authority to the Audit Committee to review and approve related person transactions. Pursuant to the policy, related person transactions are reviewed and approved or ratified at least quarterly by our Audit Committee in accordance with the terms of the policy. Related persons include our directors and officers, their affiliates, nominees for election as director, certain beneficial owners of 5% or more of any class of our capital stock, and any member of the immediate family of any of the foregoing persons. If a conflict of interest exists between us and the related person, the conflicted director will recuse himself or herself from any discussion or vote of the Audit Committee on the transaction creating the conflict. In reviewing a proposed related person transaction, the Audit Committee considers all the relevant facts and circumstances of the transaction, such as (i) whether the terms of the transaction are fair to the Company and on terms that are no less favorable than terms available to an unaffiliated party in similar circumstances, (ii) the extent of the related person’s in interest in the transaction, (iii) the business reasons for the transaction, (v) whether the transaction would result in an improper conflict of interest, and (vi) whether the transaction would impair the ability of any director to serve on the Company’s Board or committees. There were no actual or proposed related person transactions in which a related person had a direct or indirect material interest since the beginning of Fiscal 2025.</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1329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Governance and Sustainability Committee oversees the setting of compensation for our non-employee members of the Board and recommends changes, if any, to the full Board for consideration. Each year, the Governance and Sustainability Committee works with our compensation consultant to review and evaluate director compensation for the ensuing fiscal year, in light of prevailing market conditions and to attract, retain, and reward qualified non-employee directors. The compensation consultant gathers and reviews market data for non-employee directors from the same compensation peer group used to evaluate executive officer compensation. For a discussion concerning the companies that comprised our compensation peer group, please see “Executive Compensation and Related Information—Compensation Discussion and Analysis—Determination of the Compensation Peer Group.”</w:t>
      </w:r>
    </w:p>
    <w:p>
      <w:pPr>
        <w:spacing w:after="0" w:line="207" w:lineRule="exact"/>
        <w:rPr>
          <w:sz w:val="20"/>
          <w:szCs w:val="20"/>
          <w:color w:val="auto"/>
        </w:rPr>
      </w:pPr>
    </w:p>
    <w:p>
      <w:pPr>
        <w:jc w:val="both"/>
        <w:ind w:right="180"/>
        <w:spacing w:after="0" w:line="267" w:lineRule="auto"/>
        <w:rPr>
          <w:sz w:val="20"/>
          <w:szCs w:val="20"/>
          <w:color w:val="auto"/>
        </w:rPr>
      </w:pPr>
      <w:r>
        <w:rPr>
          <w:rFonts w:ascii="Arial" w:cs="Arial" w:eastAsia="Arial" w:hAnsi="Arial"/>
          <w:sz w:val="18"/>
          <w:szCs w:val="18"/>
          <w:color w:val="auto"/>
        </w:rPr>
        <w:t>Non-employee directors are compensated pursuant to the terms of the 2025 Director Compensation Plan (the “DCP”), which operates as a sub-plan of the 2025 Equity Incentive Plan (the “2025 Plan”) and provides for cash and equity compensation. Employee directors receive no additional or special remuneration for their service as directors.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ELEMENTS OF DIRECTOR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 and Committee Chair Remuneration</w:t>
      </w:r>
    </w:p>
    <w:p>
      <w:pPr>
        <w:spacing w:after="0" w:line="236"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In Fiscal 2025, non-employee directors were entitled to receive an annual cash retainer of $125,000. Non-employee directors may elect to take some or all of their annual cash retainer in shares of common stock, $0.10 par value per share (the “Common Stock”), payable on the</w:t>
      </w:r>
    </w:p>
    <w:p>
      <w:pPr>
        <w:ind w:right="400"/>
        <w:spacing w:after="0" w:line="241" w:lineRule="auto"/>
        <w:rPr>
          <w:sz w:val="20"/>
          <w:szCs w:val="20"/>
          <w:color w:val="auto"/>
        </w:rPr>
      </w:pPr>
      <w:r>
        <w:rPr>
          <w:rFonts w:ascii="Arial" w:cs="Arial" w:eastAsia="Arial" w:hAnsi="Arial"/>
          <w:sz w:val="18"/>
          <w:szCs w:val="18"/>
          <w:color w:val="auto"/>
        </w:rPr>
        <w:t>dates on which the retainer is normally paid, or in deferred rights to receive Common Stock upon termination as a director (in either case, having an initial value equal to the cash amount forgone). The amounts earned by the non-employee directors in respect of their service during Fiscal 2025 are set forth below under “—Fiscal 2025 Director Compensation.”</w:t>
      </w:r>
    </w:p>
    <w:p>
      <w:pPr>
        <w:spacing w:after="0" w:line="21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addition to the annual cash retainer, non-employee directors are entitled to receive cash for their service as a committee chair or Lead Independent Director. Set forth below are the standard cash amounts non-employee directors were and are entitled to receive for their service as committee chair or Lead Independent Director for Fiscal 2025 and 2026 (assuming in each case service for the entire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170815</wp:posOffset>
            </wp:positionV>
            <wp:extent cx="70986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020" w:type="dxa"/>
            <w:vAlign w:val="bottom"/>
            <w:shd w:val="clear" w:color="auto" w:fill="F2F2F2"/>
          </w:tcPr>
          <w:p>
            <w:pPr>
              <w:ind w:left="20"/>
              <w:spacing w:after="0"/>
              <w:rPr>
                <w:sz w:val="20"/>
                <w:szCs w:val="20"/>
                <w:color w:val="auto"/>
              </w:rPr>
            </w:pPr>
            <w:r>
              <w:rPr>
                <w:rFonts w:ascii="Arial" w:cs="Arial" w:eastAsia="Arial" w:hAnsi="Arial"/>
                <w:sz w:val="18"/>
                <w:szCs w:val="18"/>
                <w:color w:val="auto"/>
              </w:rPr>
              <w:t>Audit Committee Chair</w:t>
            </w:r>
          </w:p>
        </w:tc>
        <w:tc>
          <w:tcPr>
            <w:tcW w:w="338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37,500</w:t>
            </w:r>
          </w:p>
        </w:tc>
      </w:tr>
      <w:tr>
        <w:trPr>
          <w:trHeight w:val="228"/>
        </w:trPr>
        <w:tc>
          <w:tcPr>
            <w:tcW w:w="6020" w:type="dxa"/>
            <w:vAlign w:val="bottom"/>
          </w:tcPr>
          <w:p>
            <w:pPr>
              <w:ind w:left="20"/>
              <w:spacing w:after="0"/>
              <w:rPr>
                <w:sz w:val="20"/>
                <w:szCs w:val="20"/>
                <w:color w:val="auto"/>
              </w:rPr>
            </w:pPr>
            <w:r>
              <w:rPr>
                <w:rFonts w:ascii="Arial" w:cs="Arial" w:eastAsia="Arial" w:hAnsi="Arial"/>
                <w:sz w:val="18"/>
                <w:szCs w:val="18"/>
                <w:color w:val="auto"/>
              </w:rPr>
              <w:t>Compensation Committee Chair</w:t>
            </w:r>
          </w:p>
        </w:tc>
        <w:tc>
          <w:tcPr>
            <w:tcW w:w="3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28"/>
        </w:trPr>
        <w:tc>
          <w:tcPr>
            <w:tcW w:w="6020" w:type="dxa"/>
            <w:vAlign w:val="bottom"/>
            <w:shd w:val="clear" w:color="auto" w:fill="F2F2F2"/>
          </w:tcPr>
          <w:p>
            <w:pPr>
              <w:ind w:left="20"/>
              <w:spacing w:after="0"/>
              <w:rPr>
                <w:sz w:val="20"/>
                <w:szCs w:val="20"/>
                <w:color w:val="auto"/>
              </w:rPr>
            </w:pPr>
            <w:r>
              <w:rPr>
                <w:rFonts w:ascii="Arial" w:cs="Arial" w:eastAsia="Arial" w:hAnsi="Arial"/>
                <w:sz w:val="18"/>
                <w:szCs w:val="18"/>
                <w:color w:val="auto"/>
              </w:rPr>
              <w:t>Finance Committee Chair</w:t>
            </w:r>
          </w:p>
        </w:tc>
        <w:tc>
          <w:tcPr>
            <w:tcW w:w="3380" w:type="dxa"/>
            <w:vAlign w:val="bottom"/>
            <w:shd w:val="clear" w:color="auto" w:fill="F2F2F2"/>
          </w:tcPr>
          <w:p>
            <w:pPr>
              <w:spacing w:after="0"/>
              <w:rPr>
                <w:sz w:val="19"/>
                <w:szCs w:val="19"/>
                <w:color w:val="auto"/>
              </w:rPr>
            </w:pPr>
          </w:p>
        </w:tc>
        <w:tc>
          <w:tcPr>
            <w:tcW w:w="17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20,000</w:t>
            </w:r>
          </w:p>
        </w:tc>
      </w:tr>
      <w:tr>
        <w:trPr>
          <w:trHeight w:val="228"/>
        </w:trPr>
        <w:tc>
          <w:tcPr>
            <w:tcW w:w="6020" w:type="dxa"/>
            <w:vAlign w:val="bottom"/>
          </w:tcPr>
          <w:p>
            <w:pPr>
              <w:ind w:left="20"/>
              <w:spacing w:after="0"/>
              <w:rPr>
                <w:sz w:val="20"/>
                <w:szCs w:val="20"/>
                <w:color w:val="auto"/>
              </w:rPr>
            </w:pPr>
            <w:r>
              <w:rPr>
                <w:rFonts w:ascii="Arial" w:cs="Arial" w:eastAsia="Arial" w:hAnsi="Arial"/>
                <w:sz w:val="18"/>
                <w:szCs w:val="18"/>
                <w:color w:val="auto"/>
              </w:rPr>
              <w:t>Governance and Sustainability Committee Chair</w:t>
            </w:r>
          </w:p>
        </w:tc>
        <w:tc>
          <w:tcPr>
            <w:tcW w:w="3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8"/>
        </w:trPr>
        <w:tc>
          <w:tcPr>
            <w:tcW w:w="6020" w:type="dxa"/>
            <w:vAlign w:val="bottom"/>
            <w:shd w:val="clear" w:color="auto" w:fill="F2F2F2"/>
          </w:tcPr>
          <w:p>
            <w:pPr>
              <w:ind w:left="20"/>
              <w:spacing w:after="0"/>
              <w:rPr>
                <w:sz w:val="20"/>
                <w:szCs w:val="20"/>
                <w:color w:val="auto"/>
              </w:rPr>
            </w:pPr>
            <w:r>
              <w:rPr>
                <w:rFonts w:ascii="Arial" w:cs="Arial" w:eastAsia="Arial" w:hAnsi="Arial"/>
                <w:sz w:val="18"/>
                <w:szCs w:val="18"/>
                <w:color w:val="auto"/>
              </w:rPr>
              <w:t>Security Committee Chair</w:t>
            </w:r>
          </w:p>
        </w:tc>
        <w:tc>
          <w:tcPr>
            <w:tcW w:w="3380" w:type="dxa"/>
            <w:vAlign w:val="bottom"/>
            <w:shd w:val="clear" w:color="auto" w:fill="F2F2F2"/>
          </w:tcPr>
          <w:p>
            <w:pPr>
              <w:spacing w:after="0"/>
              <w:rPr>
                <w:sz w:val="19"/>
                <w:szCs w:val="19"/>
                <w:color w:val="auto"/>
              </w:rPr>
            </w:pPr>
          </w:p>
        </w:tc>
        <w:tc>
          <w:tcPr>
            <w:tcW w:w="17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20,000</w:t>
            </w:r>
          </w:p>
        </w:tc>
      </w:tr>
      <w:tr>
        <w:trPr>
          <w:trHeight w:val="228"/>
        </w:trPr>
        <w:tc>
          <w:tcPr>
            <w:tcW w:w="6020" w:type="dxa"/>
            <w:vAlign w:val="bottom"/>
          </w:tcPr>
          <w:p>
            <w:pPr>
              <w:ind w:left="20"/>
              <w:spacing w:after="0"/>
              <w:rPr>
                <w:sz w:val="20"/>
                <w:szCs w:val="20"/>
                <w:color w:val="auto"/>
              </w:rPr>
            </w:pPr>
            <w:r>
              <w:rPr>
                <w:rFonts w:ascii="Arial" w:cs="Arial" w:eastAsia="Arial" w:hAnsi="Arial"/>
                <w:sz w:val="18"/>
                <w:szCs w:val="18"/>
                <w:color w:val="auto"/>
              </w:rPr>
              <w:t>Lead Independent Director(1)</w:t>
            </w:r>
          </w:p>
        </w:tc>
        <w:tc>
          <w:tcPr>
            <w:tcW w:w="3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55,000</w:t>
            </w:r>
          </w:p>
        </w:tc>
      </w:tr>
      <w:tr>
        <w:trPr>
          <w:trHeight w:val="228"/>
        </w:trPr>
        <w:tc>
          <w:tcPr>
            <w:tcW w:w="602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Chair of the Board(2)</w:t>
            </w:r>
          </w:p>
        </w:tc>
        <w:tc>
          <w:tcPr>
            <w:tcW w:w="3380" w:type="dxa"/>
            <w:vAlign w:val="bottom"/>
            <w:tcBorders>
              <w:bottom w:val="single" w:sz="8" w:color="BD03F7"/>
            </w:tcBorders>
            <w:shd w:val="clear" w:color="auto" w:fill="F2F2F2"/>
          </w:tcPr>
          <w:p>
            <w:pPr>
              <w:spacing w:after="0"/>
              <w:rPr>
                <w:sz w:val="19"/>
                <w:szCs w:val="19"/>
                <w:color w:val="auto"/>
              </w:rPr>
            </w:pPr>
          </w:p>
        </w:tc>
        <w:tc>
          <w:tcPr>
            <w:tcW w:w="17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150,000</w:t>
            </w:r>
          </w:p>
        </w:tc>
      </w:tr>
    </w:tbl>
    <w:p>
      <w:pPr>
        <w:spacing w:after="0" w:line="317" w:lineRule="exact"/>
        <w:rPr>
          <w:sz w:val="20"/>
          <w:szCs w:val="20"/>
          <w:color w:val="auto"/>
        </w:rPr>
      </w:pPr>
    </w:p>
    <w:p>
      <w:pPr>
        <w:ind w:left="340" w:right="860" w:hanging="333"/>
        <w:spacing w:after="0" w:line="285" w:lineRule="auto"/>
        <w:tabs>
          <w:tab w:leader="none" w:pos="3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cash amount for the Lead Independent Director was established during Fiscal 2025, following input from our compensation consultant, in connection with the appointment of Ms. Dugle to such role in January 2025.</w:t>
      </w:r>
    </w:p>
    <w:p>
      <w:pPr>
        <w:spacing w:after="0" w:line="180" w:lineRule="exact"/>
        <w:rPr>
          <w:rFonts w:ascii="Arial" w:cs="Arial" w:eastAsia="Arial" w:hAnsi="Arial"/>
          <w:sz w:val="18"/>
          <w:szCs w:val="18"/>
          <w:color w:val="auto"/>
        </w:rPr>
      </w:pPr>
    </w:p>
    <w:p>
      <w:pPr>
        <w:ind w:left="320" w:hanging="313"/>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Mehrotra does not receive compensation for his role as Chairman of the Board.</w:t>
      </w:r>
    </w:p>
    <w:p>
      <w:pPr>
        <w:spacing w:after="0" w:line="250"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Except for the foregoing, directors do not receive any additional or special cash remuneration for their service on any of the committees established by the Board. We reimburse directors for travel and lodging expenses, if any, incurred in connection with attendance at Board or committee meetings, Company events, and for continuing 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w:t>
      </w:r>
    </w:p>
    <w:p>
      <w:pPr>
        <w:spacing w:after="0" w:line="2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Non-employee directors receive an equity award each fiscal year, which may be in the form of restricted stock, restricted stock units, stock options, or other awards. In Fiscal 2025, non-employee directors received restricted stock with a targeted value of $250,000 unless they elected to defer receipt of their equity awards as described in the paragraph below. The “targeted value” for the annual non-employee director equity award is established each year by the Board following discussions with our compensation consultant and has been $ 250,000 since Fiscal 2015. The number of shares of restricted stock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trading day prior to the date of grant. 100% of such restricted stock vest and are released from our repurchase right on the first anniversary of the date of grant (the “Vesting Period”), generally assuming continued service on the Board through that date. Notwithstanding the foregoing, 100% of such restricted stock vest and are released from our repurchase right upon a director’s qualified retirement from the Board during the Vesting Period if the director has achieved a minimum of three years of service with the Board prior to the effective date of their retirement, or upon a director’s departure from the Board due to death or disability. The restricted stock includes the potential to receive dividends (at the same rate as dividends are distributed for Common Stock generally). Any such dividends will accumulate and be released from escrow only if and when the underlying shares are released.</w:t>
      </w:r>
    </w:p>
    <w:p>
      <w:pPr>
        <w:spacing w:after="0" w:line="21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DCP allows non-employee directors to defer receipt of their equity awards granted in Fiscal 2025 and later years. If a director makes a deferral election, the director will receive a deferred restricted stock unit award in lieu of a restricted stock award, with targeted value and vesting terms consistent with the corresponding terms of the restricted stock as described in the preceding paragraph, and shares subject to the director’s deferred restricted stock unit awards will be delivered (to the extent vested) upon termination of service as a director.</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FISCAL 2025 DIRECTOR COMPENSATION</w:t>
      </w:r>
    </w:p>
    <w:p>
      <w:pPr>
        <w:spacing w:after="0" w:line="252"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The following table details the total compensation earned by our non-employee directors in Fiscal 2025. Mr. Mehrotra does not receive separate compensation for his services on the Board. For information on compensation earned by Mr. Mehrotra for Fiscal 2025, please see “Executive Compensation and Related Information Compensation—Compensation Tables—Summary Compensation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940" w:type="dxa"/>
            <w:vAlign w:val="bottom"/>
            <w:gridSpan w:val="2"/>
          </w:tcPr>
          <w:p>
            <w:pPr>
              <w:ind w:left="2200"/>
              <w:spacing w:after="0"/>
              <w:rPr>
                <w:sz w:val="20"/>
                <w:szCs w:val="20"/>
                <w:color w:val="auto"/>
              </w:rPr>
            </w:pPr>
            <w:r>
              <w:rPr>
                <w:rFonts w:ascii="Arial" w:cs="Arial" w:eastAsia="Arial" w:hAnsi="Arial"/>
                <w:sz w:val="18"/>
                <w:szCs w:val="18"/>
                <w:b w:val="1"/>
                <w:bCs w:val="1"/>
                <w:color w:val="auto"/>
                <w:w w:val="99"/>
              </w:rPr>
              <w:t>Fees Earned or Paid</w:t>
            </w:r>
          </w:p>
        </w:tc>
        <w:tc>
          <w:tcPr>
            <w:tcW w:w="160" w:type="dxa"/>
            <w:vAlign w:val="bottom"/>
          </w:tcPr>
          <w:p>
            <w:pPr>
              <w:spacing w:after="0"/>
              <w:rPr>
                <w:sz w:val="18"/>
                <w:szCs w:val="18"/>
                <w:color w:val="auto"/>
              </w:rPr>
            </w:pPr>
          </w:p>
        </w:tc>
        <w:tc>
          <w:tcPr>
            <w:tcW w:w="15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Stock Awards(2)</w:t>
            </w:r>
          </w:p>
        </w:tc>
        <w:tc>
          <w:tcPr>
            <w:tcW w:w="340" w:type="dxa"/>
            <w:vAlign w:val="bottom"/>
          </w:tcPr>
          <w:p>
            <w:pPr>
              <w:spacing w:after="0"/>
              <w:rPr>
                <w:sz w:val="18"/>
                <w:szCs w:val="18"/>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060" w:type="dxa"/>
            <w:vAlign w:val="bottom"/>
            <w:tcBorders>
              <w:bottom w:val="single" w:sz="8" w:color="BD03F7"/>
            </w:tcBorders>
            <w:vMerge w:val="continue"/>
          </w:tcPr>
          <w:p>
            <w:pPr>
              <w:spacing w:after="0"/>
              <w:rPr>
                <w:sz w:val="20"/>
                <w:szCs w:val="20"/>
                <w:color w:val="auto"/>
              </w:rPr>
            </w:pPr>
          </w:p>
        </w:tc>
        <w:tc>
          <w:tcPr>
            <w:tcW w:w="2460" w:type="dxa"/>
            <w:vAlign w:val="bottom"/>
            <w:tcBorders>
              <w:bottom w:val="single" w:sz="8" w:color="BD03F7"/>
            </w:tcBorders>
          </w:tcPr>
          <w:p>
            <w:pPr>
              <w:spacing w:after="0"/>
              <w:rPr>
                <w:sz w:val="20"/>
                <w:szCs w:val="20"/>
                <w:color w:val="auto"/>
              </w:rPr>
            </w:pPr>
          </w:p>
        </w:tc>
        <w:tc>
          <w:tcPr>
            <w:tcW w:w="1480" w:type="dxa"/>
            <w:vAlign w:val="bottom"/>
            <w:tcBorders>
              <w:bottom w:val="single" w:sz="8" w:color="BD03F7"/>
            </w:tcBorders>
          </w:tcPr>
          <w:p>
            <w:pPr>
              <w:jc w:val="right"/>
              <w:ind w:right="350"/>
              <w:spacing w:after="0"/>
              <w:rPr>
                <w:sz w:val="20"/>
                <w:szCs w:val="20"/>
                <w:color w:val="auto"/>
              </w:rPr>
            </w:pPr>
            <w:r>
              <w:rPr>
                <w:rFonts w:ascii="Arial" w:cs="Arial" w:eastAsia="Arial" w:hAnsi="Arial"/>
                <w:sz w:val="18"/>
                <w:szCs w:val="18"/>
                <w:b w:val="1"/>
                <w:bCs w:val="1"/>
                <w:color w:val="auto"/>
              </w:rPr>
              <w:t>in Cash(1)</w:t>
            </w:r>
          </w:p>
        </w:tc>
        <w:tc>
          <w:tcPr>
            <w:tcW w:w="160" w:type="dxa"/>
            <w:vAlign w:val="bottom"/>
            <w:tcBorders>
              <w:bottom w:val="single" w:sz="8" w:color="BD03F7"/>
            </w:tcBorders>
          </w:tcPr>
          <w:p>
            <w:pPr>
              <w:spacing w:after="0"/>
              <w:rPr>
                <w:sz w:val="20"/>
                <w:szCs w:val="20"/>
                <w:color w:val="auto"/>
              </w:rPr>
            </w:pPr>
          </w:p>
        </w:tc>
        <w:tc>
          <w:tcPr>
            <w:tcW w:w="1580" w:type="dxa"/>
            <w:vAlign w:val="bottom"/>
            <w:tcBorders>
              <w:bottom w:val="single" w:sz="8" w:color="BD03F7"/>
            </w:tcBorders>
            <w:vMerge w:val="continue"/>
          </w:tcPr>
          <w:p>
            <w:pPr>
              <w:spacing w:after="0"/>
              <w:rPr>
                <w:sz w:val="20"/>
                <w:szCs w:val="20"/>
                <w:color w:val="auto"/>
              </w:rPr>
            </w:pPr>
          </w:p>
        </w:tc>
        <w:tc>
          <w:tcPr>
            <w:tcW w:w="340" w:type="dxa"/>
            <w:vAlign w:val="bottom"/>
            <w:tcBorders>
              <w:bottom w:val="single" w:sz="8" w:color="BD03F7"/>
            </w:tcBorders>
          </w:tcPr>
          <w:p>
            <w:pPr>
              <w:spacing w:after="0"/>
              <w:rPr>
                <w:sz w:val="20"/>
                <w:szCs w:val="20"/>
                <w:color w:val="auto"/>
              </w:rPr>
            </w:pPr>
          </w:p>
        </w:tc>
        <w:tc>
          <w:tcPr>
            <w:tcW w:w="1160" w:type="dxa"/>
            <w:vAlign w:val="bottom"/>
            <w:tcBorders>
              <w:bottom w:val="single" w:sz="8" w:color="BD03F7"/>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60" w:type="dxa"/>
            <w:vAlign w:val="bottom"/>
            <w:shd w:val="clear" w:color="auto" w:fill="F2F2F2"/>
          </w:tcPr>
          <w:p>
            <w:pPr>
              <w:ind w:left="20"/>
              <w:spacing w:after="0"/>
              <w:rPr>
                <w:sz w:val="20"/>
                <w:szCs w:val="20"/>
                <w:color w:val="auto"/>
              </w:rPr>
            </w:pPr>
            <w:r>
              <w:rPr>
                <w:rFonts w:ascii="Arial" w:cs="Arial" w:eastAsia="Arial" w:hAnsi="Arial"/>
                <w:sz w:val="18"/>
                <w:szCs w:val="18"/>
                <w:color w:val="auto"/>
              </w:rPr>
              <w:t>Richard M. Beyer</w:t>
            </w:r>
          </w:p>
        </w:tc>
        <w:tc>
          <w:tcPr>
            <w:tcW w:w="2460" w:type="dxa"/>
            <w:vAlign w:val="bottom"/>
            <w:shd w:val="clear" w:color="auto" w:fill="F2F2F2"/>
          </w:tcPr>
          <w:p>
            <w:pPr>
              <w:ind w:left="2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249,979</w:t>
            </w:r>
          </w:p>
        </w:tc>
        <w:tc>
          <w:tcPr>
            <w:tcW w:w="34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404,979</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8"/>
                <w:szCs w:val="18"/>
                <w:color w:val="auto"/>
              </w:rPr>
              <w:t>Lynn A. Dugle</w:t>
            </w:r>
          </w:p>
        </w:tc>
        <w:tc>
          <w:tcPr>
            <w:tcW w:w="2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159,588</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249,979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409,567</w:t>
            </w:r>
          </w:p>
        </w:tc>
        <w:tc>
          <w:tcPr>
            <w:tcW w:w="0" w:type="dxa"/>
            <w:vAlign w:val="bottom"/>
          </w:tcPr>
          <w:p>
            <w:pPr>
              <w:spacing w:after="0"/>
              <w:rPr>
                <w:sz w:val="1"/>
                <w:szCs w:val="1"/>
                <w:color w:val="auto"/>
              </w:rPr>
            </w:pPr>
          </w:p>
        </w:tc>
      </w:tr>
      <w:tr>
        <w:trPr>
          <w:trHeight w:val="228"/>
        </w:trPr>
        <w:tc>
          <w:tcPr>
            <w:tcW w:w="4060" w:type="dxa"/>
            <w:vAlign w:val="bottom"/>
            <w:shd w:val="clear" w:color="auto" w:fill="F2F2F2"/>
          </w:tcPr>
          <w:p>
            <w:pPr>
              <w:ind w:left="20"/>
              <w:spacing w:after="0"/>
              <w:rPr>
                <w:sz w:val="20"/>
                <w:szCs w:val="20"/>
                <w:color w:val="auto"/>
              </w:rPr>
            </w:pPr>
            <w:r>
              <w:rPr>
                <w:rFonts w:ascii="Arial" w:cs="Arial" w:eastAsia="Arial" w:hAnsi="Arial"/>
                <w:sz w:val="18"/>
                <w:szCs w:val="18"/>
                <w:color w:val="auto"/>
              </w:rPr>
              <w:t>Steven J. Gomo</w:t>
            </w:r>
          </w:p>
        </w:tc>
        <w:tc>
          <w:tcPr>
            <w:tcW w:w="2460" w:type="dxa"/>
            <w:vAlign w:val="bottom"/>
            <w:shd w:val="clear" w:color="auto" w:fill="F2F2F2"/>
          </w:tcPr>
          <w:p>
            <w:pPr>
              <w:spacing w:after="0"/>
              <w:rPr>
                <w:sz w:val="19"/>
                <w:szCs w:val="19"/>
                <w:color w:val="auto"/>
              </w:rPr>
            </w:pP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F2F2F2"/>
          </w:tcPr>
          <w:p>
            <w:pPr>
              <w:spacing w:after="0"/>
              <w:rPr>
                <w:sz w:val="19"/>
                <w:szCs w:val="19"/>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249,979</w:t>
            </w:r>
          </w:p>
        </w:tc>
        <w:tc>
          <w:tcPr>
            <w:tcW w:w="34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394,979</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8"/>
                <w:szCs w:val="18"/>
                <w:color w:val="auto"/>
              </w:rPr>
              <w:t>Linnie M. Haynesworth</w:t>
            </w:r>
          </w:p>
        </w:tc>
        <w:tc>
          <w:tcPr>
            <w:tcW w:w="2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249,979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394,979</w:t>
            </w:r>
          </w:p>
        </w:tc>
        <w:tc>
          <w:tcPr>
            <w:tcW w:w="0" w:type="dxa"/>
            <w:vAlign w:val="bottom"/>
          </w:tcPr>
          <w:p>
            <w:pPr>
              <w:spacing w:after="0"/>
              <w:rPr>
                <w:sz w:val="1"/>
                <w:szCs w:val="1"/>
                <w:color w:val="auto"/>
              </w:rPr>
            </w:pPr>
          </w:p>
        </w:tc>
      </w:tr>
      <w:tr>
        <w:trPr>
          <w:trHeight w:val="228"/>
        </w:trPr>
        <w:tc>
          <w:tcPr>
            <w:tcW w:w="4060" w:type="dxa"/>
            <w:vAlign w:val="bottom"/>
            <w:shd w:val="clear" w:color="auto" w:fill="F2F2F2"/>
          </w:tcPr>
          <w:p>
            <w:pPr>
              <w:ind w:left="20"/>
              <w:spacing w:after="0"/>
              <w:rPr>
                <w:sz w:val="20"/>
                <w:szCs w:val="20"/>
                <w:color w:val="auto"/>
              </w:rPr>
            </w:pPr>
            <w:r>
              <w:rPr>
                <w:rFonts w:ascii="Arial" w:cs="Arial" w:eastAsia="Arial" w:hAnsi="Arial"/>
                <w:sz w:val="18"/>
                <w:szCs w:val="18"/>
                <w:color w:val="auto"/>
              </w:rPr>
              <w:t>T. Mark Liu(3)</w:t>
            </w:r>
          </w:p>
        </w:tc>
        <w:tc>
          <w:tcPr>
            <w:tcW w:w="2460" w:type="dxa"/>
            <w:vAlign w:val="bottom"/>
            <w:shd w:val="clear" w:color="auto" w:fill="F2F2F2"/>
          </w:tcPr>
          <w:p>
            <w:pPr>
              <w:spacing w:after="0"/>
              <w:rPr>
                <w:sz w:val="19"/>
                <w:szCs w:val="19"/>
                <w:color w:val="auto"/>
              </w:rPr>
            </w:pP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61,330</w:t>
            </w:r>
          </w:p>
        </w:tc>
        <w:tc>
          <w:tcPr>
            <w:tcW w:w="160" w:type="dxa"/>
            <w:vAlign w:val="bottom"/>
            <w:shd w:val="clear" w:color="auto" w:fill="F2F2F2"/>
          </w:tcPr>
          <w:p>
            <w:pPr>
              <w:spacing w:after="0"/>
              <w:rPr>
                <w:sz w:val="19"/>
                <w:szCs w:val="19"/>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121,570</w:t>
            </w:r>
          </w:p>
        </w:tc>
        <w:tc>
          <w:tcPr>
            <w:tcW w:w="34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182,900</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8"/>
                <w:szCs w:val="18"/>
                <w:color w:val="auto"/>
              </w:rPr>
              <w:t>Mary Pat McCarthy</w:t>
            </w:r>
          </w:p>
        </w:tc>
        <w:tc>
          <w:tcPr>
            <w:tcW w:w="2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161,667</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249,979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411,646</w:t>
            </w:r>
          </w:p>
        </w:tc>
        <w:tc>
          <w:tcPr>
            <w:tcW w:w="0" w:type="dxa"/>
            <w:vAlign w:val="bottom"/>
          </w:tcPr>
          <w:p>
            <w:pPr>
              <w:spacing w:after="0"/>
              <w:rPr>
                <w:sz w:val="1"/>
                <w:szCs w:val="1"/>
                <w:color w:val="auto"/>
              </w:rPr>
            </w:pPr>
          </w:p>
        </w:tc>
      </w:tr>
      <w:tr>
        <w:trPr>
          <w:trHeight w:val="228"/>
        </w:trPr>
        <w:tc>
          <w:tcPr>
            <w:tcW w:w="4060" w:type="dxa"/>
            <w:vAlign w:val="bottom"/>
            <w:shd w:val="clear" w:color="auto" w:fill="F2F2F2"/>
          </w:tcPr>
          <w:p>
            <w:pPr>
              <w:ind w:left="20"/>
              <w:spacing w:after="0"/>
              <w:rPr>
                <w:sz w:val="20"/>
                <w:szCs w:val="20"/>
                <w:color w:val="auto"/>
              </w:rPr>
            </w:pPr>
            <w:r>
              <w:rPr>
                <w:rFonts w:ascii="Arial" w:cs="Arial" w:eastAsia="Arial" w:hAnsi="Arial"/>
                <w:sz w:val="18"/>
                <w:szCs w:val="18"/>
                <w:color w:val="auto"/>
              </w:rPr>
              <w:t>A. Christine Simons(3)</w:t>
            </w:r>
          </w:p>
        </w:tc>
        <w:tc>
          <w:tcPr>
            <w:tcW w:w="2460" w:type="dxa"/>
            <w:vAlign w:val="bottom"/>
            <w:shd w:val="clear" w:color="auto" w:fill="F2F2F2"/>
          </w:tcPr>
          <w:p>
            <w:pPr>
              <w:spacing w:after="0"/>
              <w:rPr>
                <w:sz w:val="19"/>
                <w:szCs w:val="19"/>
                <w:color w:val="auto"/>
              </w:rPr>
            </w:pP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61,330</w:t>
            </w:r>
          </w:p>
        </w:tc>
        <w:tc>
          <w:tcPr>
            <w:tcW w:w="160" w:type="dxa"/>
            <w:vAlign w:val="bottom"/>
            <w:shd w:val="clear" w:color="auto" w:fill="F2F2F2"/>
          </w:tcPr>
          <w:p>
            <w:pPr>
              <w:spacing w:after="0"/>
              <w:rPr>
                <w:sz w:val="19"/>
                <w:szCs w:val="19"/>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121,570</w:t>
            </w:r>
          </w:p>
        </w:tc>
        <w:tc>
          <w:tcPr>
            <w:tcW w:w="34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182,900</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8"/>
                <w:szCs w:val="18"/>
                <w:color w:val="auto"/>
              </w:rPr>
              <w:t>Robert H. Swan</w:t>
            </w:r>
          </w:p>
        </w:tc>
        <w:tc>
          <w:tcPr>
            <w:tcW w:w="2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249,979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374,979</w:t>
            </w:r>
          </w:p>
        </w:tc>
        <w:tc>
          <w:tcPr>
            <w:tcW w:w="0" w:type="dxa"/>
            <w:vAlign w:val="bottom"/>
          </w:tcPr>
          <w:p>
            <w:pPr>
              <w:spacing w:after="0"/>
              <w:rPr>
                <w:sz w:val="1"/>
                <w:szCs w:val="1"/>
                <w:color w:val="auto"/>
              </w:rPr>
            </w:pPr>
          </w:p>
        </w:tc>
      </w:tr>
      <w:tr>
        <w:trPr>
          <w:trHeight w:val="228"/>
        </w:trPr>
        <w:tc>
          <w:tcPr>
            <w:tcW w:w="4060" w:type="dxa"/>
            <w:vAlign w:val="bottom"/>
            <w:shd w:val="clear" w:color="auto" w:fill="F2F2F2"/>
          </w:tcPr>
          <w:p>
            <w:pPr>
              <w:ind w:left="20"/>
              <w:spacing w:after="0"/>
              <w:rPr>
                <w:sz w:val="20"/>
                <w:szCs w:val="20"/>
                <w:color w:val="auto"/>
              </w:rPr>
            </w:pPr>
            <w:r>
              <w:rPr>
                <w:rFonts w:ascii="Arial" w:cs="Arial" w:eastAsia="Arial" w:hAnsi="Arial"/>
                <w:sz w:val="18"/>
                <w:szCs w:val="18"/>
                <w:color w:val="auto"/>
              </w:rPr>
              <w:t>Robert Switz</w:t>
            </w:r>
          </w:p>
        </w:tc>
        <w:tc>
          <w:tcPr>
            <w:tcW w:w="2460" w:type="dxa"/>
            <w:vAlign w:val="bottom"/>
            <w:shd w:val="clear" w:color="auto" w:fill="F2F2F2"/>
          </w:tcPr>
          <w:p>
            <w:pPr>
              <w:spacing w:after="0"/>
              <w:rPr>
                <w:sz w:val="19"/>
                <w:szCs w:val="19"/>
                <w:color w:val="auto"/>
              </w:rPr>
            </w:pP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114,583</w:t>
            </w:r>
          </w:p>
        </w:tc>
        <w:tc>
          <w:tcPr>
            <w:tcW w:w="160" w:type="dxa"/>
            <w:vAlign w:val="bottom"/>
            <w:shd w:val="clear" w:color="auto" w:fill="F2F2F2"/>
          </w:tcPr>
          <w:p>
            <w:pPr>
              <w:spacing w:after="0"/>
              <w:rPr>
                <w:sz w:val="19"/>
                <w:szCs w:val="19"/>
                <w:color w:val="auto"/>
              </w:rPr>
            </w:pPr>
          </w:p>
        </w:tc>
        <w:tc>
          <w:tcPr>
            <w:tcW w:w="15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249,979</w:t>
            </w:r>
          </w:p>
        </w:tc>
        <w:tc>
          <w:tcPr>
            <w:tcW w:w="34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364,562</w:t>
            </w:r>
          </w:p>
        </w:tc>
        <w:tc>
          <w:tcPr>
            <w:tcW w:w="0" w:type="dxa"/>
            <w:vAlign w:val="bottom"/>
          </w:tcPr>
          <w:p>
            <w:pPr>
              <w:spacing w:after="0"/>
              <w:rPr>
                <w:sz w:val="1"/>
                <w:szCs w:val="1"/>
                <w:color w:val="auto"/>
              </w:rPr>
            </w:pPr>
          </w:p>
        </w:tc>
      </w:tr>
      <w:tr>
        <w:trPr>
          <w:trHeight w:val="228"/>
        </w:trPr>
        <w:tc>
          <w:tcPr>
            <w:tcW w:w="4060" w:type="dxa"/>
            <w:vAlign w:val="bottom"/>
            <w:tcBorders>
              <w:bottom w:val="single" w:sz="8" w:color="BD03F7"/>
            </w:tcBorders>
          </w:tcPr>
          <w:p>
            <w:pPr>
              <w:ind w:left="20"/>
              <w:spacing w:after="0"/>
              <w:rPr>
                <w:sz w:val="20"/>
                <w:szCs w:val="20"/>
                <w:color w:val="auto"/>
              </w:rPr>
            </w:pPr>
            <w:r>
              <w:rPr>
                <w:rFonts w:ascii="Arial" w:cs="Arial" w:eastAsia="Arial" w:hAnsi="Arial"/>
                <w:sz w:val="18"/>
                <w:szCs w:val="18"/>
                <w:color w:val="auto"/>
              </w:rPr>
              <w:t>MaryAnn Wright</w:t>
            </w:r>
          </w:p>
        </w:tc>
        <w:tc>
          <w:tcPr>
            <w:tcW w:w="2460" w:type="dxa"/>
            <w:vAlign w:val="bottom"/>
            <w:tcBorders>
              <w:bottom w:val="single" w:sz="8" w:color="BD03F7"/>
            </w:tcBorders>
          </w:tcPr>
          <w:p>
            <w:pPr>
              <w:spacing w:after="0"/>
              <w:rPr>
                <w:sz w:val="19"/>
                <w:szCs w:val="19"/>
                <w:color w:val="auto"/>
              </w:rPr>
            </w:pPr>
          </w:p>
        </w:tc>
        <w:tc>
          <w:tcPr>
            <w:tcW w:w="148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Borders>
              <w:bottom w:val="single" w:sz="8" w:color="BD03F7"/>
            </w:tcBorders>
          </w:tcPr>
          <w:p>
            <w:pPr>
              <w:spacing w:after="0"/>
              <w:rPr>
                <w:sz w:val="19"/>
                <w:szCs w:val="19"/>
                <w:color w:val="auto"/>
              </w:rPr>
            </w:pPr>
          </w:p>
        </w:tc>
        <w:tc>
          <w:tcPr>
            <w:tcW w:w="158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249,979</w:t>
            </w:r>
          </w:p>
        </w:tc>
        <w:tc>
          <w:tcPr>
            <w:tcW w:w="340" w:type="dxa"/>
            <w:vAlign w:val="bottom"/>
            <w:tcBorders>
              <w:bottom w:val="single" w:sz="8" w:color="BD03F7"/>
            </w:tcBorders>
          </w:tcPr>
          <w:p>
            <w:pPr>
              <w:spacing w:after="0"/>
              <w:rPr>
                <w:sz w:val="19"/>
                <w:szCs w:val="19"/>
                <w:color w:val="auto"/>
              </w:rPr>
            </w:pPr>
          </w:p>
        </w:tc>
        <w:tc>
          <w:tcPr>
            <w:tcW w:w="116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394,979</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40" w:right="380" w:hanging="333"/>
        <w:spacing w:after="0" w:line="258" w:lineRule="auto"/>
        <w:tabs>
          <w:tab w:leader="none" w:pos="3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Liu elected to receive part of his annual retainer from April 1, 2025 in the form of shares of Common Stock. In Fiscal 2025, Mr. Liu received 188 shares of Common Stock with a grant date fair value of $26,042 and $35,288 of cash. Mr. Swan elected to receive his annual retainer for Fiscal 2025 in the form of shares of Common Stock. In Fiscal 2025, Mr. Swan received 1,193 shares of Common Stock with a grant date fair value of $125,000. Mr. Switz concluded his board service on January 16, 2025, and therefore his fees are prorated.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right="20" w:hanging="333"/>
        <w:spacing w:after="0" w:line="255" w:lineRule="auto"/>
        <w:tabs>
          <w:tab w:leader="none" w:pos="3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October 13, 2024, each of Messrs. Beyer, Gomo, Swan, and Switz, along with Ms. McCarthy was granted 2,338 shares of restricted stock. The grant date fair value of these awards was $249,979, based on a per-share value of $106.92. On the same date, Mses. Dugle, Haynesworth, and Wright were each awarded deferred restricted stock units covering 2,338 shares of Common Stock, also valued at $249,979 ($106.92 per unit). The shares under these deferred restricted stock units will be delivered fifteen days after separation from service, or earlier in the event the Company is subject to a change in control event. On March 5, 2025, Mr. Liu and Ms. Simons were each granted 1,333 shares of restricted stock, with a grant date fair value of $121,570, based on a per-share value of $91.20. For details regarding the terms and restrictions of these awards, refer to the section titled “—Elements of Director Compensation – Equity Award”.</w:t>
      </w:r>
    </w:p>
    <w:p>
      <w:pPr>
        <w:spacing w:after="0" w:line="395" w:lineRule="exact"/>
        <w:rPr>
          <w:rFonts w:ascii="Arial" w:cs="Arial" w:eastAsia="Arial" w:hAnsi="Arial"/>
          <w:sz w:val="18"/>
          <w:szCs w:val="18"/>
          <w:color w:val="auto"/>
        </w:rPr>
      </w:pPr>
    </w:p>
    <w:p>
      <w:pPr>
        <w:ind w:left="340" w:right="160"/>
        <w:spacing w:after="0" w:line="261" w:lineRule="auto"/>
        <w:rPr>
          <w:rFonts w:ascii="Arial" w:cs="Arial" w:eastAsia="Arial" w:hAnsi="Arial"/>
          <w:sz w:val="18"/>
          <w:szCs w:val="18"/>
          <w:color w:val="auto"/>
        </w:rPr>
      </w:pPr>
      <w:r>
        <w:rPr>
          <w:rFonts w:ascii="Arial" w:cs="Arial" w:eastAsia="Arial" w:hAnsi="Arial"/>
          <w:sz w:val="18"/>
          <w:szCs w:val="18"/>
          <w:color w:val="auto"/>
        </w:rPr>
        <w:t>As of August 28, 2025, each of Messrs. Beyer, Gomo and Swan as well as Ms. McCarthy held 2,338 shares of restricted stock, each of Mses. Dugle, Haynesworth and Wright held deferred restricted stock units covering 2,338 shares of Common Stock, and each of Mr. Liu and Ms. Simons held 1,333 unvested shares of restricted stock. For information regarding Mr. Mehrotra’s holding of stock as of August 28, 2025, see “Outstanding Equity Awards at Fiscal 2025 Year-End” below.</w:t>
      </w:r>
    </w:p>
    <w:p>
      <w:pPr>
        <w:spacing w:after="0" w:line="201" w:lineRule="exact"/>
        <w:rPr>
          <w:rFonts w:ascii="Arial" w:cs="Arial" w:eastAsia="Arial" w:hAnsi="Arial"/>
          <w:sz w:val="18"/>
          <w:szCs w:val="18"/>
          <w:color w:val="auto"/>
        </w:rPr>
      </w:pPr>
    </w:p>
    <w:p>
      <w:pPr>
        <w:ind w:left="340" w:right="340" w:hanging="333"/>
        <w:spacing w:after="0" w:line="285" w:lineRule="auto"/>
        <w:tabs>
          <w:tab w:leader="none" w:pos="2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Liu and Ms. Simons joined the Board on March 5, 2025, and therefore, their “Fees Earned or Paid in Cash” and “Stock Awards” for Fiscal 2025 are prorated.</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STOCK OWNERSHIP GUIDELINES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We have established stock ownership guidelines for our non-employee directors. The minimum ownership guideline for directors is to hold shares with a value equal to five times their annual cash retainer, currently set at $125,000. Directors are given five years to meet the ownership guidelines. The Governance and Sustainability Committee reviews the stock ownership guidelines annually and monitors each person’s progress toward, and continued compliance with, the guidelines. Stock sales restrictions may be imposed upon directors if the stock ownership guidelines are not met. All our directors are in compliance with the guidelines, taking into account the five-year onboarding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132080</wp:posOffset>
            </wp:positionV>
            <wp:extent cx="2457450" cy="6826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57450" cy="682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refer to page </w:t>
      </w:r>
      <w:r>
        <w:rPr>
          <w:rFonts w:ascii="Arial" w:cs="Arial" w:eastAsia="Arial" w:hAnsi="Arial"/>
          <w:sz w:val="17"/>
          <w:szCs w:val="17"/>
          <w:u w:val="single" w:color="auto"/>
          <w:color w:val="BD03F7"/>
        </w:rPr>
        <w:t>59</w:t>
      </w:r>
      <w:r>
        <w:rPr>
          <w:rFonts w:ascii="Arial" w:cs="Arial" w:eastAsia="Arial" w:hAnsi="Arial"/>
          <w:sz w:val="17"/>
          <w:szCs w:val="17"/>
          <w:color w:val="auto"/>
        </w:rPr>
        <w:t xml:space="preserve"> for information on the stock ownership guidelines for our Chief Executive Officer and other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EXECUTIVE COMPENSATION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0650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38" w:lineRule="exact"/>
        <w:rPr>
          <w:sz w:val="20"/>
          <w:szCs w:val="20"/>
          <w:color w:val="auto"/>
        </w:rPr>
      </w:pPr>
    </w:p>
    <w:p>
      <w:pPr>
        <w:ind w:left="20" w:right="520"/>
        <w:spacing w:after="0" w:line="295" w:lineRule="auto"/>
        <w:rPr>
          <w:sz w:val="20"/>
          <w:szCs w:val="20"/>
          <w:color w:val="auto"/>
        </w:rPr>
      </w:pPr>
      <w:r>
        <w:rPr>
          <w:rFonts w:ascii="Arial" w:cs="Arial" w:eastAsia="Arial" w:hAnsi="Arial"/>
          <w:sz w:val="36"/>
          <w:szCs w:val="36"/>
          <w:b w:val="1"/>
          <w:bCs w:val="1"/>
          <w:color w:val="auto"/>
        </w:rPr>
        <w:t>PROPOSAL 2 – ADVISORY VOTE ON THE COMPENSATION OF OUR NAMED EXECUTIVE OFFICERS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-67310</wp:posOffset>
            </wp:positionV>
            <wp:extent cx="70650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This proposal enables our shareholders to vote to approve, on an advisory (non-binding) basis, the compensation of our Named Executive Officers. The say-on-pay vote is required by Section 14A of the Exchange Act. We seek your advisory vote and ask that you indicate your support for the compensation of the Named Executive Officers as disclosed in this Proxy Statement in the “—Compensation Discussion and Analysis” section and the related compensation tables beginning on page </w:t>
      </w:r>
      <w:r>
        <w:rPr>
          <w:rFonts w:ascii="Arial" w:cs="Arial" w:eastAsia="Arial" w:hAnsi="Arial"/>
          <w:sz w:val="18"/>
          <w:szCs w:val="18"/>
          <w:u w:val="single" w:color="auto"/>
          <w:color w:val="BD03F7"/>
        </w:rPr>
        <w:t>36</w:t>
      </w:r>
      <w:r>
        <w:rPr>
          <w:rFonts w:ascii="Arial" w:cs="Arial" w:eastAsia="Arial" w:hAnsi="Arial"/>
          <w:sz w:val="18"/>
          <w:szCs w:val="18"/>
          <w:color w:val="auto"/>
        </w:rPr>
        <w:t>.</w:t>
      </w:r>
    </w:p>
    <w:p>
      <w:pPr>
        <w:spacing w:after="0" w:line="20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This “say-on-pay” proposal gives our shareholders the opportunity to express their views on the compensation of our Named Executive Officers. This vote is not intended to address any specific item of compensation, but rather the overall compensation of our Named Executive Officers. At our Fiscal 2023 Annual Meeting of Shareholders, our shareholders voted to have an annual advisory vote on say-on-pay and in accordance with the results of this vote, the Board determined to continue to implement an advisory vote on executive compensation every year until the next required vote on the frequency of shareholder votes on the compensation of executives.</w:t>
      </w:r>
    </w:p>
    <w:p>
      <w:pPr>
        <w:spacing w:after="0" w:line="204"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color w:val="auto"/>
        </w:rPr>
        <w:t>At our Fiscal 2024 Annual Meeting of Shareholders held in January 2025, 84% of the votes cast on the say-on-pay proposal were voted in favor of the proposal.</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Please read the “—Compensation Discussion and Analysis” section and related compensation tables for information necessary to inform your vote on this proposal.</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178"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color w:val="auto"/>
        </w:rPr>
        <w:t xml:space="preserve">The Board invites you to review carefully the Compensation Discussion and Analysis beginning on page </w:t>
      </w:r>
      <w:r>
        <w:rPr>
          <w:rFonts w:ascii="Arial" w:cs="Arial" w:eastAsia="Arial" w:hAnsi="Arial"/>
          <w:sz w:val="18"/>
          <w:szCs w:val="18"/>
          <w:b w:val="1"/>
          <w:bCs w:val="1"/>
          <w:u w:val="single" w:color="auto"/>
          <w:color w:val="BD03F7"/>
        </w:rPr>
        <w:t>36</w:t>
      </w:r>
      <w:r>
        <w:rPr>
          <w:rFonts w:ascii="Arial" w:cs="Arial" w:eastAsia="Arial" w:hAnsi="Arial"/>
          <w:sz w:val="18"/>
          <w:szCs w:val="18"/>
          <w:b w:val="1"/>
          <w:bCs w:val="1"/>
          <w:color w:val="auto"/>
        </w:rPr>
        <w:t xml:space="preserve"> and the tabular and other disclosures on executive compensation beginning on page </w:t>
      </w:r>
      <w:r>
        <w:rPr>
          <w:rFonts w:ascii="Arial" w:cs="Arial" w:eastAsia="Arial" w:hAnsi="Arial"/>
          <w:sz w:val="18"/>
          <w:szCs w:val="18"/>
          <w:b w:val="1"/>
          <w:bCs w:val="1"/>
          <w:u w:val="single" w:color="auto"/>
          <w:color w:val="BD03F7"/>
        </w:rPr>
        <w:t>65</w:t>
      </w:r>
      <w:r>
        <w:rPr>
          <w:rFonts w:ascii="Arial" w:cs="Arial" w:eastAsia="Arial" w:hAnsi="Arial"/>
          <w:sz w:val="18"/>
          <w:szCs w:val="18"/>
          <w:b w:val="1"/>
          <w:bCs w:val="1"/>
          <w:color w:val="auto"/>
        </w:rPr>
        <w:t>, and cast a vote “FOR” the following resolution:</w:t>
      </w:r>
    </w:p>
    <w:p>
      <w:pPr>
        <w:spacing w:after="0" w:line="167" w:lineRule="exact"/>
        <w:rPr>
          <w:sz w:val="20"/>
          <w:szCs w:val="20"/>
          <w:color w:val="auto"/>
        </w:rPr>
      </w:pPr>
    </w:p>
    <w:p>
      <w:pPr>
        <w:jc w:val="both"/>
        <w:ind w:right="480"/>
        <w:spacing w:after="0" w:line="266" w:lineRule="auto"/>
        <w:rPr>
          <w:sz w:val="20"/>
          <w:szCs w:val="20"/>
          <w:color w:val="auto"/>
        </w:rPr>
      </w:pPr>
      <w:r>
        <w:rPr>
          <w:rFonts w:ascii="Arial" w:cs="Arial" w:eastAsia="Arial" w:hAnsi="Arial"/>
          <w:sz w:val="18"/>
          <w:szCs w:val="18"/>
          <w:i w:val="1"/>
          <w:iCs w:val="1"/>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740"/>
        <w:spacing w:after="0" w:line="267" w:lineRule="auto"/>
        <w:rPr>
          <w:sz w:val="20"/>
          <w:szCs w:val="20"/>
          <w:color w:val="auto"/>
        </w:rPr>
      </w:pPr>
      <w:r>
        <w:rPr>
          <w:rFonts w:ascii="Arial" w:cs="Arial" w:eastAsia="Arial" w:hAnsi="Arial"/>
          <w:sz w:val="18"/>
          <w:szCs w:val="18"/>
          <w:color w:val="auto"/>
        </w:rPr>
        <w:t>The “FOR” vote of the holders of a majority of the voting power of the shares of our Common Stock present in person (virtually) or represented by proxy at the Annual Meeting is required to approve the non-binding advisory vote on the compensation of our Named Executive Officers.</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say-on-pay vote is advisory and therefore not binding on us, the Compensation Committee, or the Board, and will not be construed as overruling a decision by our Company or our Board or creating or implying any additional fiduciary duty for our Company or our Board. Furthermore, because this non-binding, advisory resolution primarily relates to the compensation of our Named Executive Officers that has already been paid or contractually committed, there may not be an opportunity for us to revisit these decisions. However, the Board and Compensation Committee value the opinions of our shareholders and will consider the results of the say-on-pay vote and any other feedback from shareholders in their evaluation of our compensation program as they believe to be appropriate.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1329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NAMED EXECUTIVE OFFICERS</w:t>
      </w:r>
    </w:p>
    <w:p>
      <w:pPr>
        <w:spacing w:after="0" w:line="185" w:lineRule="exact"/>
        <w:rPr>
          <w:sz w:val="20"/>
          <w:szCs w:val="20"/>
          <w:color w:val="auto"/>
        </w:rPr>
      </w:pPr>
    </w:p>
    <w:p>
      <w:pPr>
        <w:jc w:val="both"/>
        <w:ind w:right="700"/>
        <w:spacing w:after="0" w:line="266" w:lineRule="auto"/>
        <w:rPr>
          <w:sz w:val="20"/>
          <w:szCs w:val="20"/>
          <w:color w:val="auto"/>
        </w:rPr>
      </w:pPr>
      <w:r>
        <w:rPr>
          <w:rFonts w:ascii="Arial" w:cs="Arial" w:eastAsia="Arial" w:hAnsi="Arial"/>
          <w:sz w:val="18"/>
          <w:szCs w:val="18"/>
          <w:color w:val="auto"/>
        </w:rPr>
        <w:t>This Compensation Discussion and Analysis presents material information necessary to understand the objectives and policies of our compensation program for executive officers and the compensation reported in the tables that follow. This discussion focuses on the compensation awarded to, earned by, and paid to the following individuals:</w:t>
      </w:r>
    </w:p>
    <w:tbl>
      <w:tblPr>
        <w:tblLayout w:type="fixed"/>
        <w:tblInd w:w="0" w:type="dxa"/>
        <w:tblCellMar>
          <w:top w:w="0" w:type="dxa"/>
          <w:left w:w="0" w:type="dxa"/>
          <w:bottom w:w="0" w:type="dxa"/>
          <w:right w:w="0" w:type="dxa"/>
        </w:tblCellMar>
      </w:tblPr>
      <w:tr>
        <w:trPr>
          <w:trHeight w:val="31"/>
        </w:trPr>
        <w:tc>
          <w:tcPr>
            <w:tcW w:w="1900" w:type="dxa"/>
            <w:vAlign w:val="bottom"/>
            <w:shd w:val="clear" w:color="auto" w:fill="BD03F7"/>
          </w:tcPr>
          <w:p>
            <w:pPr>
              <w:spacing w:after="0"/>
              <w:rPr>
                <w:sz w:val="2"/>
                <w:szCs w:val="2"/>
                <w:color w:val="auto"/>
              </w:rPr>
            </w:pPr>
          </w:p>
        </w:tc>
        <w:tc>
          <w:tcPr>
            <w:tcW w:w="1800" w:type="dxa"/>
            <w:vAlign w:val="bottom"/>
            <w:tcBorders>
              <w:right w:val="single" w:sz="8" w:color="929292"/>
            </w:tcBorders>
            <w:shd w:val="clear" w:color="auto" w:fill="BD03F7"/>
          </w:tcPr>
          <w:p>
            <w:pPr>
              <w:ind w:left="20"/>
              <w:spacing w:after="0" w:line="32" w:lineRule="exact"/>
              <w:rPr>
                <w:sz w:val="20"/>
                <w:szCs w:val="20"/>
                <w:color w:val="auto"/>
              </w:rPr>
            </w:pPr>
            <w:r>
              <w:rPr>
                <w:rFonts w:ascii="Arial" w:cs="Arial" w:eastAsia="Arial" w:hAnsi="Arial"/>
                <w:sz w:val="3"/>
                <w:szCs w:val="3"/>
                <w:color w:val="auto"/>
              </w:rPr>
              <w:t>Sanjay</w:t>
            </w:r>
          </w:p>
        </w:tc>
        <w:tc>
          <w:tcPr>
            <w:tcW w:w="7540" w:type="dxa"/>
            <w:vAlign w:val="bottom"/>
            <w:shd w:val="clear" w:color="auto" w:fill="BD03F7"/>
          </w:tcPr>
          <w:p>
            <w:pPr>
              <w:spacing w:after="0" w:line="32" w:lineRule="exact"/>
              <w:rPr>
                <w:sz w:val="20"/>
                <w:szCs w:val="20"/>
                <w:color w:val="auto"/>
              </w:rPr>
            </w:pPr>
            <w:r>
              <w:rPr>
                <w:rFonts w:ascii="Arial" w:cs="Arial" w:eastAsia="Arial" w:hAnsi="Arial"/>
                <w:sz w:val="3"/>
                <w:szCs w:val="3"/>
                <w:color w:val="auto"/>
              </w:rPr>
              <w:t>during his 45 years in the semiconductor industry, several of which were foundational to enabling high-</w:t>
            </w:r>
          </w:p>
        </w:tc>
        <w:tc>
          <w:tcPr>
            <w:tcW w:w="0" w:type="dxa"/>
            <w:vAlign w:val="bottom"/>
          </w:tcPr>
          <w:p>
            <w:pPr>
              <w:spacing w:after="0" w:line="20" w:lineRule="exact"/>
              <w:rPr>
                <w:sz w:val="1"/>
                <w:szCs w:val="1"/>
                <w:color w:val="auto"/>
              </w:rPr>
            </w:pPr>
          </w:p>
        </w:tc>
      </w:tr>
      <w:tr>
        <w:trPr>
          <w:trHeight w:val="214"/>
        </w:trPr>
        <w:tc>
          <w:tcPr>
            <w:tcW w:w="1900" w:type="dxa"/>
            <w:vAlign w:val="bottom"/>
          </w:tcPr>
          <w:p>
            <w:pPr>
              <w:spacing w:after="0"/>
              <w:rPr>
                <w:sz w:val="18"/>
                <w:szCs w:val="18"/>
                <w:color w:val="auto"/>
              </w:rPr>
            </w:pPr>
          </w:p>
        </w:tc>
        <w:tc>
          <w:tcPr>
            <w:tcW w:w="1800" w:type="dxa"/>
            <w:vAlign w:val="bottom"/>
            <w:tcBorders>
              <w:right w:val="single" w:sz="8" w:color="929292"/>
            </w:tcBorders>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Mr. Mehrotra, our Chairman, President and Chief Executive Officer, has earned more than 70 patents</w:t>
            </w:r>
          </w:p>
        </w:tc>
        <w:tc>
          <w:tcPr>
            <w:tcW w:w="0" w:type="dxa"/>
            <w:vAlign w:val="bottom"/>
          </w:tcPr>
          <w:p>
            <w:pPr>
              <w:spacing w:after="0"/>
              <w:rPr>
                <w:sz w:val="1"/>
                <w:szCs w:val="1"/>
                <w:color w:val="auto"/>
              </w:rPr>
            </w:pPr>
          </w:p>
        </w:tc>
      </w:tr>
      <w:tr>
        <w:trPr>
          <w:trHeight w:val="254"/>
        </w:trPr>
        <w:tc>
          <w:tcPr>
            <w:tcW w:w="1900" w:type="dxa"/>
            <w:vAlign w:val="bottom"/>
          </w:tcPr>
          <w:p>
            <w:pPr>
              <w:spacing w:after="0"/>
              <w:rPr>
                <w:sz w:val="22"/>
                <w:szCs w:val="22"/>
                <w:color w:val="auto"/>
              </w:rPr>
            </w:pPr>
          </w:p>
        </w:tc>
        <w:tc>
          <w:tcPr>
            <w:tcW w:w="1800" w:type="dxa"/>
            <w:vAlign w:val="bottom"/>
            <w:tcBorders>
              <w:right w:val="single" w:sz="8" w:color="929292"/>
            </w:tcBorders>
          </w:tcPr>
          <w:p>
            <w:pPr>
              <w:ind w:left="20"/>
              <w:spacing w:after="0" w:line="254" w:lineRule="exact"/>
              <w:rPr>
                <w:sz w:val="20"/>
                <w:szCs w:val="20"/>
                <w:color w:val="auto"/>
              </w:rPr>
            </w:pPr>
            <w:r>
              <w:rPr>
                <w:rFonts w:ascii="Arial" w:cs="Arial" w:eastAsia="Arial" w:hAnsi="Arial"/>
                <w:sz w:val="25"/>
                <w:szCs w:val="25"/>
                <w:color w:val="auto"/>
              </w:rPr>
              <w:t>Mehrotra</w:t>
            </w:r>
          </w:p>
        </w:tc>
        <w:tc>
          <w:tcPr>
            <w:tcW w:w="7540" w:type="dxa"/>
            <w:vAlign w:val="bottom"/>
          </w:tcPr>
          <w:p>
            <w:pPr>
              <w:spacing w:after="0"/>
              <w:rPr>
                <w:sz w:val="20"/>
                <w:szCs w:val="20"/>
                <w:color w:val="auto"/>
              </w:rPr>
            </w:pPr>
            <w:r>
              <w:rPr>
                <w:rFonts w:ascii="Arial" w:cs="Arial" w:eastAsia="Arial" w:hAnsi="Arial"/>
                <w:sz w:val="16"/>
                <w:szCs w:val="16"/>
                <w:color w:val="auto"/>
              </w:rPr>
              <w:t>capacity flash memory. Mr. Mehrotra co-founded SanDisk in 1988 and led its growth ahead of its sale to</w:t>
            </w:r>
          </w:p>
        </w:tc>
        <w:tc>
          <w:tcPr>
            <w:tcW w:w="0" w:type="dxa"/>
            <w:vAlign w:val="bottom"/>
          </w:tcPr>
          <w:p>
            <w:pPr>
              <w:spacing w:after="0"/>
              <w:rPr>
                <w:sz w:val="1"/>
                <w:szCs w:val="1"/>
                <w:color w:val="auto"/>
              </w:rPr>
            </w:pPr>
          </w:p>
        </w:tc>
      </w:tr>
      <w:tr>
        <w:trPr>
          <w:trHeight w:val="67"/>
        </w:trPr>
        <w:tc>
          <w:tcPr>
            <w:tcW w:w="1900" w:type="dxa"/>
            <w:vAlign w:val="bottom"/>
          </w:tcPr>
          <w:p>
            <w:pPr>
              <w:spacing w:after="0"/>
              <w:rPr>
                <w:sz w:val="5"/>
                <w:szCs w:val="5"/>
                <w:color w:val="auto"/>
              </w:rPr>
            </w:pPr>
          </w:p>
        </w:tc>
        <w:tc>
          <w:tcPr>
            <w:tcW w:w="1800" w:type="dxa"/>
            <w:vAlign w:val="bottom"/>
            <w:tcBorders>
              <w:bottom w:val="single" w:sz="8" w:color="929292"/>
              <w:right w:val="single" w:sz="8" w:color="929292"/>
            </w:tcBorders>
          </w:tcPr>
          <w:p>
            <w:pPr>
              <w:spacing w:after="0"/>
              <w:rPr>
                <w:sz w:val="5"/>
                <w:szCs w:val="5"/>
                <w:color w:val="auto"/>
              </w:rPr>
            </w:pPr>
          </w:p>
        </w:tc>
        <w:tc>
          <w:tcPr>
            <w:tcW w:w="7540" w:type="dxa"/>
            <w:vAlign w:val="bottom"/>
            <w:vMerge w:val="restart"/>
          </w:tcPr>
          <w:p>
            <w:pPr>
              <w:spacing w:after="0" w:line="161" w:lineRule="exact"/>
              <w:rPr>
                <w:sz w:val="20"/>
                <w:szCs w:val="20"/>
                <w:color w:val="auto"/>
              </w:rPr>
            </w:pPr>
            <w:r>
              <w:rPr>
                <w:rFonts w:ascii="Arial" w:cs="Arial" w:eastAsia="Arial" w:hAnsi="Arial"/>
                <w:sz w:val="16"/>
                <w:szCs w:val="16"/>
                <w:color w:val="auto"/>
              </w:rPr>
              <w:t>Western Digital in 2016. In November 2023, the Semiconductor Industry Association honored Mr.</w:t>
            </w:r>
          </w:p>
        </w:tc>
        <w:tc>
          <w:tcPr>
            <w:tcW w:w="0" w:type="dxa"/>
            <w:vAlign w:val="bottom"/>
          </w:tcPr>
          <w:p>
            <w:pPr>
              <w:spacing w:after="0"/>
              <w:rPr>
                <w:sz w:val="1"/>
                <w:szCs w:val="1"/>
                <w:color w:val="auto"/>
              </w:rPr>
            </w:pPr>
          </w:p>
        </w:tc>
      </w:tr>
      <w:tr>
        <w:trPr>
          <w:trHeight w:val="74"/>
        </w:trPr>
        <w:tc>
          <w:tcPr>
            <w:tcW w:w="1900" w:type="dxa"/>
            <w:vAlign w:val="bottom"/>
          </w:tcPr>
          <w:p>
            <w:pPr>
              <w:spacing w:after="0"/>
              <w:rPr>
                <w:sz w:val="6"/>
                <w:szCs w:val="6"/>
                <w:color w:val="auto"/>
              </w:rPr>
            </w:pPr>
          </w:p>
        </w:tc>
        <w:tc>
          <w:tcPr>
            <w:tcW w:w="1800" w:type="dxa"/>
            <w:vAlign w:val="bottom"/>
            <w:tcBorders>
              <w:right w:val="single" w:sz="8" w:color="929292"/>
            </w:tcBorders>
            <w:vMerge w:val="restart"/>
          </w:tcPr>
          <w:p>
            <w:pPr>
              <w:ind w:left="20"/>
              <w:spacing w:after="0" w:line="235" w:lineRule="exact"/>
              <w:rPr>
                <w:sz w:val="20"/>
                <w:szCs w:val="20"/>
                <w:color w:val="auto"/>
              </w:rPr>
            </w:pPr>
            <w:r>
              <w:rPr>
                <w:rFonts w:ascii="Arial" w:cs="Arial" w:eastAsia="Arial" w:hAnsi="Arial"/>
                <w:sz w:val="25"/>
                <w:szCs w:val="25"/>
                <w:color w:val="6D6D6D"/>
              </w:rPr>
              <w:t>Chairman,</w:t>
            </w:r>
          </w:p>
        </w:tc>
        <w:tc>
          <w:tcPr>
            <w:tcW w:w="7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800" w:type="dxa"/>
            <w:vAlign w:val="bottom"/>
            <w:tcBorders>
              <w:right w:val="single" w:sz="8" w:color="929292"/>
            </w:tcBorders>
            <w:vMerge w:val="continue"/>
          </w:tcPr>
          <w:p>
            <w:pPr>
              <w:spacing w:after="0"/>
              <w:rPr>
                <w:sz w:val="14"/>
                <w:szCs w:val="14"/>
                <w:color w:val="auto"/>
              </w:rPr>
            </w:pPr>
          </w:p>
        </w:tc>
        <w:tc>
          <w:tcPr>
            <w:tcW w:w="7540" w:type="dxa"/>
            <w:vAlign w:val="bottom"/>
          </w:tcPr>
          <w:p>
            <w:pPr>
              <w:spacing w:after="0" w:line="161" w:lineRule="exact"/>
              <w:rPr>
                <w:sz w:val="20"/>
                <w:szCs w:val="20"/>
                <w:color w:val="auto"/>
              </w:rPr>
            </w:pPr>
            <w:r>
              <w:rPr>
                <w:rFonts w:ascii="Arial" w:cs="Arial" w:eastAsia="Arial" w:hAnsi="Arial"/>
                <w:sz w:val="16"/>
                <w:szCs w:val="16"/>
                <w:color w:val="auto"/>
              </w:rPr>
              <w:t>Mehrotra with the Robert N. Noyce Award, recognizing outstanding achievement and leadership in the</w:t>
            </w:r>
          </w:p>
        </w:tc>
        <w:tc>
          <w:tcPr>
            <w:tcW w:w="0" w:type="dxa"/>
            <w:vAlign w:val="bottom"/>
          </w:tcPr>
          <w:p>
            <w:pPr>
              <w:spacing w:after="0"/>
              <w:rPr>
                <w:sz w:val="1"/>
                <w:szCs w:val="1"/>
                <w:color w:val="auto"/>
              </w:rPr>
            </w:pPr>
          </w:p>
        </w:tc>
      </w:tr>
      <w:tr>
        <w:trPr>
          <w:trHeight w:val="15"/>
        </w:trPr>
        <w:tc>
          <w:tcPr>
            <w:tcW w:w="1900" w:type="dxa"/>
            <w:vAlign w:val="bottom"/>
          </w:tcPr>
          <w:p>
            <w:pPr>
              <w:spacing w:after="0" w:line="20" w:lineRule="exact"/>
              <w:rPr>
                <w:sz w:val="1"/>
                <w:szCs w:val="1"/>
                <w:color w:val="auto"/>
              </w:rPr>
            </w:pPr>
          </w:p>
        </w:tc>
        <w:tc>
          <w:tcPr>
            <w:tcW w:w="1800" w:type="dxa"/>
            <w:vAlign w:val="bottom"/>
            <w:tcBorders>
              <w:right w:val="single" w:sz="8" w:color="929292"/>
            </w:tcBorders>
          </w:tcPr>
          <w:p>
            <w:pPr>
              <w:ind w:left="20"/>
              <w:spacing w:after="0"/>
              <w:rPr>
                <w:sz w:val="20"/>
                <w:szCs w:val="20"/>
                <w:color w:val="auto"/>
              </w:rPr>
            </w:pPr>
            <w:r>
              <w:rPr>
                <w:rFonts w:ascii="Arial" w:cs="Arial" w:eastAsia="Arial" w:hAnsi="Arial"/>
                <w:sz w:val="1"/>
                <w:szCs w:val="1"/>
                <w:color w:val="6D6D6D"/>
              </w:rPr>
              <w:t>President and</w:t>
            </w:r>
          </w:p>
        </w:tc>
        <w:tc>
          <w:tcPr>
            <w:tcW w:w="7540" w:type="dxa"/>
            <w:vAlign w:val="bottom"/>
          </w:tcPr>
          <w:p>
            <w:pPr>
              <w:spacing w:after="0"/>
              <w:rPr>
                <w:sz w:val="20"/>
                <w:szCs w:val="20"/>
                <w:color w:val="auto"/>
              </w:rPr>
            </w:pPr>
            <w:r>
              <w:rPr>
                <w:rFonts w:ascii="Arial" w:cs="Arial" w:eastAsia="Arial" w:hAnsi="Arial"/>
                <w:sz w:val="1"/>
                <w:szCs w:val="1"/>
                <w:color w:val="auto"/>
              </w:rPr>
              <w:t>one of the profession’s highest distinctions. He was awarded honorary doctorates from Boise State</w:t>
            </w:r>
          </w:p>
        </w:tc>
        <w:tc>
          <w:tcPr>
            <w:tcW w:w="0" w:type="dxa"/>
            <w:vAlign w:val="bottom"/>
          </w:tcPr>
          <w:p>
            <w:pPr>
              <w:spacing w:after="0" w:line="20" w:lineRule="exact"/>
              <w:rPr>
                <w:sz w:val="1"/>
                <w:szCs w:val="1"/>
                <w:color w:val="auto"/>
              </w:rPr>
            </w:pPr>
          </w:p>
        </w:tc>
      </w:tr>
      <w:tr>
        <w:trPr>
          <w:trHeight w:val="214"/>
        </w:trPr>
        <w:tc>
          <w:tcPr>
            <w:tcW w:w="1900" w:type="dxa"/>
            <w:vAlign w:val="bottom"/>
          </w:tcPr>
          <w:p>
            <w:pPr>
              <w:spacing w:after="0"/>
              <w:rPr>
                <w:sz w:val="18"/>
                <w:szCs w:val="18"/>
                <w:color w:val="auto"/>
              </w:rPr>
            </w:pPr>
          </w:p>
        </w:tc>
        <w:tc>
          <w:tcPr>
            <w:tcW w:w="1800" w:type="dxa"/>
            <w:vAlign w:val="bottom"/>
            <w:tcBorders>
              <w:right w:val="single" w:sz="8" w:color="929292"/>
            </w:tcBorders>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semiconductor industry. In 2022, Mr. Mehrotra was inducted into the National Academy of Engineering,</w:t>
            </w: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3"/>
                <w:szCs w:val="23"/>
                <w:color w:val="auto"/>
              </w:rPr>
            </w:pPr>
          </w:p>
        </w:tc>
        <w:tc>
          <w:tcPr>
            <w:tcW w:w="1800" w:type="dxa"/>
            <w:vAlign w:val="bottom"/>
            <w:tcBorders>
              <w:right w:val="single" w:sz="8" w:color="929292"/>
            </w:tcBorders>
          </w:tcPr>
          <w:p>
            <w:pPr>
              <w:ind w:left="20"/>
              <w:spacing w:after="0" w:line="268" w:lineRule="exact"/>
              <w:rPr>
                <w:sz w:val="20"/>
                <w:szCs w:val="20"/>
                <w:color w:val="auto"/>
              </w:rPr>
            </w:pPr>
            <w:r>
              <w:rPr>
                <w:rFonts w:ascii="Arial" w:cs="Arial" w:eastAsia="Arial" w:hAnsi="Arial"/>
                <w:sz w:val="25"/>
                <w:szCs w:val="25"/>
                <w:color w:val="6D6D6D"/>
              </w:rPr>
              <w:t>Chief</w:t>
            </w:r>
          </w:p>
        </w:tc>
        <w:tc>
          <w:tcPr>
            <w:tcW w:w="7540" w:type="dxa"/>
            <w:vAlign w:val="bottom"/>
          </w:tcPr>
          <w:p>
            <w:pPr>
              <w:spacing w:after="0"/>
              <w:rPr>
                <w:sz w:val="20"/>
                <w:szCs w:val="20"/>
                <w:color w:val="auto"/>
              </w:rPr>
            </w:pPr>
            <w:r>
              <w:rPr>
                <w:rFonts w:ascii="Arial" w:cs="Arial" w:eastAsia="Arial" w:hAnsi="Arial"/>
                <w:sz w:val="16"/>
                <w:szCs w:val="16"/>
                <w:color w:val="auto"/>
              </w:rPr>
              <w:t>University, the Rochester Institute of Technology and the Birla Institute of Technology and Science, Pilani,</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80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5"/>
                <w:szCs w:val="25"/>
                <w:color w:val="6D6D6D"/>
              </w:rPr>
              <w:t>Executive</w:t>
            </w:r>
          </w:p>
        </w:tc>
        <w:tc>
          <w:tcPr>
            <w:tcW w:w="7540" w:type="dxa"/>
            <w:vAlign w:val="bottom"/>
          </w:tcPr>
          <w:p>
            <w:pPr>
              <w:spacing w:after="0" w:line="148" w:lineRule="exact"/>
              <w:rPr>
                <w:sz w:val="20"/>
                <w:szCs w:val="20"/>
                <w:color w:val="auto"/>
              </w:rPr>
            </w:pPr>
            <w:r>
              <w:rPr>
                <w:rFonts w:ascii="Arial" w:cs="Arial" w:eastAsia="Arial" w:hAnsi="Arial"/>
                <w:sz w:val="16"/>
                <w:szCs w:val="16"/>
                <w:color w:val="auto"/>
              </w:rPr>
              <w:t>India, in recognition of his industry leadership. In addition, he received the Malaysian Order of Loyal</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800" w:type="dxa"/>
            <w:vAlign w:val="bottom"/>
            <w:tcBorders>
              <w:right w:val="single" w:sz="8" w:color="929292"/>
            </w:tcBorders>
            <w:vMerge w:val="continue"/>
          </w:tcPr>
          <w:p>
            <w:pPr>
              <w:spacing w:after="0"/>
              <w:rPr>
                <w:sz w:val="14"/>
                <w:szCs w:val="14"/>
                <w:color w:val="auto"/>
              </w:rPr>
            </w:pPr>
          </w:p>
        </w:tc>
        <w:tc>
          <w:tcPr>
            <w:tcW w:w="7540" w:type="dxa"/>
            <w:vAlign w:val="bottom"/>
          </w:tcPr>
          <w:p>
            <w:pPr>
              <w:spacing w:after="0" w:line="161" w:lineRule="exact"/>
              <w:rPr>
                <w:sz w:val="20"/>
                <w:szCs w:val="20"/>
                <w:color w:val="auto"/>
              </w:rPr>
            </w:pPr>
            <w:r>
              <w:rPr>
                <w:rFonts w:ascii="Arial" w:cs="Arial" w:eastAsia="Arial" w:hAnsi="Arial"/>
                <w:sz w:val="16"/>
                <w:szCs w:val="16"/>
                <w:color w:val="auto"/>
              </w:rPr>
              <w:t>Defender of the State medal in 2021, and the 2019 Flash Memory Summit Lifetime Achievement Award</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1800" w:type="dxa"/>
            <w:vAlign w:val="bottom"/>
            <w:tcBorders>
              <w:right w:val="single" w:sz="8" w:color="929292"/>
            </w:tcBorders>
          </w:tcPr>
          <w:p>
            <w:pPr>
              <w:ind w:left="20"/>
              <w:spacing w:after="0" w:line="188" w:lineRule="exact"/>
              <w:rPr>
                <w:sz w:val="20"/>
                <w:szCs w:val="20"/>
                <w:color w:val="auto"/>
              </w:rPr>
            </w:pPr>
            <w:r>
              <w:rPr>
                <w:rFonts w:ascii="Arial" w:cs="Arial" w:eastAsia="Arial" w:hAnsi="Arial"/>
                <w:sz w:val="21"/>
                <w:szCs w:val="21"/>
                <w:color w:val="6D6D6D"/>
              </w:rPr>
              <w:t>Officer</w:t>
            </w:r>
          </w:p>
        </w:tc>
        <w:tc>
          <w:tcPr>
            <w:tcW w:w="7540" w:type="dxa"/>
            <w:vAlign w:val="bottom"/>
          </w:tcPr>
          <w:p>
            <w:pPr>
              <w:spacing w:after="0"/>
              <w:rPr>
                <w:sz w:val="20"/>
                <w:szCs w:val="20"/>
                <w:color w:val="auto"/>
              </w:rPr>
            </w:pPr>
            <w:r>
              <w:rPr>
                <w:rFonts w:ascii="Arial" w:cs="Arial" w:eastAsia="Arial" w:hAnsi="Arial"/>
                <w:sz w:val="16"/>
                <w:szCs w:val="16"/>
                <w:color w:val="auto"/>
              </w:rPr>
              <w:t>for advancing the architecture that enabled the industry and market for flash memory, and for his</w:t>
            </w:r>
          </w:p>
        </w:tc>
        <w:tc>
          <w:tcPr>
            <w:tcW w:w="0" w:type="dxa"/>
            <w:vAlign w:val="bottom"/>
          </w:tcPr>
          <w:p>
            <w:pPr>
              <w:spacing w:after="0"/>
              <w:rPr>
                <w:sz w:val="1"/>
                <w:szCs w:val="1"/>
                <w:color w:val="auto"/>
              </w:rPr>
            </w:pPr>
          </w:p>
        </w:tc>
      </w:tr>
      <w:tr>
        <w:trPr>
          <w:trHeight w:val="134"/>
        </w:trPr>
        <w:tc>
          <w:tcPr>
            <w:tcW w:w="1900" w:type="dxa"/>
            <w:vAlign w:val="bottom"/>
          </w:tcPr>
          <w:p>
            <w:pPr>
              <w:spacing w:after="0"/>
              <w:rPr>
                <w:sz w:val="11"/>
                <w:szCs w:val="11"/>
                <w:color w:val="auto"/>
              </w:rPr>
            </w:pPr>
          </w:p>
        </w:tc>
        <w:tc>
          <w:tcPr>
            <w:tcW w:w="1800" w:type="dxa"/>
            <w:vAlign w:val="bottom"/>
            <w:tcBorders>
              <w:right w:val="single" w:sz="8" w:color="929292"/>
            </w:tcBorders>
          </w:tcPr>
          <w:p>
            <w:pPr>
              <w:spacing w:after="0"/>
              <w:rPr>
                <w:sz w:val="11"/>
                <w:szCs w:val="11"/>
                <w:color w:val="auto"/>
              </w:rPr>
            </w:pPr>
          </w:p>
        </w:tc>
        <w:tc>
          <w:tcPr>
            <w:tcW w:w="7540" w:type="dxa"/>
            <w:vAlign w:val="bottom"/>
          </w:tcPr>
          <w:p>
            <w:pPr>
              <w:spacing w:after="0" w:line="134" w:lineRule="exact"/>
              <w:rPr>
                <w:sz w:val="20"/>
                <w:szCs w:val="20"/>
                <w:color w:val="auto"/>
              </w:rPr>
            </w:pPr>
            <w:r>
              <w:rPr>
                <w:rFonts w:ascii="Arial" w:cs="Arial" w:eastAsia="Arial" w:hAnsi="Arial"/>
                <w:sz w:val="15"/>
                <w:szCs w:val="15"/>
                <w:color w:val="auto"/>
              </w:rPr>
              <w:t>leadership of SanDisk and Micron. He holds positions on the boards of CDW Corporation and the</w:t>
            </w:r>
          </w:p>
        </w:tc>
        <w:tc>
          <w:tcPr>
            <w:tcW w:w="0" w:type="dxa"/>
            <w:vAlign w:val="bottom"/>
          </w:tcPr>
          <w:p>
            <w:pPr>
              <w:spacing w:after="0"/>
              <w:rPr>
                <w:sz w:val="1"/>
                <w:szCs w:val="1"/>
                <w:color w:val="auto"/>
              </w:rPr>
            </w:pPr>
          </w:p>
        </w:tc>
      </w:tr>
      <w:tr>
        <w:trPr>
          <w:trHeight w:val="214"/>
        </w:trPr>
        <w:tc>
          <w:tcPr>
            <w:tcW w:w="1900" w:type="dxa"/>
            <w:vAlign w:val="bottom"/>
            <w:tcBorders>
              <w:bottom w:val="single" w:sz="8" w:color="BD03F7"/>
            </w:tcBorders>
          </w:tcPr>
          <w:p>
            <w:pPr>
              <w:spacing w:after="0"/>
              <w:rPr>
                <w:sz w:val="18"/>
                <w:szCs w:val="18"/>
                <w:color w:val="auto"/>
              </w:rPr>
            </w:pPr>
          </w:p>
        </w:tc>
        <w:tc>
          <w:tcPr>
            <w:tcW w:w="1800" w:type="dxa"/>
            <w:vAlign w:val="bottom"/>
            <w:tcBorders>
              <w:bottom w:val="single" w:sz="8" w:color="BD03F7"/>
              <w:right w:val="single" w:sz="8" w:color="929292"/>
            </w:tcBorders>
          </w:tcPr>
          <w:p>
            <w:pPr>
              <w:spacing w:after="0"/>
              <w:rPr>
                <w:sz w:val="18"/>
                <w:szCs w:val="18"/>
                <w:color w:val="auto"/>
              </w:rPr>
            </w:pPr>
          </w:p>
        </w:tc>
        <w:tc>
          <w:tcPr>
            <w:tcW w:w="7540" w:type="dxa"/>
            <w:vAlign w:val="bottom"/>
            <w:tcBorders>
              <w:bottom w:val="single" w:sz="8" w:color="BD03F7"/>
            </w:tcBorders>
          </w:tcPr>
          <w:p>
            <w:pPr>
              <w:spacing w:after="0"/>
              <w:rPr>
                <w:sz w:val="20"/>
                <w:szCs w:val="20"/>
                <w:color w:val="auto"/>
              </w:rPr>
            </w:pPr>
            <w:r>
              <w:rPr>
                <w:rFonts w:ascii="Arial" w:cs="Arial" w:eastAsia="Arial" w:hAnsi="Arial"/>
                <w:sz w:val="16"/>
                <w:szCs w:val="16"/>
                <w:color w:val="auto"/>
              </w:rPr>
              <w:t>Semiconductor Industry Association and chairs the Micron Foundation Board.</w:t>
            </w: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180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5"/>
                <w:szCs w:val="25"/>
                <w:color w:val="auto"/>
              </w:rPr>
              <w:t>Mark Murphy</w:t>
            </w:r>
          </w:p>
        </w:tc>
        <w:tc>
          <w:tcPr>
            <w:tcW w:w="7540" w:type="dxa"/>
            <w:vAlign w:val="bottom"/>
          </w:tcPr>
          <w:p>
            <w:pPr>
              <w:spacing w:after="0" w:line="155" w:lineRule="exact"/>
              <w:rPr>
                <w:sz w:val="20"/>
                <w:szCs w:val="20"/>
                <w:color w:val="auto"/>
              </w:rPr>
            </w:pPr>
            <w:r>
              <w:rPr>
                <w:rFonts w:ascii="Arial" w:cs="Arial" w:eastAsia="Arial" w:hAnsi="Arial"/>
                <w:sz w:val="16"/>
                <w:szCs w:val="16"/>
                <w:color w:val="auto"/>
              </w:rPr>
              <w:t>Mr. Murphy, our Executive Vice President and Chief Financial Officer, has served more than 25 years in</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800" w:type="dxa"/>
            <w:vAlign w:val="bottom"/>
            <w:tcBorders>
              <w:right w:val="single" w:sz="8" w:color="929292"/>
            </w:tcBorders>
            <w:vMerge w:val="continue"/>
          </w:tcPr>
          <w:p>
            <w:pPr>
              <w:spacing w:after="0"/>
              <w:rPr>
                <w:sz w:val="14"/>
                <w:szCs w:val="14"/>
                <w:color w:val="auto"/>
              </w:rPr>
            </w:pPr>
          </w:p>
        </w:tc>
        <w:tc>
          <w:tcPr>
            <w:tcW w:w="7540" w:type="dxa"/>
            <w:vAlign w:val="bottom"/>
          </w:tcPr>
          <w:p>
            <w:pPr>
              <w:spacing w:after="0" w:line="161" w:lineRule="exact"/>
              <w:rPr>
                <w:sz w:val="20"/>
                <w:szCs w:val="20"/>
                <w:color w:val="auto"/>
              </w:rPr>
            </w:pPr>
            <w:r>
              <w:rPr>
                <w:rFonts w:ascii="Arial" w:cs="Arial" w:eastAsia="Arial" w:hAnsi="Arial"/>
                <w:sz w:val="16"/>
                <w:szCs w:val="16"/>
                <w:color w:val="auto"/>
              </w:rPr>
              <w:t>executive finance and general management roles, primarily for businesses in semiconductor materials</w:t>
            </w:r>
          </w:p>
        </w:tc>
        <w:tc>
          <w:tcPr>
            <w:tcW w:w="0" w:type="dxa"/>
            <w:vAlign w:val="bottom"/>
          </w:tcPr>
          <w:p>
            <w:pPr>
              <w:spacing w:after="0"/>
              <w:rPr>
                <w:sz w:val="1"/>
                <w:szCs w:val="1"/>
                <w:color w:val="auto"/>
              </w:rPr>
            </w:pPr>
          </w:p>
        </w:tc>
      </w:tr>
      <w:tr>
        <w:trPr>
          <w:trHeight w:val="67"/>
        </w:trPr>
        <w:tc>
          <w:tcPr>
            <w:tcW w:w="1900" w:type="dxa"/>
            <w:vAlign w:val="bottom"/>
          </w:tcPr>
          <w:p>
            <w:pPr>
              <w:spacing w:after="0"/>
              <w:rPr>
                <w:sz w:val="5"/>
                <w:szCs w:val="5"/>
                <w:color w:val="auto"/>
              </w:rPr>
            </w:pPr>
          </w:p>
        </w:tc>
        <w:tc>
          <w:tcPr>
            <w:tcW w:w="1800" w:type="dxa"/>
            <w:vAlign w:val="bottom"/>
            <w:tcBorders>
              <w:bottom w:val="single" w:sz="8" w:color="929292"/>
              <w:right w:val="single" w:sz="8" w:color="929292"/>
            </w:tcBorders>
          </w:tcPr>
          <w:p>
            <w:pPr>
              <w:spacing w:after="0"/>
              <w:rPr>
                <w:sz w:val="5"/>
                <w:szCs w:val="5"/>
                <w:color w:val="auto"/>
              </w:rPr>
            </w:pPr>
          </w:p>
        </w:tc>
        <w:tc>
          <w:tcPr>
            <w:tcW w:w="7540" w:type="dxa"/>
            <w:vAlign w:val="bottom"/>
            <w:vMerge w:val="restart"/>
          </w:tcPr>
          <w:p>
            <w:pPr>
              <w:spacing w:after="0" w:line="161" w:lineRule="exact"/>
              <w:rPr>
                <w:sz w:val="20"/>
                <w:szCs w:val="20"/>
                <w:color w:val="auto"/>
              </w:rPr>
            </w:pPr>
            <w:r>
              <w:rPr>
                <w:rFonts w:ascii="Arial" w:cs="Arial" w:eastAsia="Arial" w:hAnsi="Arial"/>
                <w:sz w:val="16"/>
                <w:szCs w:val="16"/>
                <w:color w:val="auto"/>
              </w:rPr>
              <w:t>and semiconductor fabrication, with additional experience in the power generation sector. He is</w:t>
            </w:r>
          </w:p>
        </w:tc>
        <w:tc>
          <w:tcPr>
            <w:tcW w:w="0" w:type="dxa"/>
            <w:vAlign w:val="bottom"/>
          </w:tcPr>
          <w:p>
            <w:pPr>
              <w:spacing w:after="0"/>
              <w:rPr>
                <w:sz w:val="1"/>
                <w:szCs w:val="1"/>
                <w:color w:val="auto"/>
              </w:rPr>
            </w:pPr>
          </w:p>
        </w:tc>
      </w:tr>
      <w:tr>
        <w:trPr>
          <w:trHeight w:val="74"/>
        </w:trPr>
        <w:tc>
          <w:tcPr>
            <w:tcW w:w="1900" w:type="dxa"/>
            <w:vAlign w:val="bottom"/>
          </w:tcPr>
          <w:p>
            <w:pPr>
              <w:spacing w:after="0"/>
              <w:rPr>
                <w:sz w:val="6"/>
                <w:szCs w:val="6"/>
                <w:color w:val="auto"/>
              </w:rPr>
            </w:pPr>
          </w:p>
        </w:tc>
        <w:tc>
          <w:tcPr>
            <w:tcW w:w="1800" w:type="dxa"/>
            <w:vAlign w:val="bottom"/>
            <w:tcBorders>
              <w:right w:val="single" w:sz="8" w:color="929292"/>
            </w:tcBorders>
            <w:vMerge w:val="restart"/>
          </w:tcPr>
          <w:p>
            <w:pPr>
              <w:ind w:left="20"/>
              <w:spacing w:after="0" w:line="235" w:lineRule="exact"/>
              <w:rPr>
                <w:sz w:val="20"/>
                <w:szCs w:val="20"/>
                <w:color w:val="auto"/>
              </w:rPr>
            </w:pPr>
            <w:r>
              <w:rPr>
                <w:rFonts w:ascii="Arial" w:cs="Arial" w:eastAsia="Arial" w:hAnsi="Arial"/>
                <w:sz w:val="25"/>
                <w:szCs w:val="25"/>
                <w:color w:val="6D6D6D"/>
              </w:rPr>
              <w:t>Executive Vice</w:t>
            </w:r>
          </w:p>
        </w:tc>
        <w:tc>
          <w:tcPr>
            <w:tcW w:w="7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800" w:type="dxa"/>
            <w:vAlign w:val="bottom"/>
            <w:tcBorders>
              <w:right w:val="single" w:sz="8" w:color="929292"/>
            </w:tcBorders>
            <w:vMerge w:val="continue"/>
          </w:tcPr>
          <w:p>
            <w:pPr>
              <w:spacing w:after="0"/>
              <w:rPr>
                <w:sz w:val="14"/>
                <w:szCs w:val="14"/>
                <w:color w:val="auto"/>
              </w:rPr>
            </w:pPr>
          </w:p>
        </w:tc>
        <w:tc>
          <w:tcPr>
            <w:tcW w:w="7540" w:type="dxa"/>
            <w:vAlign w:val="bottom"/>
          </w:tcPr>
          <w:p>
            <w:pPr>
              <w:spacing w:after="0" w:line="161" w:lineRule="exact"/>
              <w:rPr>
                <w:sz w:val="20"/>
                <w:szCs w:val="20"/>
                <w:color w:val="auto"/>
              </w:rPr>
            </w:pPr>
            <w:r>
              <w:rPr>
                <w:rFonts w:ascii="Arial" w:cs="Arial" w:eastAsia="Arial" w:hAnsi="Arial"/>
                <w:sz w:val="16"/>
                <w:szCs w:val="16"/>
                <w:color w:val="auto"/>
              </w:rPr>
              <w:t>responsible for leading Micron’s finance organization and all financial functions, driving capital allocation</w:t>
            </w:r>
          </w:p>
        </w:tc>
        <w:tc>
          <w:tcPr>
            <w:tcW w:w="0" w:type="dxa"/>
            <w:vAlign w:val="bottom"/>
          </w:tcPr>
          <w:p>
            <w:pPr>
              <w:spacing w:after="0"/>
              <w:rPr>
                <w:sz w:val="1"/>
                <w:szCs w:val="1"/>
                <w:color w:val="auto"/>
              </w:rPr>
            </w:pPr>
          </w:p>
        </w:tc>
      </w:tr>
      <w:tr>
        <w:trPr>
          <w:trHeight w:val="15"/>
        </w:trPr>
        <w:tc>
          <w:tcPr>
            <w:tcW w:w="1900" w:type="dxa"/>
            <w:vAlign w:val="bottom"/>
          </w:tcPr>
          <w:p>
            <w:pPr>
              <w:spacing w:after="0" w:line="20" w:lineRule="exact"/>
              <w:rPr>
                <w:sz w:val="1"/>
                <w:szCs w:val="1"/>
                <w:color w:val="auto"/>
              </w:rPr>
            </w:pPr>
          </w:p>
        </w:tc>
        <w:tc>
          <w:tcPr>
            <w:tcW w:w="1800" w:type="dxa"/>
            <w:vAlign w:val="bottom"/>
            <w:tcBorders>
              <w:right w:val="single" w:sz="8" w:color="929292"/>
            </w:tcBorders>
          </w:tcPr>
          <w:p>
            <w:pPr>
              <w:ind w:left="20"/>
              <w:spacing w:after="0"/>
              <w:rPr>
                <w:sz w:val="20"/>
                <w:szCs w:val="20"/>
                <w:color w:val="auto"/>
              </w:rPr>
            </w:pPr>
            <w:r>
              <w:rPr>
                <w:rFonts w:ascii="Arial" w:cs="Arial" w:eastAsia="Arial" w:hAnsi="Arial"/>
                <w:sz w:val="1"/>
                <w:szCs w:val="1"/>
                <w:color w:val="6D6D6D"/>
              </w:rPr>
              <w:t>President and</w:t>
            </w:r>
          </w:p>
        </w:tc>
        <w:tc>
          <w:tcPr>
            <w:tcW w:w="7540" w:type="dxa"/>
            <w:vAlign w:val="bottom"/>
          </w:tcPr>
          <w:p>
            <w:pPr>
              <w:spacing w:after="0"/>
              <w:rPr>
                <w:sz w:val="20"/>
                <w:szCs w:val="20"/>
                <w:color w:val="auto"/>
              </w:rPr>
            </w:pPr>
            <w:r>
              <w:rPr>
                <w:rFonts w:ascii="Arial" w:cs="Arial" w:eastAsia="Arial" w:hAnsi="Arial"/>
                <w:sz w:val="1"/>
                <w:szCs w:val="1"/>
                <w:color w:val="auto"/>
              </w:rPr>
              <w:t>organizations through industry cycles, has extensive global operating experience in capital intensive</w:t>
            </w:r>
          </w:p>
        </w:tc>
        <w:tc>
          <w:tcPr>
            <w:tcW w:w="0" w:type="dxa"/>
            <w:vAlign w:val="bottom"/>
          </w:tcPr>
          <w:p>
            <w:pPr>
              <w:spacing w:after="0" w:line="20" w:lineRule="exact"/>
              <w:rPr>
                <w:sz w:val="1"/>
                <w:szCs w:val="1"/>
                <w:color w:val="auto"/>
              </w:rPr>
            </w:pPr>
          </w:p>
        </w:tc>
      </w:tr>
      <w:tr>
        <w:trPr>
          <w:trHeight w:val="214"/>
        </w:trPr>
        <w:tc>
          <w:tcPr>
            <w:tcW w:w="1900" w:type="dxa"/>
            <w:vAlign w:val="bottom"/>
          </w:tcPr>
          <w:p>
            <w:pPr>
              <w:spacing w:after="0"/>
              <w:rPr>
                <w:sz w:val="18"/>
                <w:szCs w:val="18"/>
                <w:color w:val="auto"/>
              </w:rPr>
            </w:pPr>
          </w:p>
        </w:tc>
        <w:tc>
          <w:tcPr>
            <w:tcW w:w="1800" w:type="dxa"/>
            <w:vAlign w:val="bottom"/>
            <w:tcBorders>
              <w:right w:val="single" w:sz="8" w:color="929292"/>
            </w:tcBorders>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to optimize revenue growth, profitability, and shareholder returns. He has led large-scale finance</w:t>
            </w: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3"/>
                <w:szCs w:val="23"/>
                <w:color w:val="auto"/>
              </w:rPr>
            </w:pPr>
          </w:p>
        </w:tc>
        <w:tc>
          <w:tcPr>
            <w:tcW w:w="1800" w:type="dxa"/>
            <w:vAlign w:val="bottom"/>
            <w:tcBorders>
              <w:right w:val="single" w:sz="8" w:color="929292"/>
            </w:tcBorders>
          </w:tcPr>
          <w:p>
            <w:pPr>
              <w:ind w:left="20"/>
              <w:spacing w:after="0" w:line="268" w:lineRule="exact"/>
              <w:rPr>
                <w:sz w:val="20"/>
                <w:szCs w:val="20"/>
                <w:color w:val="auto"/>
              </w:rPr>
            </w:pPr>
            <w:r>
              <w:rPr>
                <w:rFonts w:ascii="Arial" w:cs="Arial" w:eastAsia="Arial" w:hAnsi="Arial"/>
                <w:sz w:val="25"/>
                <w:szCs w:val="25"/>
                <w:color w:val="6D6D6D"/>
              </w:rPr>
              <w:t>Chief Financial</w:t>
            </w:r>
          </w:p>
        </w:tc>
        <w:tc>
          <w:tcPr>
            <w:tcW w:w="7540" w:type="dxa"/>
            <w:vAlign w:val="bottom"/>
          </w:tcPr>
          <w:p>
            <w:pPr>
              <w:spacing w:after="0"/>
              <w:rPr>
                <w:sz w:val="20"/>
                <w:szCs w:val="20"/>
                <w:color w:val="auto"/>
              </w:rPr>
            </w:pPr>
            <w:r>
              <w:rPr>
                <w:rFonts w:ascii="Arial" w:cs="Arial" w:eastAsia="Arial" w:hAnsi="Arial"/>
                <w:sz w:val="16"/>
                <w:szCs w:val="16"/>
                <w:color w:val="auto"/>
              </w:rPr>
              <w:t>technology businesses, and has managed IT, procurement, and M&amp;A during his career. Mr. Murphy is a</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80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5"/>
                <w:szCs w:val="25"/>
                <w:color w:val="6D6D6D"/>
              </w:rPr>
              <w:t>Officer</w:t>
            </w:r>
          </w:p>
        </w:tc>
        <w:tc>
          <w:tcPr>
            <w:tcW w:w="7540" w:type="dxa"/>
            <w:vAlign w:val="bottom"/>
          </w:tcPr>
          <w:p>
            <w:pPr>
              <w:spacing w:after="0" w:line="148" w:lineRule="exact"/>
              <w:rPr>
                <w:sz w:val="20"/>
                <w:szCs w:val="20"/>
                <w:color w:val="auto"/>
              </w:rPr>
            </w:pPr>
            <w:r>
              <w:rPr>
                <w:rFonts w:ascii="Arial" w:cs="Arial" w:eastAsia="Arial" w:hAnsi="Arial"/>
                <w:sz w:val="16"/>
                <w:szCs w:val="16"/>
                <w:color w:val="auto"/>
              </w:rPr>
              <w:t>veteran of the United States Marine Corps, where he served as both an infantry officer and a supply</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800" w:type="dxa"/>
            <w:vAlign w:val="bottom"/>
            <w:tcBorders>
              <w:right w:val="single" w:sz="8" w:color="929292"/>
            </w:tcBorders>
            <w:vMerge w:val="continue"/>
          </w:tcPr>
          <w:p>
            <w:pPr>
              <w:spacing w:after="0"/>
              <w:rPr>
                <w:sz w:val="14"/>
                <w:szCs w:val="14"/>
                <w:color w:val="auto"/>
              </w:rPr>
            </w:pPr>
          </w:p>
        </w:tc>
        <w:tc>
          <w:tcPr>
            <w:tcW w:w="7540" w:type="dxa"/>
            <w:vAlign w:val="bottom"/>
          </w:tcPr>
          <w:p>
            <w:pPr>
              <w:spacing w:after="0" w:line="161" w:lineRule="exact"/>
              <w:rPr>
                <w:sz w:val="20"/>
                <w:szCs w:val="20"/>
                <w:color w:val="auto"/>
              </w:rPr>
            </w:pPr>
            <w:r>
              <w:rPr>
                <w:rFonts w:ascii="Arial" w:cs="Arial" w:eastAsia="Arial" w:hAnsi="Arial"/>
                <w:sz w:val="16"/>
                <w:szCs w:val="16"/>
                <w:color w:val="auto"/>
              </w:rPr>
              <w:t>officer. He serves on the board of an advanced materials sciences company, where he sits on the audit</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800" w:type="dxa"/>
            <w:vAlign w:val="bottom"/>
            <w:tcBorders>
              <w:right w:val="single" w:sz="8" w:color="929292"/>
            </w:tcBorders>
          </w:tcPr>
          <w:p>
            <w:pPr>
              <w:spacing w:after="0"/>
              <w:rPr>
                <w:sz w:val="14"/>
                <w:szCs w:val="14"/>
                <w:color w:val="auto"/>
              </w:rPr>
            </w:pPr>
          </w:p>
        </w:tc>
        <w:tc>
          <w:tcPr>
            <w:tcW w:w="7540" w:type="dxa"/>
            <w:vAlign w:val="bottom"/>
          </w:tcPr>
          <w:p>
            <w:pPr>
              <w:spacing w:after="0" w:line="161" w:lineRule="exact"/>
              <w:rPr>
                <w:sz w:val="20"/>
                <w:szCs w:val="20"/>
                <w:color w:val="auto"/>
              </w:rPr>
            </w:pPr>
            <w:r>
              <w:rPr>
                <w:rFonts w:ascii="Arial" w:cs="Arial" w:eastAsia="Arial" w:hAnsi="Arial"/>
                <w:sz w:val="16"/>
                <w:szCs w:val="16"/>
                <w:color w:val="auto"/>
              </w:rPr>
              <w:t>and governance committees, and he is a member of the advisory council of the College of Business and</w:t>
            </w:r>
          </w:p>
        </w:tc>
        <w:tc>
          <w:tcPr>
            <w:tcW w:w="0" w:type="dxa"/>
            <w:vAlign w:val="bottom"/>
          </w:tcPr>
          <w:p>
            <w:pPr>
              <w:spacing w:after="0"/>
              <w:rPr>
                <w:sz w:val="1"/>
                <w:szCs w:val="1"/>
                <w:color w:val="auto"/>
              </w:rPr>
            </w:pPr>
          </w:p>
        </w:tc>
      </w:tr>
      <w:tr>
        <w:trPr>
          <w:trHeight w:val="214"/>
        </w:trPr>
        <w:tc>
          <w:tcPr>
            <w:tcW w:w="1900" w:type="dxa"/>
            <w:vAlign w:val="bottom"/>
          </w:tcPr>
          <w:p>
            <w:pPr>
              <w:spacing w:after="0"/>
              <w:rPr>
                <w:sz w:val="18"/>
                <w:szCs w:val="18"/>
                <w:color w:val="auto"/>
              </w:rPr>
            </w:pPr>
          </w:p>
        </w:tc>
        <w:tc>
          <w:tcPr>
            <w:tcW w:w="1800" w:type="dxa"/>
            <w:vAlign w:val="bottom"/>
            <w:tcBorders>
              <w:right w:val="single" w:sz="8" w:color="929292"/>
            </w:tcBorders>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Economics at Boise State University.</w:t>
            </w:r>
          </w:p>
        </w:tc>
        <w:tc>
          <w:tcPr>
            <w:tcW w:w="0" w:type="dxa"/>
            <w:vAlign w:val="bottom"/>
          </w:tcPr>
          <w:p>
            <w:pPr>
              <w:spacing w:after="0"/>
              <w:rPr>
                <w:sz w:val="1"/>
                <w:szCs w:val="1"/>
                <w:color w:val="auto"/>
              </w:rPr>
            </w:pPr>
          </w:p>
        </w:tc>
      </w:tr>
      <w:tr>
        <w:trPr>
          <w:trHeight w:val="68"/>
        </w:trPr>
        <w:tc>
          <w:tcPr>
            <w:tcW w:w="1900" w:type="dxa"/>
            <w:vAlign w:val="bottom"/>
            <w:tcBorders>
              <w:bottom w:val="single" w:sz="8" w:color="BD03F7"/>
            </w:tcBorders>
          </w:tcPr>
          <w:p>
            <w:pPr>
              <w:spacing w:after="0"/>
              <w:rPr>
                <w:sz w:val="5"/>
                <w:szCs w:val="5"/>
                <w:color w:val="auto"/>
              </w:rPr>
            </w:pPr>
          </w:p>
        </w:tc>
        <w:tc>
          <w:tcPr>
            <w:tcW w:w="1800" w:type="dxa"/>
            <w:vAlign w:val="bottom"/>
            <w:tcBorders>
              <w:bottom w:val="single" w:sz="8" w:color="BD03F7"/>
              <w:right w:val="single" w:sz="8" w:color="929292"/>
            </w:tcBorders>
          </w:tcPr>
          <w:p>
            <w:pPr>
              <w:spacing w:after="0"/>
              <w:rPr>
                <w:sz w:val="5"/>
                <w:szCs w:val="5"/>
                <w:color w:val="auto"/>
              </w:rPr>
            </w:pPr>
          </w:p>
        </w:tc>
        <w:tc>
          <w:tcPr>
            <w:tcW w:w="7540" w:type="dxa"/>
            <w:vAlign w:val="bottom"/>
            <w:tcBorders>
              <w:bottom w:val="single" w:sz="8" w:color="BD03F7"/>
            </w:tcBorders>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900" w:type="dxa"/>
            <w:vAlign w:val="bottom"/>
          </w:tcPr>
          <w:p>
            <w:pPr>
              <w:spacing w:after="0"/>
              <w:rPr>
                <w:sz w:val="15"/>
                <w:szCs w:val="15"/>
                <w:color w:val="auto"/>
              </w:rPr>
            </w:pPr>
          </w:p>
        </w:tc>
        <w:tc>
          <w:tcPr>
            <w:tcW w:w="180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5"/>
                <w:szCs w:val="25"/>
                <w:color w:val="auto"/>
              </w:rPr>
              <w:t>Manish Bhatia</w:t>
            </w:r>
          </w:p>
        </w:tc>
        <w:tc>
          <w:tcPr>
            <w:tcW w:w="7540" w:type="dxa"/>
            <w:vAlign w:val="bottom"/>
          </w:tcPr>
          <w:p>
            <w:pPr>
              <w:spacing w:after="0" w:line="181" w:lineRule="exact"/>
              <w:rPr>
                <w:sz w:val="20"/>
                <w:szCs w:val="20"/>
                <w:color w:val="auto"/>
              </w:rPr>
            </w:pPr>
            <w:r>
              <w:rPr>
                <w:rFonts w:ascii="Arial" w:cs="Arial" w:eastAsia="Arial" w:hAnsi="Arial"/>
                <w:sz w:val="16"/>
                <w:szCs w:val="16"/>
                <w:color w:val="auto"/>
              </w:rPr>
              <w:t>Mr. Bhatia, our Executive Vice President of Global Operations, is responsible for Micron’s end-to-end</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1800" w:type="dxa"/>
            <w:vAlign w:val="bottom"/>
            <w:tcBorders>
              <w:bottom w:val="single" w:sz="8" w:color="929292"/>
              <w:right w:val="single" w:sz="8" w:color="929292"/>
            </w:tcBorders>
            <w:vMerge w:val="continue"/>
          </w:tcPr>
          <w:p>
            <w:pPr>
              <w:spacing w:after="0"/>
              <w:rPr>
                <w:sz w:val="15"/>
                <w:szCs w:val="15"/>
                <w:color w:val="auto"/>
              </w:rPr>
            </w:pPr>
          </w:p>
        </w:tc>
        <w:tc>
          <w:tcPr>
            <w:tcW w:w="7540" w:type="dxa"/>
            <w:vAlign w:val="bottom"/>
          </w:tcPr>
          <w:p>
            <w:pPr>
              <w:spacing w:after="0" w:line="175" w:lineRule="exact"/>
              <w:rPr>
                <w:sz w:val="20"/>
                <w:szCs w:val="20"/>
                <w:color w:val="auto"/>
              </w:rPr>
            </w:pPr>
            <w:r>
              <w:rPr>
                <w:rFonts w:ascii="Arial" w:cs="Arial" w:eastAsia="Arial" w:hAnsi="Arial"/>
                <w:sz w:val="16"/>
                <w:szCs w:val="16"/>
                <w:color w:val="auto"/>
              </w:rPr>
              <w:t>operations, delivering industry-leading technology and products at scale. With over 25 years of</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1800" w:type="dxa"/>
            <w:vAlign w:val="bottom"/>
            <w:tcBorders>
              <w:right w:val="single" w:sz="8" w:color="929292"/>
            </w:tcBorders>
          </w:tcPr>
          <w:p>
            <w:pPr>
              <w:ind w:left="20"/>
              <w:spacing w:after="0" w:line="222" w:lineRule="exact"/>
              <w:rPr>
                <w:sz w:val="20"/>
                <w:szCs w:val="20"/>
                <w:color w:val="auto"/>
              </w:rPr>
            </w:pPr>
            <w:r>
              <w:rPr>
                <w:rFonts w:ascii="Arial" w:cs="Arial" w:eastAsia="Arial" w:hAnsi="Arial"/>
                <w:sz w:val="25"/>
                <w:szCs w:val="25"/>
                <w:color w:val="6D6D6D"/>
              </w:rPr>
              <w:t>Executive Vice</w:t>
            </w:r>
          </w:p>
        </w:tc>
        <w:tc>
          <w:tcPr>
            <w:tcW w:w="7540" w:type="dxa"/>
            <w:vAlign w:val="bottom"/>
          </w:tcPr>
          <w:p>
            <w:pPr>
              <w:spacing w:after="0"/>
              <w:rPr>
                <w:sz w:val="20"/>
                <w:szCs w:val="20"/>
                <w:color w:val="auto"/>
              </w:rPr>
            </w:pPr>
            <w:r>
              <w:rPr>
                <w:rFonts w:ascii="Arial" w:cs="Arial" w:eastAsia="Arial" w:hAnsi="Arial"/>
                <w:sz w:val="16"/>
                <w:szCs w:val="16"/>
                <w:color w:val="auto"/>
              </w:rPr>
              <w:t>engineering and operations experience, Mr. Bhatia has a proven track record of driving semiconductor</w:t>
            </w: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1800" w:type="dxa"/>
            <w:vAlign w:val="bottom"/>
            <w:tcBorders>
              <w:right w:val="single" w:sz="8" w:color="929292"/>
            </w:tcBorders>
            <w:vMerge w:val="restart"/>
          </w:tcPr>
          <w:p>
            <w:pPr>
              <w:ind w:left="20"/>
              <w:spacing w:after="0" w:line="282" w:lineRule="exact"/>
              <w:rPr>
                <w:sz w:val="20"/>
                <w:szCs w:val="20"/>
                <w:color w:val="auto"/>
              </w:rPr>
            </w:pPr>
            <w:r>
              <w:rPr>
                <w:rFonts w:ascii="Arial" w:cs="Arial" w:eastAsia="Arial" w:hAnsi="Arial"/>
                <w:sz w:val="25"/>
                <w:szCs w:val="25"/>
                <w:color w:val="6D6D6D"/>
              </w:rPr>
              <w:t>President,</w:t>
            </w:r>
          </w:p>
        </w:tc>
        <w:tc>
          <w:tcPr>
            <w:tcW w:w="7540" w:type="dxa"/>
            <w:vAlign w:val="bottom"/>
          </w:tcPr>
          <w:p>
            <w:pPr>
              <w:spacing w:after="0" w:line="121" w:lineRule="exact"/>
              <w:rPr>
                <w:sz w:val="20"/>
                <w:szCs w:val="20"/>
                <w:color w:val="auto"/>
              </w:rPr>
            </w:pPr>
            <w:r>
              <w:rPr>
                <w:rFonts w:ascii="Arial" w:cs="Arial" w:eastAsia="Arial" w:hAnsi="Arial"/>
                <w:sz w:val="13"/>
                <w:szCs w:val="13"/>
                <w:color w:val="auto"/>
              </w:rPr>
              <w:t>manufacturing excellence with best-in-class supply chain and quality performance. His scope includes</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800" w:type="dxa"/>
            <w:vAlign w:val="bottom"/>
            <w:tcBorders>
              <w:right w:val="single" w:sz="8" w:color="929292"/>
            </w:tcBorders>
            <w:vMerge w:val="continue"/>
          </w:tcPr>
          <w:p>
            <w:pPr>
              <w:spacing w:after="0"/>
              <w:rPr>
                <w:sz w:val="14"/>
                <w:szCs w:val="14"/>
                <w:color w:val="auto"/>
              </w:rPr>
            </w:pPr>
          </w:p>
        </w:tc>
        <w:tc>
          <w:tcPr>
            <w:tcW w:w="7540" w:type="dxa"/>
            <w:vAlign w:val="bottom"/>
          </w:tcPr>
          <w:p>
            <w:pPr>
              <w:spacing w:after="0" w:line="162" w:lineRule="exact"/>
              <w:rPr>
                <w:sz w:val="20"/>
                <w:szCs w:val="20"/>
                <w:color w:val="auto"/>
              </w:rPr>
            </w:pPr>
            <w:r>
              <w:rPr>
                <w:rFonts w:ascii="Arial" w:cs="Arial" w:eastAsia="Arial" w:hAnsi="Arial"/>
                <w:sz w:val="16"/>
                <w:szCs w:val="16"/>
                <w:color w:val="auto"/>
              </w:rPr>
              <w:t>fab and assembly/test manufacturing, packaging &amp; test development, global quality, global supply chain,</w:t>
            </w:r>
          </w:p>
        </w:tc>
        <w:tc>
          <w:tcPr>
            <w:tcW w:w="0" w:type="dxa"/>
            <w:vAlign w:val="bottom"/>
          </w:tcPr>
          <w:p>
            <w:pPr>
              <w:spacing w:after="0"/>
              <w:rPr>
                <w:sz w:val="1"/>
                <w:szCs w:val="1"/>
                <w:color w:val="auto"/>
              </w:rPr>
            </w:pPr>
          </w:p>
        </w:tc>
      </w:tr>
      <w:tr>
        <w:trPr>
          <w:trHeight w:val="217"/>
        </w:trPr>
        <w:tc>
          <w:tcPr>
            <w:tcW w:w="1900" w:type="dxa"/>
            <w:vAlign w:val="bottom"/>
          </w:tcPr>
          <w:p>
            <w:pPr>
              <w:spacing w:after="0"/>
              <w:rPr>
                <w:sz w:val="18"/>
                <w:szCs w:val="18"/>
                <w:color w:val="auto"/>
              </w:rPr>
            </w:pPr>
          </w:p>
        </w:tc>
        <w:tc>
          <w:tcPr>
            <w:tcW w:w="1800" w:type="dxa"/>
            <w:vAlign w:val="bottom"/>
            <w:tcBorders>
              <w:right w:val="single" w:sz="8" w:color="929292"/>
            </w:tcBorders>
          </w:tcPr>
          <w:p>
            <w:pPr>
              <w:ind w:left="20"/>
              <w:spacing w:after="0" w:line="217" w:lineRule="exact"/>
              <w:rPr>
                <w:sz w:val="20"/>
                <w:szCs w:val="20"/>
                <w:color w:val="auto"/>
              </w:rPr>
            </w:pPr>
            <w:r>
              <w:rPr>
                <w:rFonts w:ascii="Arial" w:cs="Arial" w:eastAsia="Arial" w:hAnsi="Arial"/>
                <w:sz w:val="25"/>
                <w:szCs w:val="25"/>
                <w:color w:val="6D6D6D"/>
              </w:rPr>
              <w:t>Global</w:t>
            </w:r>
          </w:p>
        </w:tc>
        <w:tc>
          <w:tcPr>
            <w:tcW w:w="7540" w:type="dxa"/>
            <w:vAlign w:val="bottom"/>
          </w:tcPr>
          <w:p>
            <w:pPr>
              <w:spacing w:after="0"/>
              <w:rPr>
                <w:sz w:val="20"/>
                <w:szCs w:val="20"/>
                <w:color w:val="auto"/>
              </w:rPr>
            </w:pPr>
            <w:r>
              <w:rPr>
                <w:rFonts w:ascii="Arial" w:cs="Arial" w:eastAsia="Arial" w:hAnsi="Arial"/>
                <w:sz w:val="16"/>
                <w:szCs w:val="16"/>
                <w:color w:val="auto"/>
              </w:rPr>
              <w:t>global procurement, global government and public affairs, as well as information technology, smart</w:t>
            </w: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180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5"/>
                <w:szCs w:val="25"/>
                <w:color w:val="6D6D6D"/>
              </w:rPr>
              <w:t>Operations</w:t>
            </w:r>
          </w:p>
        </w:tc>
        <w:tc>
          <w:tcPr>
            <w:tcW w:w="7540" w:type="dxa"/>
            <w:vAlign w:val="bottom"/>
          </w:tcPr>
          <w:p>
            <w:pPr>
              <w:spacing w:after="0" w:line="158" w:lineRule="exact"/>
              <w:rPr>
                <w:sz w:val="20"/>
                <w:szCs w:val="20"/>
                <w:color w:val="auto"/>
              </w:rPr>
            </w:pPr>
            <w:r>
              <w:rPr>
                <w:rFonts w:ascii="Arial" w:cs="Arial" w:eastAsia="Arial" w:hAnsi="Arial"/>
                <w:sz w:val="16"/>
                <w:szCs w:val="16"/>
                <w:color w:val="auto"/>
              </w:rPr>
              <w:t>manufacturing and artificial intelligence. Mr. Bhatia is a board member of the U.S.-Japan Business</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1800" w:type="dxa"/>
            <w:vAlign w:val="bottom"/>
            <w:tcBorders>
              <w:right w:val="single" w:sz="8" w:color="929292"/>
            </w:tcBorders>
            <w:vMerge w:val="continue"/>
          </w:tcPr>
          <w:p>
            <w:pPr>
              <w:spacing w:after="0"/>
              <w:rPr>
                <w:sz w:val="16"/>
                <w:szCs w:val="16"/>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Council and Singapore Economic Development Board and was awarded Singapore’s Public Service</w:t>
            </w:r>
          </w:p>
        </w:tc>
        <w:tc>
          <w:tcPr>
            <w:tcW w:w="0" w:type="dxa"/>
            <w:vAlign w:val="bottom"/>
          </w:tcPr>
          <w:p>
            <w:pPr>
              <w:spacing w:after="0"/>
              <w:rPr>
                <w:sz w:val="1"/>
                <w:szCs w:val="1"/>
                <w:color w:val="auto"/>
              </w:rPr>
            </w:pPr>
          </w:p>
        </w:tc>
      </w:tr>
      <w:tr>
        <w:trPr>
          <w:trHeight w:val="214"/>
        </w:trPr>
        <w:tc>
          <w:tcPr>
            <w:tcW w:w="1900" w:type="dxa"/>
            <w:vAlign w:val="bottom"/>
          </w:tcPr>
          <w:p>
            <w:pPr>
              <w:spacing w:after="0"/>
              <w:rPr>
                <w:sz w:val="18"/>
                <w:szCs w:val="18"/>
                <w:color w:val="auto"/>
              </w:rPr>
            </w:pPr>
          </w:p>
        </w:tc>
        <w:tc>
          <w:tcPr>
            <w:tcW w:w="1800" w:type="dxa"/>
            <w:vAlign w:val="bottom"/>
            <w:tcBorders>
              <w:right w:val="single" w:sz="8" w:color="929292"/>
            </w:tcBorders>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Medal (Friends of Singapore) in 2024 for his contributions to the semiconductor industry.</w:t>
            </w:r>
          </w:p>
        </w:tc>
        <w:tc>
          <w:tcPr>
            <w:tcW w:w="0" w:type="dxa"/>
            <w:vAlign w:val="bottom"/>
          </w:tcPr>
          <w:p>
            <w:pPr>
              <w:spacing w:after="0"/>
              <w:rPr>
                <w:sz w:val="1"/>
                <w:szCs w:val="1"/>
                <w:color w:val="auto"/>
              </w:rPr>
            </w:pPr>
          </w:p>
        </w:tc>
      </w:tr>
      <w:tr>
        <w:trPr>
          <w:trHeight w:val="136"/>
        </w:trPr>
        <w:tc>
          <w:tcPr>
            <w:tcW w:w="1900" w:type="dxa"/>
            <w:vAlign w:val="bottom"/>
            <w:tcBorders>
              <w:bottom w:val="single" w:sz="8" w:color="BD03F7"/>
            </w:tcBorders>
          </w:tcPr>
          <w:p>
            <w:pPr>
              <w:spacing w:after="0"/>
              <w:rPr>
                <w:sz w:val="11"/>
                <w:szCs w:val="11"/>
                <w:color w:val="auto"/>
              </w:rPr>
            </w:pPr>
          </w:p>
        </w:tc>
        <w:tc>
          <w:tcPr>
            <w:tcW w:w="1800" w:type="dxa"/>
            <w:vAlign w:val="bottom"/>
            <w:tcBorders>
              <w:bottom w:val="single" w:sz="8" w:color="BD03F7"/>
              <w:right w:val="single" w:sz="8" w:color="929292"/>
            </w:tcBorders>
          </w:tcPr>
          <w:p>
            <w:pPr>
              <w:spacing w:after="0"/>
              <w:rPr>
                <w:sz w:val="11"/>
                <w:szCs w:val="11"/>
                <w:color w:val="auto"/>
              </w:rPr>
            </w:pPr>
          </w:p>
        </w:tc>
        <w:tc>
          <w:tcPr>
            <w:tcW w:w="7540" w:type="dxa"/>
            <w:vAlign w:val="bottom"/>
            <w:tcBorders>
              <w:bottom w:val="single" w:sz="8" w:color="BD03F7"/>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180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5"/>
                <w:szCs w:val="25"/>
                <w:color w:val="auto"/>
              </w:rPr>
              <w:t>Scott DeBoer</w:t>
            </w:r>
          </w:p>
        </w:tc>
        <w:tc>
          <w:tcPr>
            <w:tcW w:w="7540" w:type="dxa"/>
            <w:vAlign w:val="bottom"/>
          </w:tcPr>
          <w:p>
            <w:pPr>
              <w:spacing w:after="0" w:line="155" w:lineRule="exact"/>
              <w:rPr>
                <w:sz w:val="20"/>
                <w:szCs w:val="20"/>
                <w:color w:val="auto"/>
              </w:rPr>
            </w:pPr>
            <w:r>
              <w:rPr>
                <w:rFonts w:ascii="Arial" w:cs="Arial" w:eastAsia="Arial" w:hAnsi="Arial"/>
                <w:sz w:val="16"/>
                <w:szCs w:val="16"/>
                <w:color w:val="auto"/>
              </w:rPr>
              <w:t>Dr. DeBoer, our Executive Vice President, Chief Technology and Products Officer, has three decades of</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800" w:type="dxa"/>
            <w:vAlign w:val="bottom"/>
            <w:tcBorders>
              <w:right w:val="single" w:sz="8" w:color="929292"/>
            </w:tcBorders>
            <w:vMerge w:val="continue"/>
          </w:tcPr>
          <w:p>
            <w:pPr>
              <w:spacing w:after="0"/>
              <w:rPr>
                <w:sz w:val="12"/>
                <w:szCs w:val="12"/>
                <w:color w:val="auto"/>
              </w:rPr>
            </w:pPr>
          </w:p>
        </w:tc>
        <w:tc>
          <w:tcPr>
            <w:tcW w:w="7540" w:type="dxa"/>
            <w:vAlign w:val="bottom"/>
          </w:tcPr>
          <w:p>
            <w:pPr>
              <w:spacing w:after="0" w:line="142" w:lineRule="exact"/>
              <w:rPr>
                <w:sz w:val="20"/>
                <w:szCs w:val="20"/>
                <w:color w:val="auto"/>
              </w:rPr>
            </w:pPr>
            <w:r>
              <w:rPr>
                <w:rFonts w:ascii="Arial" w:cs="Arial" w:eastAsia="Arial" w:hAnsi="Arial"/>
                <w:sz w:val="16"/>
                <w:szCs w:val="16"/>
                <w:color w:val="auto"/>
              </w:rPr>
              <w:t>experience at Micron. He leads the global teams responsible for delivering core semiconductor</w:t>
            </w: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800" w:type="dxa"/>
            <w:vAlign w:val="bottom"/>
            <w:tcBorders>
              <w:right w:val="single" w:sz="8" w:color="929292"/>
            </w:tcBorders>
            <w:shd w:val="clear" w:color="auto" w:fill="929292"/>
          </w:tcPr>
          <w:p>
            <w:pPr>
              <w:ind w:left="20"/>
              <w:spacing w:after="0" w:line="29" w:lineRule="exact"/>
              <w:rPr>
                <w:sz w:val="20"/>
                <w:szCs w:val="20"/>
                <w:color w:val="auto"/>
              </w:rPr>
            </w:pPr>
            <w:r>
              <w:rPr>
                <w:rFonts w:ascii="Arial" w:cs="Arial" w:eastAsia="Arial" w:hAnsi="Arial"/>
                <w:sz w:val="3"/>
                <w:szCs w:val="3"/>
                <w:color w:val="6D6D6D"/>
              </w:rPr>
              <w:t>Executive Vice</w:t>
            </w:r>
          </w:p>
        </w:tc>
        <w:tc>
          <w:tcPr>
            <w:tcW w:w="7540" w:type="dxa"/>
            <w:vAlign w:val="bottom"/>
          </w:tcPr>
          <w:p>
            <w:pPr>
              <w:spacing w:after="0" w:line="29" w:lineRule="exact"/>
              <w:rPr>
                <w:sz w:val="20"/>
                <w:szCs w:val="20"/>
                <w:color w:val="auto"/>
              </w:rPr>
            </w:pPr>
            <w:r>
              <w:rPr>
                <w:rFonts w:ascii="Arial" w:cs="Arial" w:eastAsia="Arial" w:hAnsi="Arial"/>
                <w:sz w:val="3"/>
                <w:szCs w:val="3"/>
                <w:color w:val="auto"/>
              </w:rPr>
              <w:t>customer base. Dr. DeBoer has earned more than 120 patents, many of which are instrumental in today’s</w:t>
            </w:r>
          </w:p>
        </w:tc>
        <w:tc>
          <w:tcPr>
            <w:tcW w:w="0" w:type="dxa"/>
            <w:vAlign w:val="bottom"/>
          </w:tcPr>
          <w:p>
            <w:pPr>
              <w:spacing w:after="0" w:line="20" w:lineRule="exact"/>
              <w:rPr>
                <w:sz w:val="1"/>
                <w:szCs w:val="1"/>
                <w:color w:val="auto"/>
              </w:rPr>
            </w:pPr>
          </w:p>
        </w:tc>
      </w:tr>
      <w:tr>
        <w:trPr>
          <w:trHeight w:val="214"/>
        </w:trPr>
        <w:tc>
          <w:tcPr>
            <w:tcW w:w="1900" w:type="dxa"/>
            <w:vAlign w:val="bottom"/>
          </w:tcPr>
          <w:p>
            <w:pPr>
              <w:spacing w:after="0"/>
              <w:rPr>
                <w:sz w:val="18"/>
                <w:szCs w:val="18"/>
                <w:color w:val="auto"/>
              </w:rPr>
            </w:pPr>
          </w:p>
        </w:tc>
        <w:tc>
          <w:tcPr>
            <w:tcW w:w="1800" w:type="dxa"/>
            <w:vAlign w:val="bottom"/>
            <w:tcBorders>
              <w:right w:val="single" w:sz="8" w:color="929292"/>
            </w:tcBorders>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technology leadership and enabling industry-leading memory product solutions for Micron’s diverse</w:t>
            </w:r>
          </w:p>
        </w:tc>
        <w:tc>
          <w:tcPr>
            <w:tcW w:w="0" w:type="dxa"/>
            <w:vAlign w:val="bottom"/>
          </w:tcPr>
          <w:p>
            <w:pPr>
              <w:spacing w:after="0"/>
              <w:rPr>
                <w:sz w:val="1"/>
                <w:szCs w:val="1"/>
                <w:color w:val="auto"/>
              </w:rPr>
            </w:pPr>
          </w:p>
        </w:tc>
      </w:tr>
      <w:tr>
        <w:trPr>
          <w:trHeight w:val="254"/>
        </w:trPr>
        <w:tc>
          <w:tcPr>
            <w:tcW w:w="1900" w:type="dxa"/>
            <w:vAlign w:val="bottom"/>
          </w:tcPr>
          <w:p>
            <w:pPr>
              <w:spacing w:after="0"/>
              <w:rPr>
                <w:sz w:val="22"/>
                <w:szCs w:val="22"/>
                <w:color w:val="auto"/>
              </w:rPr>
            </w:pPr>
          </w:p>
        </w:tc>
        <w:tc>
          <w:tcPr>
            <w:tcW w:w="1800" w:type="dxa"/>
            <w:vAlign w:val="bottom"/>
            <w:tcBorders>
              <w:right w:val="single" w:sz="8" w:color="929292"/>
            </w:tcBorders>
          </w:tcPr>
          <w:p>
            <w:pPr>
              <w:ind w:left="20"/>
              <w:spacing w:after="0" w:line="254" w:lineRule="exact"/>
              <w:rPr>
                <w:sz w:val="20"/>
                <w:szCs w:val="20"/>
                <w:color w:val="auto"/>
              </w:rPr>
            </w:pPr>
            <w:r>
              <w:rPr>
                <w:rFonts w:ascii="Arial" w:cs="Arial" w:eastAsia="Arial" w:hAnsi="Arial"/>
                <w:sz w:val="25"/>
                <w:szCs w:val="25"/>
                <w:color w:val="6D6D6D"/>
              </w:rPr>
              <w:t>President,</w:t>
            </w:r>
          </w:p>
        </w:tc>
        <w:tc>
          <w:tcPr>
            <w:tcW w:w="7540" w:type="dxa"/>
            <w:vAlign w:val="bottom"/>
          </w:tcPr>
          <w:p>
            <w:pPr>
              <w:spacing w:after="0"/>
              <w:rPr>
                <w:sz w:val="20"/>
                <w:szCs w:val="20"/>
                <w:color w:val="auto"/>
              </w:rPr>
            </w:pPr>
            <w:r>
              <w:rPr>
                <w:rFonts w:ascii="Arial" w:cs="Arial" w:eastAsia="Arial" w:hAnsi="Arial"/>
                <w:sz w:val="16"/>
                <w:szCs w:val="16"/>
                <w:color w:val="auto"/>
              </w:rPr>
              <w:t>DRAM processes and process integration. Dr. DeBoer currently serves as the Chair of the Industrial</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80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5"/>
                <w:szCs w:val="25"/>
                <w:color w:val="6D6D6D"/>
              </w:rPr>
              <w:t>Chief</w:t>
            </w:r>
          </w:p>
        </w:tc>
        <w:tc>
          <w:tcPr>
            <w:tcW w:w="7540" w:type="dxa"/>
            <w:vAlign w:val="bottom"/>
          </w:tcPr>
          <w:p>
            <w:pPr>
              <w:spacing w:after="0" w:line="161" w:lineRule="exact"/>
              <w:rPr>
                <w:sz w:val="20"/>
                <w:szCs w:val="20"/>
                <w:color w:val="auto"/>
              </w:rPr>
            </w:pPr>
            <w:r>
              <w:rPr>
                <w:rFonts w:ascii="Arial" w:cs="Arial" w:eastAsia="Arial" w:hAnsi="Arial"/>
                <w:sz w:val="16"/>
                <w:szCs w:val="16"/>
                <w:color w:val="auto"/>
              </w:rPr>
              <w:t>Advisory Committee for the U. S. Department of Commerce. He also serves on the board of directors of</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800" w:type="dxa"/>
            <w:vAlign w:val="bottom"/>
            <w:tcBorders>
              <w:right w:val="single" w:sz="8" w:color="929292"/>
            </w:tcBorders>
            <w:vMerge w:val="continue"/>
          </w:tcPr>
          <w:p>
            <w:pPr>
              <w:spacing w:after="0"/>
              <w:rPr>
                <w:sz w:val="14"/>
                <w:szCs w:val="14"/>
                <w:color w:val="auto"/>
              </w:rPr>
            </w:pPr>
          </w:p>
        </w:tc>
        <w:tc>
          <w:tcPr>
            <w:tcW w:w="7540" w:type="dxa"/>
            <w:vAlign w:val="bottom"/>
          </w:tcPr>
          <w:p>
            <w:pPr>
              <w:spacing w:after="0" w:line="161" w:lineRule="exact"/>
              <w:rPr>
                <w:sz w:val="20"/>
                <w:szCs w:val="20"/>
                <w:color w:val="auto"/>
              </w:rPr>
            </w:pPr>
            <w:r>
              <w:rPr>
                <w:rFonts w:ascii="Arial" w:cs="Arial" w:eastAsia="Arial" w:hAnsi="Arial"/>
                <w:sz w:val="16"/>
                <w:szCs w:val="16"/>
                <w:color w:val="auto"/>
              </w:rPr>
              <w:t>Global Semiconductor Alliance, Semiconductor Research Corp. (SRC), and Idaho Business for</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800" w:type="dxa"/>
            <w:vAlign w:val="bottom"/>
            <w:tcBorders>
              <w:right w:val="single" w:sz="8" w:color="929292"/>
            </w:tcBorders>
          </w:tcPr>
          <w:p>
            <w:pPr>
              <w:ind w:left="20"/>
              <w:spacing w:after="0" w:line="175" w:lineRule="exact"/>
              <w:rPr>
                <w:sz w:val="20"/>
                <w:szCs w:val="20"/>
                <w:color w:val="auto"/>
              </w:rPr>
            </w:pPr>
            <w:r>
              <w:rPr>
                <w:rFonts w:ascii="Arial" w:cs="Arial" w:eastAsia="Arial" w:hAnsi="Arial"/>
                <w:sz w:val="20"/>
                <w:szCs w:val="20"/>
                <w:color w:val="6D6D6D"/>
              </w:rPr>
              <w:t>Technology</w:t>
            </w:r>
          </w:p>
        </w:tc>
        <w:tc>
          <w:tcPr>
            <w:tcW w:w="7540" w:type="dxa"/>
            <w:vAlign w:val="bottom"/>
          </w:tcPr>
          <w:p>
            <w:pPr>
              <w:spacing w:after="0" w:line="175" w:lineRule="exact"/>
              <w:rPr>
                <w:sz w:val="20"/>
                <w:szCs w:val="20"/>
                <w:color w:val="auto"/>
              </w:rPr>
            </w:pPr>
            <w:r>
              <w:rPr>
                <w:rFonts w:ascii="Arial" w:cs="Arial" w:eastAsia="Arial" w:hAnsi="Arial"/>
                <w:sz w:val="16"/>
                <w:szCs w:val="16"/>
                <w:color w:val="auto"/>
              </w:rPr>
              <w:t>Education, as well as on the governing council of SRC’s JUMP and nCORE long-term research</w:t>
            </w: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2"/>
                <w:szCs w:val="22"/>
                <w:color w:val="auto"/>
              </w:rPr>
            </w:pPr>
          </w:p>
        </w:tc>
        <w:tc>
          <w:tcPr>
            <w:tcW w:w="1800" w:type="dxa"/>
            <w:vAlign w:val="bottom"/>
            <w:tcBorders>
              <w:right w:val="single" w:sz="8" w:color="929292"/>
            </w:tcBorders>
          </w:tcPr>
          <w:p>
            <w:pPr>
              <w:ind w:left="20"/>
              <w:spacing w:after="0" w:line="259" w:lineRule="exact"/>
              <w:rPr>
                <w:sz w:val="20"/>
                <w:szCs w:val="20"/>
                <w:color w:val="auto"/>
              </w:rPr>
            </w:pPr>
            <w:r>
              <w:rPr>
                <w:rFonts w:ascii="Arial" w:cs="Arial" w:eastAsia="Arial" w:hAnsi="Arial"/>
                <w:sz w:val="25"/>
                <w:szCs w:val="25"/>
                <w:color w:val="6D6D6D"/>
              </w:rPr>
              <w:t>and Products</w:t>
            </w:r>
          </w:p>
        </w:tc>
        <w:tc>
          <w:tcPr>
            <w:tcW w:w="7540" w:type="dxa"/>
            <w:vAlign w:val="bottom"/>
          </w:tcPr>
          <w:p>
            <w:pPr>
              <w:spacing w:after="0"/>
              <w:rPr>
                <w:sz w:val="20"/>
                <w:szCs w:val="20"/>
                <w:color w:val="auto"/>
              </w:rPr>
            </w:pPr>
            <w:r>
              <w:rPr>
                <w:rFonts w:ascii="Arial" w:cs="Arial" w:eastAsia="Arial" w:hAnsi="Arial"/>
                <w:sz w:val="16"/>
                <w:szCs w:val="16"/>
                <w:color w:val="auto"/>
              </w:rPr>
              <w:t>initiatives.</w:t>
            </w:r>
          </w:p>
        </w:tc>
        <w:tc>
          <w:tcPr>
            <w:tcW w:w="0" w:type="dxa"/>
            <w:vAlign w:val="bottom"/>
          </w:tcPr>
          <w:p>
            <w:pPr>
              <w:spacing w:after="0"/>
              <w:rPr>
                <w:sz w:val="1"/>
                <w:szCs w:val="1"/>
                <w:color w:val="auto"/>
              </w:rPr>
            </w:pPr>
          </w:p>
        </w:tc>
      </w:tr>
      <w:tr>
        <w:trPr>
          <w:trHeight w:val="331"/>
        </w:trPr>
        <w:tc>
          <w:tcPr>
            <w:tcW w:w="1900" w:type="dxa"/>
            <w:vAlign w:val="bottom"/>
          </w:tcPr>
          <w:p>
            <w:pPr>
              <w:spacing w:after="0"/>
              <w:rPr>
                <w:sz w:val="24"/>
                <w:szCs w:val="24"/>
                <w:color w:val="auto"/>
              </w:rPr>
            </w:pPr>
          </w:p>
        </w:tc>
        <w:tc>
          <w:tcPr>
            <w:tcW w:w="1800" w:type="dxa"/>
            <w:vAlign w:val="bottom"/>
            <w:tcBorders>
              <w:right w:val="single" w:sz="8" w:color="929292"/>
            </w:tcBorders>
          </w:tcPr>
          <w:p>
            <w:pPr>
              <w:ind w:left="20"/>
              <w:spacing w:after="0"/>
              <w:rPr>
                <w:sz w:val="20"/>
                <w:szCs w:val="20"/>
                <w:color w:val="auto"/>
              </w:rPr>
            </w:pPr>
            <w:r>
              <w:rPr>
                <w:rFonts w:ascii="Arial" w:cs="Arial" w:eastAsia="Arial" w:hAnsi="Arial"/>
                <w:sz w:val="25"/>
                <w:szCs w:val="25"/>
                <w:color w:val="6D6D6D"/>
              </w:rPr>
              <w:t>Officer</w:t>
            </w:r>
          </w:p>
        </w:tc>
        <w:tc>
          <w:tcPr>
            <w:tcW w:w="7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900" w:type="dxa"/>
            <w:vAlign w:val="bottom"/>
            <w:tcBorders>
              <w:bottom w:val="single" w:sz="8" w:color="BD03F7"/>
            </w:tcBorders>
          </w:tcPr>
          <w:p>
            <w:pPr>
              <w:spacing w:after="0"/>
              <w:rPr>
                <w:sz w:val="22"/>
                <w:szCs w:val="22"/>
                <w:color w:val="auto"/>
              </w:rPr>
            </w:pPr>
          </w:p>
        </w:tc>
        <w:tc>
          <w:tcPr>
            <w:tcW w:w="1800" w:type="dxa"/>
            <w:vAlign w:val="bottom"/>
            <w:tcBorders>
              <w:bottom w:val="single" w:sz="8" w:color="BD03F7"/>
              <w:right w:val="single" w:sz="8" w:color="929292"/>
            </w:tcBorders>
          </w:tcPr>
          <w:p>
            <w:pPr>
              <w:spacing w:after="0"/>
              <w:rPr>
                <w:sz w:val="22"/>
                <w:szCs w:val="22"/>
                <w:color w:val="auto"/>
              </w:rPr>
            </w:pPr>
          </w:p>
        </w:tc>
        <w:tc>
          <w:tcPr>
            <w:tcW w:w="7540" w:type="dxa"/>
            <w:vAlign w:val="bottom"/>
            <w:tcBorders>
              <w:bottom w:val="single" w:sz="8" w:color="BD03F7"/>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1800" w:type="dxa"/>
            <w:vAlign w:val="bottom"/>
            <w:tcBorders>
              <w:right w:val="single" w:sz="8" w:color="929292"/>
            </w:tcBorders>
          </w:tcPr>
          <w:p>
            <w:pPr>
              <w:ind w:left="20"/>
              <w:spacing w:after="0" w:line="222" w:lineRule="exact"/>
              <w:rPr>
                <w:sz w:val="20"/>
                <w:szCs w:val="20"/>
                <w:color w:val="auto"/>
              </w:rPr>
            </w:pPr>
            <w:r>
              <w:rPr>
                <w:rFonts w:ascii="Arial" w:cs="Arial" w:eastAsia="Arial" w:hAnsi="Arial"/>
                <w:sz w:val="25"/>
                <w:szCs w:val="25"/>
                <w:color w:val="auto"/>
              </w:rPr>
              <w:t>Sumit Sadana</w:t>
            </w:r>
          </w:p>
        </w:tc>
        <w:tc>
          <w:tcPr>
            <w:tcW w:w="7540" w:type="dxa"/>
            <w:vAlign w:val="bottom"/>
          </w:tcPr>
          <w:p>
            <w:pPr>
              <w:spacing w:after="0"/>
              <w:rPr>
                <w:sz w:val="20"/>
                <w:szCs w:val="20"/>
                <w:color w:val="auto"/>
              </w:rPr>
            </w:pPr>
            <w:r>
              <w:rPr>
                <w:rFonts w:ascii="Arial" w:cs="Arial" w:eastAsia="Arial" w:hAnsi="Arial"/>
                <w:sz w:val="16"/>
                <w:szCs w:val="16"/>
                <w:color w:val="auto"/>
              </w:rPr>
              <w:t>Mr. Sadana, our Executive Vice President and Chief Business Officer, has more than 30 years of</w:t>
            </w:r>
          </w:p>
        </w:tc>
        <w:tc>
          <w:tcPr>
            <w:tcW w:w="0" w:type="dxa"/>
            <w:vAlign w:val="bottom"/>
          </w:tcPr>
          <w:p>
            <w:pPr>
              <w:spacing w:after="0"/>
              <w:rPr>
                <w:sz w:val="1"/>
                <w:szCs w:val="1"/>
                <w:color w:val="auto"/>
              </w:rPr>
            </w:pPr>
          </w:p>
        </w:tc>
      </w:tr>
      <w:tr>
        <w:trPr>
          <w:trHeight w:val="81"/>
        </w:trPr>
        <w:tc>
          <w:tcPr>
            <w:tcW w:w="1900" w:type="dxa"/>
            <w:vAlign w:val="bottom"/>
          </w:tcPr>
          <w:p>
            <w:pPr>
              <w:spacing w:after="0"/>
              <w:rPr>
                <w:sz w:val="7"/>
                <w:szCs w:val="7"/>
                <w:color w:val="auto"/>
              </w:rPr>
            </w:pPr>
          </w:p>
        </w:tc>
        <w:tc>
          <w:tcPr>
            <w:tcW w:w="1800" w:type="dxa"/>
            <w:vAlign w:val="bottom"/>
            <w:tcBorders>
              <w:bottom w:val="single" w:sz="8" w:color="929292"/>
              <w:right w:val="single" w:sz="8" w:color="929292"/>
            </w:tcBorders>
          </w:tcPr>
          <w:p>
            <w:pPr>
              <w:spacing w:after="0"/>
              <w:rPr>
                <w:sz w:val="7"/>
                <w:szCs w:val="7"/>
                <w:color w:val="auto"/>
              </w:rPr>
            </w:pPr>
          </w:p>
        </w:tc>
        <w:tc>
          <w:tcPr>
            <w:tcW w:w="7540" w:type="dxa"/>
            <w:vAlign w:val="bottom"/>
            <w:vMerge w:val="restart"/>
          </w:tcPr>
          <w:p>
            <w:pPr>
              <w:spacing w:after="0" w:line="134" w:lineRule="exact"/>
              <w:rPr>
                <w:sz w:val="20"/>
                <w:szCs w:val="20"/>
                <w:color w:val="auto"/>
              </w:rPr>
            </w:pPr>
            <w:r>
              <w:rPr>
                <w:rFonts w:ascii="Arial" w:cs="Arial" w:eastAsia="Arial" w:hAnsi="Arial"/>
                <w:sz w:val="15"/>
                <w:szCs w:val="15"/>
                <w:color w:val="auto"/>
              </w:rPr>
              <w:t>experience in the technology industry. He is responsible for the Company’s P&amp;L and leads all the</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800" w:type="dxa"/>
            <w:vAlign w:val="bottom"/>
            <w:tcBorders>
              <w:right w:val="single" w:sz="8" w:color="929292"/>
            </w:tcBorders>
            <w:vMerge w:val="restart"/>
          </w:tcPr>
          <w:p>
            <w:pPr>
              <w:ind w:left="20"/>
              <w:spacing w:after="0" w:line="222" w:lineRule="exact"/>
              <w:rPr>
                <w:sz w:val="20"/>
                <w:szCs w:val="20"/>
                <w:color w:val="auto"/>
              </w:rPr>
            </w:pPr>
            <w:r>
              <w:rPr>
                <w:rFonts w:ascii="Arial" w:cs="Arial" w:eastAsia="Arial" w:hAnsi="Arial"/>
                <w:sz w:val="25"/>
                <w:szCs w:val="25"/>
                <w:color w:val="6D6D6D"/>
              </w:rPr>
              <w:t>Executive Vice</w:t>
            </w:r>
          </w:p>
        </w:tc>
        <w:tc>
          <w:tcPr>
            <w:tcW w:w="7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00" w:type="dxa"/>
            <w:vAlign w:val="bottom"/>
          </w:tcPr>
          <w:p>
            <w:pPr>
              <w:spacing w:after="0"/>
              <w:rPr>
                <w:sz w:val="16"/>
                <w:szCs w:val="16"/>
                <w:color w:val="auto"/>
              </w:rPr>
            </w:pPr>
          </w:p>
        </w:tc>
        <w:tc>
          <w:tcPr>
            <w:tcW w:w="1800" w:type="dxa"/>
            <w:vAlign w:val="bottom"/>
            <w:tcBorders>
              <w:right w:val="single" w:sz="8" w:color="929292"/>
            </w:tcBorders>
            <w:vMerge w:val="continue"/>
          </w:tcPr>
          <w:p>
            <w:pPr>
              <w:spacing w:after="0"/>
              <w:rPr>
                <w:sz w:val="16"/>
                <w:szCs w:val="16"/>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Company’s business units, strategy and corporate business development, global communications and</w:t>
            </w: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800" w:type="dxa"/>
            <w:vAlign w:val="bottom"/>
            <w:tcBorders>
              <w:right w:val="single" w:sz="8" w:color="929292"/>
            </w:tcBorders>
            <w:vMerge w:val="restart"/>
          </w:tcPr>
          <w:p>
            <w:pPr>
              <w:ind w:left="20"/>
              <w:spacing w:after="0"/>
              <w:rPr>
                <w:sz w:val="20"/>
                <w:szCs w:val="20"/>
                <w:color w:val="auto"/>
              </w:rPr>
            </w:pPr>
            <w:r>
              <w:rPr>
                <w:rFonts w:ascii="Arial" w:cs="Arial" w:eastAsia="Arial" w:hAnsi="Arial"/>
                <w:sz w:val="25"/>
                <w:szCs w:val="25"/>
                <w:color w:val="6D6D6D"/>
              </w:rPr>
              <w:t>President and</w:t>
            </w:r>
          </w:p>
        </w:tc>
        <w:tc>
          <w:tcPr>
            <w:tcW w:w="7540" w:type="dxa"/>
            <w:vAlign w:val="bottom"/>
          </w:tcPr>
          <w:p>
            <w:pPr>
              <w:spacing w:after="0" w:line="174" w:lineRule="exact"/>
              <w:rPr>
                <w:sz w:val="20"/>
                <w:szCs w:val="20"/>
                <w:color w:val="auto"/>
              </w:rPr>
            </w:pPr>
            <w:r>
              <w:rPr>
                <w:rFonts w:ascii="Arial" w:cs="Arial" w:eastAsia="Arial" w:hAnsi="Arial"/>
                <w:sz w:val="16"/>
                <w:szCs w:val="16"/>
                <w:color w:val="auto"/>
              </w:rPr>
              <w:t>marketing, as well as Micron Ventures—the Company’s venture capital investment arm. Throughout his</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800" w:type="dxa"/>
            <w:vAlign w:val="bottom"/>
            <w:tcBorders>
              <w:right w:val="single" w:sz="8" w:color="929292"/>
            </w:tcBorders>
            <w:vMerge w:val="continue"/>
          </w:tcPr>
          <w:p>
            <w:pPr>
              <w:spacing w:after="0"/>
              <w:rPr>
                <w:sz w:val="14"/>
                <w:szCs w:val="14"/>
                <w:color w:val="auto"/>
              </w:rPr>
            </w:pPr>
          </w:p>
        </w:tc>
        <w:tc>
          <w:tcPr>
            <w:tcW w:w="7540" w:type="dxa"/>
            <w:vAlign w:val="bottom"/>
          </w:tcPr>
          <w:p>
            <w:pPr>
              <w:spacing w:after="0" w:line="162" w:lineRule="exact"/>
              <w:rPr>
                <w:sz w:val="20"/>
                <w:szCs w:val="20"/>
                <w:color w:val="auto"/>
              </w:rPr>
            </w:pPr>
            <w:r>
              <w:rPr>
                <w:rFonts w:ascii="Arial" w:cs="Arial" w:eastAsia="Arial" w:hAnsi="Arial"/>
                <w:sz w:val="16"/>
                <w:szCs w:val="16"/>
                <w:color w:val="auto"/>
              </w:rPr>
              <w:t>career, Mr. Sadana has held engineering and business roles spanning chip design, software</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1800" w:type="dxa"/>
            <w:vAlign w:val="bottom"/>
            <w:tcBorders>
              <w:right w:val="single" w:sz="8" w:color="929292"/>
            </w:tcBorders>
          </w:tcPr>
          <w:p>
            <w:pPr>
              <w:ind w:left="20"/>
              <w:spacing w:after="0" w:line="188" w:lineRule="exact"/>
              <w:rPr>
                <w:sz w:val="20"/>
                <w:szCs w:val="20"/>
                <w:color w:val="auto"/>
              </w:rPr>
            </w:pPr>
            <w:r>
              <w:rPr>
                <w:rFonts w:ascii="Arial" w:cs="Arial" w:eastAsia="Arial" w:hAnsi="Arial"/>
                <w:sz w:val="21"/>
                <w:szCs w:val="21"/>
                <w:color w:val="6D6D6D"/>
              </w:rPr>
              <w:t>Chief Business</w:t>
            </w:r>
          </w:p>
        </w:tc>
        <w:tc>
          <w:tcPr>
            <w:tcW w:w="7540" w:type="dxa"/>
            <w:vAlign w:val="bottom"/>
          </w:tcPr>
          <w:p>
            <w:pPr>
              <w:spacing w:after="0"/>
              <w:rPr>
                <w:sz w:val="20"/>
                <w:szCs w:val="20"/>
                <w:color w:val="auto"/>
              </w:rPr>
            </w:pPr>
            <w:r>
              <w:rPr>
                <w:rFonts w:ascii="Arial" w:cs="Arial" w:eastAsia="Arial" w:hAnsi="Arial"/>
                <w:sz w:val="16"/>
                <w:szCs w:val="16"/>
                <w:color w:val="auto"/>
              </w:rPr>
              <w:t>development, operations management, strategy development and intellectual property licensing. He has</w:t>
            </w: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800" w:type="dxa"/>
            <w:vAlign w:val="bottom"/>
            <w:tcBorders>
              <w:right w:val="single" w:sz="8" w:color="929292"/>
            </w:tcBorders>
          </w:tcPr>
          <w:p>
            <w:pPr>
              <w:ind w:left="20"/>
              <w:spacing w:after="0" w:line="228" w:lineRule="exact"/>
              <w:rPr>
                <w:sz w:val="20"/>
                <w:szCs w:val="20"/>
                <w:color w:val="auto"/>
              </w:rPr>
            </w:pPr>
            <w:r>
              <w:rPr>
                <w:rFonts w:ascii="Arial" w:cs="Arial" w:eastAsia="Arial" w:hAnsi="Arial"/>
                <w:sz w:val="25"/>
                <w:szCs w:val="25"/>
                <w:color w:val="6D6D6D"/>
              </w:rPr>
              <w:t>Officer</w:t>
            </w:r>
          </w:p>
        </w:tc>
        <w:tc>
          <w:tcPr>
            <w:tcW w:w="7540" w:type="dxa"/>
            <w:vAlign w:val="bottom"/>
          </w:tcPr>
          <w:p>
            <w:pPr>
              <w:spacing w:after="0"/>
              <w:rPr>
                <w:sz w:val="20"/>
                <w:szCs w:val="20"/>
                <w:color w:val="auto"/>
              </w:rPr>
            </w:pPr>
            <w:r>
              <w:rPr>
                <w:rFonts w:ascii="Arial" w:cs="Arial" w:eastAsia="Arial" w:hAnsi="Arial"/>
                <w:sz w:val="16"/>
                <w:szCs w:val="16"/>
                <w:color w:val="auto"/>
              </w:rPr>
              <w:t>also served in executive positions such as Chief Technology Officer, Chief Financial Officer and General</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1800" w:type="dxa"/>
            <w:vAlign w:val="bottom"/>
            <w:tcBorders>
              <w:right w:val="single" w:sz="8" w:color="929292"/>
            </w:tcBorders>
          </w:tcPr>
          <w:p>
            <w:pPr>
              <w:spacing w:after="0"/>
              <w:rPr>
                <w:sz w:val="12"/>
                <w:szCs w:val="12"/>
                <w:color w:val="auto"/>
              </w:rPr>
            </w:pPr>
          </w:p>
        </w:tc>
        <w:tc>
          <w:tcPr>
            <w:tcW w:w="7540" w:type="dxa"/>
            <w:vAlign w:val="bottom"/>
          </w:tcPr>
          <w:p>
            <w:pPr>
              <w:spacing w:after="0" w:line="147" w:lineRule="exact"/>
              <w:rPr>
                <w:sz w:val="20"/>
                <w:szCs w:val="20"/>
                <w:color w:val="auto"/>
              </w:rPr>
            </w:pPr>
            <w:r>
              <w:rPr>
                <w:rFonts w:ascii="Arial" w:cs="Arial" w:eastAsia="Arial" w:hAnsi="Arial"/>
                <w:sz w:val="16"/>
                <w:szCs w:val="16"/>
                <w:color w:val="auto"/>
              </w:rPr>
              <w:t>Manager. Notably, he has overseen approximately $40 billion of M&amp;A transactions. Additionally, he has</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800" w:type="dxa"/>
            <w:vAlign w:val="bottom"/>
            <w:tcBorders>
              <w:right w:val="single" w:sz="8" w:color="929292"/>
            </w:tcBorders>
          </w:tcPr>
          <w:p>
            <w:pPr>
              <w:spacing w:after="0"/>
              <w:rPr>
                <w:sz w:val="15"/>
                <w:szCs w:val="15"/>
                <w:color w:val="auto"/>
              </w:rPr>
            </w:pPr>
          </w:p>
        </w:tc>
        <w:tc>
          <w:tcPr>
            <w:tcW w:w="7540" w:type="dxa"/>
            <w:vAlign w:val="bottom"/>
          </w:tcPr>
          <w:p>
            <w:pPr>
              <w:spacing w:after="0" w:line="175" w:lineRule="exact"/>
              <w:rPr>
                <w:sz w:val="20"/>
                <w:szCs w:val="20"/>
                <w:color w:val="auto"/>
              </w:rPr>
            </w:pPr>
            <w:r>
              <w:rPr>
                <w:rFonts w:ascii="Arial" w:cs="Arial" w:eastAsia="Arial" w:hAnsi="Arial"/>
                <w:sz w:val="16"/>
                <w:szCs w:val="16"/>
                <w:color w:val="auto"/>
              </w:rPr>
              <w:t>served on the board of directors of Silicon Labs, an industry leader in IoT, since 2015 and was appointed</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1800" w:type="dxa"/>
            <w:vAlign w:val="bottom"/>
            <w:tcBorders>
              <w:right w:val="single" w:sz="8" w:color="929292"/>
            </w:tcBorders>
          </w:tcPr>
          <w:p>
            <w:pPr>
              <w:spacing w:after="0"/>
              <w:rPr>
                <w:sz w:val="16"/>
                <w:szCs w:val="16"/>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lead independent director in 2022. In 2025, he was recognized as a Distinguished Alumnus by the Indian</w:t>
            </w:r>
          </w:p>
        </w:tc>
        <w:tc>
          <w:tcPr>
            <w:tcW w:w="0" w:type="dxa"/>
            <w:vAlign w:val="bottom"/>
          </w:tcPr>
          <w:p>
            <w:pPr>
              <w:spacing w:after="0"/>
              <w:rPr>
                <w:sz w:val="1"/>
                <w:szCs w:val="1"/>
                <w:color w:val="auto"/>
              </w:rPr>
            </w:pPr>
          </w:p>
        </w:tc>
      </w:tr>
      <w:tr>
        <w:trPr>
          <w:trHeight w:val="223"/>
        </w:trPr>
        <w:tc>
          <w:tcPr>
            <w:tcW w:w="1900" w:type="dxa"/>
            <w:vAlign w:val="bottom"/>
            <w:tcBorders>
              <w:bottom w:val="single" w:sz="8" w:color="BD03F7"/>
            </w:tcBorders>
          </w:tcPr>
          <w:p>
            <w:pPr>
              <w:spacing w:after="0"/>
              <w:rPr>
                <w:sz w:val="19"/>
                <w:szCs w:val="19"/>
                <w:color w:val="auto"/>
              </w:rPr>
            </w:pPr>
          </w:p>
        </w:tc>
        <w:tc>
          <w:tcPr>
            <w:tcW w:w="1800" w:type="dxa"/>
            <w:vAlign w:val="bottom"/>
            <w:tcBorders>
              <w:bottom w:val="single" w:sz="8" w:color="BD03F7"/>
              <w:right w:val="single" w:sz="8" w:color="929292"/>
            </w:tcBorders>
          </w:tcPr>
          <w:p>
            <w:pPr>
              <w:spacing w:after="0"/>
              <w:rPr>
                <w:sz w:val="19"/>
                <w:szCs w:val="19"/>
                <w:color w:val="auto"/>
              </w:rPr>
            </w:pPr>
          </w:p>
        </w:tc>
        <w:tc>
          <w:tcPr>
            <w:tcW w:w="7540" w:type="dxa"/>
            <w:vAlign w:val="bottom"/>
            <w:tcBorders>
              <w:bottom w:val="single" w:sz="8" w:color="BD03F7"/>
            </w:tcBorders>
          </w:tcPr>
          <w:p>
            <w:pPr>
              <w:spacing w:after="0"/>
              <w:rPr>
                <w:sz w:val="20"/>
                <w:szCs w:val="20"/>
                <w:color w:val="auto"/>
              </w:rPr>
            </w:pPr>
            <w:r>
              <w:rPr>
                <w:rFonts w:ascii="Arial" w:cs="Arial" w:eastAsia="Arial" w:hAnsi="Arial"/>
                <w:sz w:val="16"/>
                <w:szCs w:val="16"/>
                <w:color w:val="auto"/>
              </w:rPr>
              <w:t>Institute of Technology, Kharagpur.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-6338570</wp:posOffset>
            </wp:positionV>
            <wp:extent cx="963930" cy="62115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63930" cy="62115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discussion and elsewhere in this Proxy Statement, the foregoing individuals are referred to as our Named Executive Officers.</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Focus on Top Talent</w:t>
      </w:r>
    </w:p>
    <w:p>
      <w:pPr>
        <w:spacing w:after="0" w:line="252"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The Compensation Committee places a strong emphasis on developing, motivating, retaining, and attracting top talent. Such talent is key to the execution of our business strategy and the growth of our business.</w:t>
      </w:r>
    </w:p>
    <w:p>
      <w:pPr>
        <w:spacing w:after="0" w:line="180" w:lineRule="exact"/>
        <w:rPr>
          <w:sz w:val="20"/>
          <w:szCs w:val="20"/>
          <w:color w:val="auto"/>
        </w:rPr>
      </w:pPr>
    </w:p>
    <w:p>
      <w:pPr>
        <w:ind w:right="920"/>
        <w:spacing w:after="0" w:line="285" w:lineRule="auto"/>
        <w:rPr>
          <w:sz w:val="20"/>
          <w:szCs w:val="20"/>
          <w:color w:val="auto"/>
        </w:rPr>
      </w:pPr>
      <w:r>
        <w:rPr>
          <w:rFonts w:ascii="Arial" w:cs="Arial" w:eastAsia="Arial" w:hAnsi="Arial"/>
          <w:sz w:val="18"/>
          <w:szCs w:val="18"/>
          <w:color w:val="auto"/>
        </w:rPr>
        <w:t>As highlighted above, our Named Executive Officers have been recognized by business, higher education and community-focused organizations for their exceptional leadership, knowledge and contributions to the semiconductor industry.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29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AND BUSINESS HIGHLIGHTS</w:t>
      </w:r>
    </w:p>
    <w:p>
      <w:pPr>
        <w:spacing w:after="0" w:line="238"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In Fiscal 2025, the Micron team delivered record revenue, up nearly 50%, and expanded gross margins by 17 percentage points from Fiscal 2024. The Micron team delivered the following financial results in Fiscal 2025:</w:t>
      </w:r>
    </w:p>
    <w:p>
      <w:pPr>
        <w:spacing w:after="0" w:line="359"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Fiscal 2025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-57785</wp:posOffset>
            </wp:positionV>
            <wp:extent cx="6398895" cy="26365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98895" cy="26365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930" w:type="dxa"/>
        <w:tblCellMar>
          <w:top w:w="0" w:type="dxa"/>
          <w:left w:w="0" w:type="dxa"/>
          <w:bottom w:w="0" w:type="dxa"/>
          <w:right w:w="0" w:type="dxa"/>
        </w:tblCellMar>
      </w:tblPr>
      <w:tr>
        <w:trPr>
          <w:trHeight w:val="107"/>
        </w:trPr>
        <w:tc>
          <w:tcPr>
            <w:tcW w:w="1860" w:type="dxa"/>
            <w:vAlign w:val="bottom"/>
            <w:tcBorders>
              <w:left w:val="single" w:sz="8" w:color="BD03F7"/>
            </w:tcBorders>
            <w:shd w:val="clear" w:color="auto" w:fill="F9F9F9"/>
          </w:tcPr>
          <w:p>
            <w:pPr>
              <w:spacing w:after="0"/>
              <w:rPr>
                <w:sz w:val="9"/>
                <w:szCs w:val="9"/>
                <w:color w:val="auto"/>
              </w:rPr>
            </w:pPr>
          </w:p>
        </w:tc>
        <w:tc>
          <w:tcPr>
            <w:tcW w:w="2840" w:type="dxa"/>
            <w:vAlign w:val="bottom"/>
            <w:vMerge w:val="restart"/>
            <w:shd w:val="clear" w:color="auto" w:fill="F9F9F9"/>
          </w:tcPr>
          <w:p>
            <w:pPr>
              <w:ind w:left="40"/>
              <w:spacing w:after="0"/>
              <w:rPr>
                <w:sz w:val="20"/>
                <w:szCs w:val="20"/>
                <w:color w:val="auto"/>
              </w:rPr>
            </w:pPr>
            <w:r>
              <w:rPr>
                <w:rFonts w:ascii="Arial" w:cs="Arial" w:eastAsia="Arial" w:hAnsi="Arial"/>
                <w:sz w:val="21"/>
                <w:szCs w:val="21"/>
                <w:b w:val="1"/>
                <w:bCs w:val="1"/>
                <w:color w:val="auto"/>
              </w:rPr>
              <w:t>Revenue</w:t>
            </w:r>
          </w:p>
        </w:tc>
        <w:tc>
          <w:tcPr>
            <w:tcW w:w="260" w:type="dxa"/>
            <w:vAlign w:val="bottom"/>
            <w:tcBorders>
              <w:right w:val="single" w:sz="8" w:color="F9F9F9"/>
            </w:tcBorders>
          </w:tcPr>
          <w:p>
            <w:pPr>
              <w:spacing w:after="0"/>
              <w:rPr>
                <w:sz w:val="9"/>
                <w:szCs w:val="9"/>
                <w:color w:val="auto"/>
              </w:rPr>
            </w:pPr>
          </w:p>
        </w:tc>
        <w:tc>
          <w:tcPr>
            <w:tcW w:w="4440" w:type="dxa"/>
            <w:vAlign w:val="bottom"/>
            <w:gridSpan w:val="2"/>
            <w:vMerge w:val="restart"/>
            <w:shd w:val="clear" w:color="auto" w:fill="F9F9F9"/>
          </w:tcPr>
          <w:p>
            <w:pPr>
              <w:jc w:val="center"/>
              <w:spacing w:after="0"/>
              <w:rPr>
                <w:sz w:val="20"/>
                <w:szCs w:val="20"/>
                <w:color w:val="auto"/>
              </w:rPr>
            </w:pPr>
            <w:r>
              <w:rPr>
                <w:rFonts w:ascii="Arial" w:cs="Arial" w:eastAsia="Arial" w:hAnsi="Arial"/>
                <w:sz w:val="21"/>
                <w:szCs w:val="21"/>
                <w:b w:val="1"/>
                <w:bCs w:val="1"/>
                <w:color w:val="auto"/>
              </w:rPr>
              <w:t>GAAP Net Income</w:t>
            </w:r>
          </w:p>
        </w:tc>
        <w:tc>
          <w:tcPr>
            <w:tcW w:w="0" w:type="dxa"/>
            <w:vAlign w:val="bottom"/>
          </w:tcPr>
          <w:p>
            <w:pPr>
              <w:spacing w:after="0"/>
              <w:rPr>
                <w:sz w:val="1"/>
                <w:szCs w:val="1"/>
                <w:color w:val="auto"/>
              </w:rPr>
            </w:pPr>
          </w:p>
        </w:tc>
      </w:tr>
      <w:tr>
        <w:trPr>
          <w:trHeight w:val="269"/>
        </w:trPr>
        <w:tc>
          <w:tcPr>
            <w:tcW w:w="1860" w:type="dxa"/>
            <w:vAlign w:val="bottom"/>
            <w:tcBorders>
              <w:left w:val="single" w:sz="8" w:color="BD03F7"/>
            </w:tcBorders>
            <w:shd w:val="clear" w:color="auto" w:fill="F9F9F9"/>
          </w:tcPr>
          <w:p>
            <w:pPr>
              <w:spacing w:after="0"/>
              <w:rPr>
                <w:sz w:val="23"/>
                <w:szCs w:val="23"/>
                <w:color w:val="auto"/>
              </w:rPr>
            </w:pPr>
          </w:p>
        </w:tc>
        <w:tc>
          <w:tcPr>
            <w:tcW w:w="2840" w:type="dxa"/>
            <w:vAlign w:val="bottom"/>
            <w:vMerge w:val="continue"/>
            <w:shd w:val="clear" w:color="auto" w:fill="F9F9F9"/>
          </w:tcPr>
          <w:p>
            <w:pPr>
              <w:spacing w:after="0"/>
              <w:rPr>
                <w:sz w:val="23"/>
                <w:szCs w:val="23"/>
                <w:color w:val="auto"/>
              </w:rPr>
            </w:pPr>
          </w:p>
        </w:tc>
        <w:tc>
          <w:tcPr>
            <w:tcW w:w="260" w:type="dxa"/>
            <w:vAlign w:val="bottom"/>
            <w:tcBorders>
              <w:right w:val="single" w:sz="8" w:color="BD03F7"/>
            </w:tcBorders>
          </w:tcPr>
          <w:p>
            <w:pPr>
              <w:spacing w:after="0"/>
              <w:rPr>
                <w:sz w:val="23"/>
                <w:szCs w:val="23"/>
                <w:color w:val="auto"/>
              </w:rPr>
            </w:pPr>
          </w:p>
        </w:tc>
        <w:tc>
          <w:tcPr>
            <w:tcW w:w="4440" w:type="dxa"/>
            <w:vAlign w:val="bottom"/>
            <w:gridSpan w:val="2"/>
            <w:vMerge w:val="continue"/>
            <w:shd w:val="clear" w:color="auto" w:fill="F9F9F9"/>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860" w:type="dxa"/>
            <w:vAlign w:val="bottom"/>
            <w:tcBorders>
              <w:left w:val="single" w:sz="8" w:color="BD03F7"/>
            </w:tcBorders>
            <w:shd w:val="clear" w:color="auto" w:fill="F9F9F9"/>
          </w:tcPr>
          <w:p>
            <w:pPr>
              <w:jc w:val="center"/>
              <w:ind w:left="413"/>
              <w:spacing w:after="0"/>
              <w:rPr>
                <w:sz w:val="20"/>
                <w:szCs w:val="20"/>
                <w:color w:val="auto"/>
              </w:rPr>
            </w:pPr>
            <w:r>
              <w:rPr>
                <w:rFonts w:ascii="Arial" w:cs="Arial" w:eastAsia="Arial" w:hAnsi="Arial"/>
                <w:sz w:val="21"/>
                <w:szCs w:val="21"/>
                <w:b w:val="1"/>
                <w:bCs w:val="1"/>
                <w:color w:val="auto"/>
              </w:rPr>
              <w:t>$37.4 billion</w:t>
            </w:r>
          </w:p>
        </w:tc>
        <w:tc>
          <w:tcPr>
            <w:tcW w:w="2840" w:type="dxa"/>
            <w:vAlign w:val="bottom"/>
            <w:shd w:val="clear" w:color="auto" w:fill="F9F9F9"/>
          </w:tcPr>
          <w:p>
            <w:pPr>
              <w:ind w:left="1160"/>
              <w:spacing w:after="0"/>
              <w:rPr>
                <w:sz w:val="20"/>
                <w:szCs w:val="20"/>
                <w:color w:val="auto"/>
              </w:rPr>
            </w:pPr>
            <w:r>
              <w:rPr>
                <w:rFonts w:ascii="Arial" w:cs="Arial" w:eastAsia="Arial" w:hAnsi="Arial"/>
                <w:sz w:val="21"/>
                <w:szCs w:val="21"/>
                <w:b w:val="1"/>
                <w:bCs w:val="1"/>
                <w:color w:val="auto"/>
              </w:rPr>
              <w:t>Fiscal 2025</w:t>
            </w:r>
          </w:p>
        </w:tc>
        <w:tc>
          <w:tcPr>
            <w:tcW w:w="260" w:type="dxa"/>
            <w:vAlign w:val="bottom"/>
            <w:tcBorders>
              <w:right w:val="single" w:sz="8" w:color="BD03F7"/>
            </w:tcBorders>
          </w:tcPr>
          <w:p>
            <w:pPr>
              <w:spacing w:after="0"/>
              <w:rPr>
                <w:sz w:val="24"/>
                <w:szCs w:val="24"/>
                <w:color w:val="auto"/>
              </w:rPr>
            </w:pPr>
          </w:p>
        </w:tc>
        <w:tc>
          <w:tcPr>
            <w:tcW w:w="2220" w:type="dxa"/>
            <w:vAlign w:val="bottom"/>
            <w:shd w:val="clear" w:color="auto" w:fill="F9F9F9"/>
          </w:tcPr>
          <w:p>
            <w:pPr>
              <w:jc w:val="center"/>
              <w:spacing w:after="0"/>
              <w:rPr>
                <w:sz w:val="20"/>
                <w:szCs w:val="20"/>
                <w:color w:val="auto"/>
              </w:rPr>
            </w:pPr>
            <w:r>
              <w:rPr>
                <w:rFonts w:ascii="Arial" w:cs="Arial" w:eastAsia="Arial" w:hAnsi="Arial"/>
                <w:sz w:val="21"/>
                <w:szCs w:val="21"/>
                <w:b w:val="1"/>
                <w:bCs w:val="1"/>
                <w:color w:val="auto"/>
              </w:rPr>
              <w:t>$8.5 billion</w:t>
            </w:r>
          </w:p>
        </w:tc>
        <w:tc>
          <w:tcPr>
            <w:tcW w:w="2220" w:type="dxa"/>
            <w:vAlign w:val="bottom"/>
            <w:shd w:val="clear" w:color="auto" w:fill="F9F9F9"/>
          </w:tcPr>
          <w:p>
            <w:pPr>
              <w:ind w:left="540"/>
              <w:spacing w:after="0"/>
              <w:rPr>
                <w:sz w:val="20"/>
                <w:szCs w:val="20"/>
                <w:color w:val="auto"/>
              </w:rPr>
            </w:pPr>
            <w:r>
              <w:rPr>
                <w:rFonts w:ascii="Arial" w:cs="Arial" w:eastAsia="Arial" w:hAnsi="Arial"/>
                <w:sz w:val="21"/>
                <w:szCs w:val="21"/>
                <w:b w:val="1"/>
                <w:bCs w:val="1"/>
                <w:color w:val="auto"/>
              </w:rPr>
              <w:t>Fiscal 2025</w:t>
            </w:r>
          </w:p>
        </w:tc>
        <w:tc>
          <w:tcPr>
            <w:tcW w:w="0" w:type="dxa"/>
            <w:vAlign w:val="bottom"/>
          </w:tcPr>
          <w:p>
            <w:pPr>
              <w:spacing w:after="0"/>
              <w:rPr>
                <w:sz w:val="1"/>
                <w:szCs w:val="1"/>
                <w:color w:val="auto"/>
              </w:rPr>
            </w:pPr>
          </w:p>
        </w:tc>
      </w:tr>
      <w:tr>
        <w:trPr>
          <w:trHeight w:val="283"/>
        </w:trPr>
        <w:tc>
          <w:tcPr>
            <w:tcW w:w="1860" w:type="dxa"/>
            <w:vAlign w:val="bottom"/>
            <w:tcBorders>
              <w:left w:val="single" w:sz="8" w:color="BD03F7"/>
            </w:tcBorders>
            <w:shd w:val="clear" w:color="auto" w:fill="F9F9F9"/>
          </w:tcPr>
          <w:p>
            <w:pPr>
              <w:jc w:val="center"/>
              <w:ind w:left="413"/>
              <w:spacing w:after="0"/>
              <w:rPr>
                <w:sz w:val="20"/>
                <w:szCs w:val="20"/>
                <w:color w:val="auto"/>
              </w:rPr>
            </w:pPr>
            <w:r>
              <w:rPr>
                <w:rFonts w:ascii="Arial" w:cs="Arial" w:eastAsia="Arial" w:hAnsi="Arial"/>
                <w:sz w:val="21"/>
                <w:szCs w:val="21"/>
                <w:color w:val="auto"/>
              </w:rPr>
              <w:t>$25.1 billion</w:t>
            </w:r>
          </w:p>
        </w:tc>
        <w:tc>
          <w:tcPr>
            <w:tcW w:w="2840" w:type="dxa"/>
            <w:vAlign w:val="bottom"/>
            <w:shd w:val="clear" w:color="auto" w:fill="F9F9F9"/>
          </w:tcPr>
          <w:p>
            <w:pPr>
              <w:ind w:left="1180"/>
              <w:spacing w:after="0"/>
              <w:rPr>
                <w:sz w:val="20"/>
                <w:szCs w:val="20"/>
                <w:color w:val="auto"/>
              </w:rPr>
            </w:pPr>
            <w:r>
              <w:rPr>
                <w:rFonts w:ascii="Arial" w:cs="Arial" w:eastAsia="Arial" w:hAnsi="Arial"/>
                <w:sz w:val="21"/>
                <w:szCs w:val="21"/>
                <w:color w:val="auto"/>
              </w:rPr>
              <w:t>Fiscal 2024</w:t>
            </w:r>
          </w:p>
        </w:tc>
        <w:tc>
          <w:tcPr>
            <w:tcW w:w="260" w:type="dxa"/>
            <w:vAlign w:val="bottom"/>
            <w:tcBorders>
              <w:right w:val="single" w:sz="8" w:color="BD03F7"/>
            </w:tcBorders>
          </w:tcPr>
          <w:p>
            <w:pPr>
              <w:spacing w:after="0"/>
              <w:rPr>
                <w:sz w:val="24"/>
                <w:szCs w:val="24"/>
                <w:color w:val="auto"/>
              </w:rPr>
            </w:pPr>
          </w:p>
        </w:tc>
        <w:tc>
          <w:tcPr>
            <w:tcW w:w="2220" w:type="dxa"/>
            <w:vAlign w:val="bottom"/>
            <w:shd w:val="clear" w:color="auto" w:fill="F9F9F9"/>
          </w:tcPr>
          <w:p>
            <w:pPr>
              <w:jc w:val="center"/>
              <w:spacing w:after="0"/>
              <w:rPr>
                <w:sz w:val="20"/>
                <w:szCs w:val="20"/>
                <w:color w:val="auto"/>
              </w:rPr>
            </w:pPr>
            <w:r>
              <w:rPr>
                <w:rFonts w:ascii="Arial" w:cs="Arial" w:eastAsia="Arial" w:hAnsi="Arial"/>
                <w:sz w:val="21"/>
                <w:szCs w:val="21"/>
                <w:color w:val="auto"/>
              </w:rPr>
              <w:t>$0.8 billion</w:t>
            </w:r>
          </w:p>
        </w:tc>
        <w:tc>
          <w:tcPr>
            <w:tcW w:w="2220" w:type="dxa"/>
            <w:vAlign w:val="bottom"/>
            <w:shd w:val="clear" w:color="auto" w:fill="F9F9F9"/>
          </w:tcPr>
          <w:p>
            <w:pPr>
              <w:ind w:left="560"/>
              <w:spacing w:after="0"/>
              <w:rPr>
                <w:sz w:val="20"/>
                <w:szCs w:val="20"/>
                <w:color w:val="auto"/>
              </w:rPr>
            </w:pPr>
            <w:r>
              <w:rPr>
                <w:rFonts w:ascii="Arial" w:cs="Arial" w:eastAsia="Arial" w:hAnsi="Arial"/>
                <w:sz w:val="21"/>
                <w:szCs w:val="21"/>
                <w:color w:val="auto"/>
              </w:rPr>
              <w:t>Fiscal 2024</w:t>
            </w:r>
          </w:p>
        </w:tc>
        <w:tc>
          <w:tcPr>
            <w:tcW w:w="0" w:type="dxa"/>
            <w:vAlign w:val="bottom"/>
          </w:tcPr>
          <w:p>
            <w:pPr>
              <w:spacing w:after="0"/>
              <w:rPr>
                <w:sz w:val="1"/>
                <w:szCs w:val="1"/>
                <w:color w:val="auto"/>
              </w:rPr>
            </w:pPr>
          </w:p>
        </w:tc>
      </w:tr>
      <w:tr>
        <w:trPr>
          <w:trHeight w:val="255"/>
        </w:trPr>
        <w:tc>
          <w:tcPr>
            <w:tcW w:w="1860" w:type="dxa"/>
            <w:vAlign w:val="bottom"/>
            <w:tcBorders>
              <w:left w:val="single" w:sz="8" w:color="BD03F7"/>
              <w:bottom w:val="single" w:sz="8" w:color="BD03F7"/>
            </w:tcBorders>
            <w:shd w:val="clear" w:color="auto" w:fill="F9F9F9"/>
          </w:tcPr>
          <w:p>
            <w:pPr>
              <w:spacing w:after="0"/>
              <w:rPr>
                <w:sz w:val="22"/>
                <w:szCs w:val="22"/>
                <w:color w:val="auto"/>
              </w:rPr>
            </w:pPr>
          </w:p>
        </w:tc>
        <w:tc>
          <w:tcPr>
            <w:tcW w:w="2840" w:type="dxa"/>
            <w:vAlign w:val="bottom"/>
            <w:tcBorders>
              <w:bottom w:val="single" w:sz="8" w:color="BD03F7"/>
            </w:tcBorders>
            <w:shd w:val="clear" w:color="auto" w:fill="F9F9F9"/>
          </w:tcPr>
          <w:p>
            <w:pPr>
              <w:spacing w:after="0"/>
              <w:rPr>
                <w:sz w:val="22"/>
                <w:szCs w:val="22"/>
                <w:color w:val="auto"/>
              </w:rPr>
            </w:pPr>
          </w:p>
        </w:tc>
        <w:tc>
          <w:tcPr>
            <w:tcW w:w="260" w:type="dxa"/>
            <w:vAlign w:val="bottom"/>
            <w:tcBorders>
              <w:right w:val="single" w:sz="8" w:color="BD03F7"/>
            </w:tcBorders>
          </w:tcPr>
          <w:p>
            <w:pPr>
              <w:spacing w:after="0"/>
              <w:rPr>
                <w:sz w:val="22"/>
                <w:szCs w:val="22"/>
                <w:color w:val="auto"/>
              </w:rPr>
            </w:pPr>
          </w:p>
        </w:tc>
        <w:tc>
          <w:tcPr>
            <w:tcW w:w="2220" w:type="dxa"/>
            <w:vAlign w:val="bottom"/>
            <w:tcBorders>
              <w:bottom w:val="single" w:sz="8" w:color="BD03F7"/>
            </w:tcBorders>
            <w:shd w:val="clear" w:color="auto" w:fill="F9F9F9"/>
          </w:tcPr>
          <w:p>
            <w:pPr>
              <w:spacing w:after="0"/>
              <w:rPr>
                <w:sz w:val="22"/>
                <w:szCs w:val="22"/>
                <w:color w:val="auto"/>
              </w:rPr>
            </w:pPr>
          </w:p>
        </w:tc>
        <w:tc>
          <w:tcPr>
            <w:tcW w:w="2220" w:type="dxa"/>
            <w:vAlign w:val="bottom"/>
            <w:tcBorders>
              <w:bottom w:val="single" w:sz="8" w:color="BD03F7"/>
            </w:tcBorders>
            <w:shd w:val="clear" w:color="auto" w:fill="F9F9F9"/>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8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4700" w:type="dxa"/>
            <w:vAlign w:val="bottom"/>
            <w:tcBorders>
              <w:left w:val="single" w:sz="8" w:color="BD03F7"/>
            </w:tcBorders>
            <w:gridSpan w:val="2"/>
            <w:shd w:val="clear" w:color="auto" w:fill="F9F9F9"/>
          </w:tcPr>
          <w:p>
            <w:pPr>
              <w:ind w:left="620"/>
              <w:spacing w:after="0"/>
              <w:rPr>
                <w:sz w:val="20"/>
                <w:szCs w:val="20"/>
                <w:color w:val="auto"/>
              </w:rPr>
            </w:pPr>
            <w:r>
              <w:rPr>
                <w:rFonts w:ascii="Arial" w:cs="Arial" w:eastAsia="Arial" w:hAnsi="Arial"/>
                <w:sz w:val="21"/>
                <w:szCs w:val="21"/>
                <w:b w:val="1"/>
                <w:bCs w:val="1"/>
                <w:color w:val="auto"/>
              </w:rPr>
              <w:t>GAAP Diluted Earnings Per Share</w:t>
            </w:r>
          </w:p>
        </w:tc>
        <w:tc>
          <w:tcPr>
            <w:tcW w:w="260" w:type="dxa"/>
            <w:vAlign w:val="bottom"/>
            <w:tcBorders>
              <w:right w:val="single" w:sz="8" w:color="BD03F7"/>
            </w:tcBorders>
          </w:tcPr>
          <w:p>
            <w:pPr>
              <w:spacing w:after="0"/>
              <w:rPr>
                <w:sz w:val="24"/>
                <w:szCs w:val="24"/>
                <w:color w:val="auto"/>
              </w:rPr>
            </w:pPr>
          </w:p>
        </w:tc>
        <w:tc>
          <w:tcPr>
            <w:tcW w:w="4440" w:type="dxa"/>
            <w:vAlign w:val="bottom"/>
            <w:gridSpan w:val="2"/>
            <w:vMerge w:val="restart"/>
            <w:shd w:val="clear" w:color="auto" w:fill="F9F9F9"/>
          </w:tcPr>
          <w:p>
            <w:pPr>
              <w:jc w:val="center"/>
              <w:spacing w:after="0"/>
              <w:rPr>
                <w:sz w:val="20"/>
                <w:szCs w:val="20"/>
                <w:color w:val="auto"/>
              </w:rPr>
            </w:pPr>
            <w:r>
              <w:rPr>
                <w:rFonts w:ascii="Arial" w:cs="Arial" w:eastAsia="Arial" w:hAnsi="Arial"/>
                <w:sz w:val="21"/>
                <w:szCs w:val="21"/>
                <w:b w:val="1"/>
                <w:bCs w:val="1"/>
                <w:color w:val="auto"/>
              </w:rPr>
              <w:t>GAAP Gross Margins</w:t>
            </w:r>
          </w:p>
        </w:tc>
        <w:tc>
          <w:tcPr>
            <w:tcW w:w="0" w:type="dxa"/>
            <w:vAlign w:val="bottom"/>
          </w:tcPr>
          <w:p>
            <w:pPr>
              <w:spacing w:after="0"/>
              <w:rPr>
                <w:sz w:val="1"/>
                <w:szCs w:val="1"/>
                <w:color w:val="auto"/>
              </w:rPr>
            </w:pPr>
          </w:p>
        </w:tc>
      </w:tr>
      <w:tr>
        <w:trPr>
          <w:trHeight w:val="122"/>
        </w:trPr>
        <w:tc>
          <w:tcPr>
            <w:tcW w:w="1860" w:type="dxa"/>
            <w:vAlign w:val="bottom"/>
            <w:tcBorders>
              <w:left w:val="single" w:sz="8" w:color="BD03F7"/>
            </w:tcBorders>
            <w:shd w:val="clear" w:color="auto" w:fill="F9F9F9"/>
          </w:tcPr>
          <w:p>
            <w:pPr>
              <w:spacing w:after="0"/>
              <w:rPr>
                <w:sz w:val="10"/>
                <w:szCs w:val="10"/>
                <w:color w:val="auto"/>
              </w:rPr>
            </w:pPr>
          </w:p>
        </w:tc>
        <w:tc>
          <w:tcPr>
            <w:tcW w:w="2840" w:type="dxa"/>
            <w:vAlign w:val="bottom"/>
            <w:shd w:val="clear" w:color="auto" w:fill="F9F9F9"/>
          </w:tcPr>
          <w:p>
            <w:pPr>
              <w:spacing w:after="0"/>
              <w:rPr>
                <w:sz w:val="10"/>
                <w:szCs w:val="10"/>
                <w:color w:val="auto"/>
              </w:rPr>
            </w:pPr>
          </w:p>
        </w:tc>
        <w:tc>
          <w:tcPr>
            <w:tcW w:w="260" w:type="dxa"/>
            <w:vAlign w:val="bottom"/>
            <w:tcBorders>
              <w:right w:val="single" w:sz="8" w:color="BD03F7"/>
            </w:tcBorders>
          </w:tcPr>
          <w:p>
            <w:pPr>
              <w:spacing w:after="0"/>
              <w:rPr>
                <w:sz w:val="10"/>
                <w:szCs w:val="10"/>
                <w:color w:val="auto"/>
              </w:rPr>
            </w:pPr>
          </w:p>
        </w:tc>
        <w:tc>
          <w:tcPr>
            <w:tcW w:w="4440" w:type="dxa"/>
            <w:vAlign w:val="bottom"/>
            <w:gridSpan w:val="2"/>
            <w:vMerge w:val="continue"/>
            <w:shd w:val="clear" w:color="auto" w:fill="F9F9F9"/>
          </w:tcPr>
          <w:p>
            <w:pPr>
              <w:spacing w:after="0"/>
              <w:rPr>
                <w:sz w:val="10"/>
                <w:szCs w:val="10"/>
                <w:color w:val="auto"/>
              </w:rPr>
            </w:pPr>
          </w:p>
        </w:tc>
        <w:tc>
          <w:tcPr>
            <w:tcW w:w="0" w:type="dxa"/>
            <w:vAlign w:val="bottom"/>
          </w:tcPr>
          <w:p>
            <w:pPr>
              <w:spacing w:after="0"/>
              <w:rPr>
                <w:sz w:val="1"/>
                <w:szCs w:val="1"/>
                <w:color w:val="auto"/>
              </w:rPr>
            </w:pPr>
          </w:p>
        </w:tc>
      </w:tr>
      <w:tr>
        <w:trPr>
          <w:trHeight w:val="537"/>
        </w:trPr>
        <w:tc>
          <w:tcPr>
            <w:tcW w:w="1860" w:type="dxa"/>
            <w:vAlign w:val="bottom"/>
            <w:tcBorders>
              <w:left w:val="single" w:sz="8" w:color="BD03F7"/>
            </w:tcBorders>
            <w:shd w:val="clear" w:color="auto" w:fill="F9F9F9"/>
          </w:tcPr>
          <w:p>
            <w:pPr>
              <w:jc w:val="center"/>
              <w:ind w:left="413"/>
              <w:spacing w:after="0"/>
              <w:rPr>
                <w:sz w:val="20"/>
                <w:szCs w:val="20"/>
                <w:color w:val="auto"/>
              </w:rPr>
            </w:pPr>
            <w:r>
              <w:rPr>
                <w:rFonts w:ascii="Arial" w:cs="Arial" w:eastAsia="Arial" w:hAnsi="Arial"/>
                <w:sz w:val="21"/>
                <w:szCs w:val="21"/>
                <w:b w:val="1"/>
                <w:bCs w:val="1"/>
                <w:color w:val="auto"/>
              </w:rPr>
              <w:t>$7.59</w:t>
            </w:r>
          </w:p>
        </w:tc>
        <w:tc>
          <w:tcPr>
            <w:tcW w:w="2840" w:type="dxa"/>
            <w:vAlign w:val="bottom"/>
            <w:shd w:val="clear" w:color="auto" w:fill="F9F9F9"/>
          </w:tcPr>
          <w:p>
            <w:pPr>
              <w:ind w:left="1160"/>
              <w:spacing w:after="0"/>
              <w:rPr>
                <w:sz w:val="20"/>
                <w:szCs w:val="20"/>
                <w:color w:val="auto"/>
              </w:rPr>
            </w:pPr>
            <w:r>
              <w:rPr>
                <w:rFonts w:ascii="Arial" w:cs="Arial" w:eastAsia="Arial" w:hAnsi="Arial"/>
                <w:sz w:val="21"/>
                <w:szCs w:val="21"/>
                <w:b w:val="1"/>
                <w:bCs w:val="1"/>
                <w:color w:val="auto"/>
              </w:rPr>
              <w:t>Fiscal 2025</w:t>
            </w:r>
          </w:p>
        </w:tc>
        <w:tc>
          <w:tcPr>
            <w:tcW w:w="260" w:type="dxa"/>
            <w:vAlign w:val="bottom"/>
            <w:tcBorders>
              <w:right w:val="single" w:sz="8" w:color="BD03F7"/>
            </w:tcBorders>
          </w:tcPr>
          <w:p>
            <w:pPr>
              <w:spacing w:after="0"/>
              <w:rPr>
                <w:sz w:val="24"/>
                <w:szCs w:val="24"/>
                <w:color w:val="auto"/>
              </w:rPr>
            </w:pPr>
          </w:p>
        </w:tc>
        <w:tc>
          <w:tcPr>
            <w:tcW w:w="2220" w:type="dxa"/>
            <w:vAlign w:val="bottom"/>
            <w:shd w:val="clear" w:color="auto" w:fill="F9F9F9"/>
          </w:tcPr>
          <w:p>
            <w:pPr>
              <w:jc w:val="center"/>
              <w:spacing w:after="0"/>
              <w:rPr>
                <w:sz w:val="20"/>
                <w:szCs w:val="20"/>
                <w:color w:val="auto"/>
              </w:rPr>
            </w:pPr>
            <w:r>
              <w:rPr>
                <w:rFonts w:ascii="Arial" w:cs="Arial" w:eastAsia="Arial" w:hAnsi="Arial"/>
                <w:sz w:val="21"/>
                <w:szCs w:val="21"/>
                <w:b w:val="1"/>
                <w:bCs w:val="1"/>
                <w:color w:val="auto"/>
              </w:rPr>
              <w:t>39.8%</w:t>
            </w:r>
          </w:p>
        </w:tc>
        <w:tc>
          <w:tcPr>
            <w:tcW w:w="2220" w:type="dxa"/>
            <w:vAlign w:val="bottom"/>
            <w:shd w:val="clear" w:color="auto" w:fill="F9F9F9"/>
          </w:tcPr>
          <w:p>
            <w:pPr>
              <w:ind w:left="540"/>
              <w:spacing w:after="0"/>
              <w:rPr>
                <w:sz w:val="20"/>
                <w:szCs w:val="20"/>
                <w:color w:val="auto"/>
              </w:rPr>
            </w:pPr>
            <w:r>
              <w:rPr>
                <w:rFonts w:ascii="Arial" w:cs="Arial" w:eastAsia="Arial" w:hAnsi="Arial"/>
                <w:sz w:val="21"/>
                <w:szCs w:val="21"/>
                <w:b w:val="1"/>
                <w:bCs w:val="1"/>
                <w:color w:val="auto"/>
              </w:rPr>
              <w:t>Fiscal 2025</w:t>
            </w:r>
          </w:p>
        </w:tc>
        <w:tc>
          <w:tcPr>
            <w:tcW w:w="0" w:type="dxa"/>
            <w:vAlign w:val="bottom"/>
          </w:tcPr>
          <w:p>
            <w:pPr>
              <w:spacing w:after="0"/>
              <w:rPr>
                <w:sz w:val="1"/>
                <w:szCs w:val="1"/>
                <w:color w:val="auto"/>
              </w:rPr>
            </w:pPr>
          </w:p>
        </w:tc>
      </w:tr>
      <w:tr>
        <w:trPr>
          <w:trHeight w:val="283"/>
        </w:trPr>
        <w:tc>
          <w:tcPr>
            <w:tcW w:w="1860" w:type="dxa"/>
            <w:vAlign w:val="bottom"/>
            <w:tcBorders>
              <w:left w:val="single" w:sz="8" w:color="BD03F7"/>
            </w:tcBorders>
            <w:shd w:val="clear" w:color="auto" w:fill="F9F9F9"/>
          </w:tcPr>
          <w:p>
            <w:pPr>
              <w:jc w:val="center"/>
              <w:ind w:left="413"/>
              <w:spacing w:after="0"/>
              <w:rPr>
                <w:sz w:val="20"/>
                <w:szCs w:val="20"/>
                <w:color w:val="auto"/>
              </w:rPr>
            </w:pPr>
            <w:r>
              <w:rPr>
                <w:rFonts w:ascii="Arial" w:cs="Arial" w:eastAsia="Arial" w:hAnsi="Arial"/>
                <w:sz w:val="21"/>
                <w:szCs w:val="21"/>
                <w:color w:val="auto"/>
              </w:rPr>
              <w:t>$0.70</w:t>
            </w:r>
          </w:p>
        </w:tc>
        <w:tc>
          <w:tcPr>
            <w:tcW w:w="2840" w:type="dxa"/>
            <w:vAlign w:val="bottom"/>
            <w:shd w:val="clear" w:color="auto" w:fill="F9F9F9"/>
          </w:tcPr>
          <w:p>
            <w:pPr>
              <w:ind w:left="1180"/>
              <w:spacing w:after="0"/>
              <w:rPr>
                <w:sz w:val="20"/>
                <w:szCs w:val="20"/>
                <w:color w:val="auto"/>
              </w:rPr>
            </w:pPr>
            <w:r>
              <w:rPr>
                <w:rFonts w:ascii="Arial" w:cs="Arial" w:eastAsia="Arial" w:hAnsi="Arial"/>
                <w:sz w:val="21"/>
                <w:szCs w:val="21"/>
                <w:color w:val="auto"/>
              </w:rPr>
              <w:t>Fiscal 2024</w:t>
            </w:r>
          </w:p>
        </w:tc>
        <w:tc>
          <w:tcPr>
            <w:tcW w:w="260" w:type="dxa"/>
            <w:vAlign w:val="bottom"/>
            <w:tcBorders>
              <w:right w:val="single" w:sz="8" w:color="BD03F7"/>
            </w:tcBorders>
          </w:tcPr>
          <w:p>
            <w:pPr>
              <w:spacing w:after="0"/>
              <w:rPr>
                <w:sz w:val="24"/>
                <w:szCs w:val="24"/>
                <w:color w:val="auto"/>
              </w:rPr>
            </w:pPr>
          </w:p>
        </w:tc>
        <w:tc>
          <w:tcPr>
            <w:tcW w:w="2220" w:type="dxa"/>
            <w:vAlign w:val="bottom"/>
            <w:shd w:val="clear" w:color="auto" w:fill="F9F9F9"/>
          </w:tcPr>
          <w:p>
            <w:pPr>
              <w:jc w:val="center"/>
              <w:spacing w:after="0"/>
              <w:rPr>
                <w:sz w:val="20"/>
                <w:szCs w:val="20"/>
                <w:color w:val="auto"/>
              </w:rPr>
            </w:pPr>
            <w:r>
              <w:rPr>
                <w:rFonts w:ascii="Arial" w:cs="Arial" w:eastAsia="Arial" w:hAnsi="Arial"/>
                <w:sz w:val="21"/>
                <w:szCs w:val="21"/>
                <w:color w:val="auto"/>
              </w:rPr>
              <w:t>22.4%</w:t>
            </w:r>
          </w:p>
        </w:tc>
        <w:tc>
          <w:tcPr>
            <w:tcW w:w="2220" w:type="dxa"/>
            <w:vAlign w:val="bottom"/>
            <w:shd w:val="clear" w:color="auto" w:fill="F9F9F9"/>
          </w:tcPr>
          <w:p>
            <w:pPr>
              <w:ind w:left="560"/>
              <w:spacing w:after="0"/>
              <w:rPr>
                <w:sz w:val="20"/>
                <w:szCs w:val="20"/>
                <w:color w:val="auto"/>
              </w:rPr>
            </w:pPr>
            <w:r>
              <w:rPr>
                <w:rFonts w:ascii="Arial" w:cs="Arial" w:eastAsia="Arial" w:hAnsi="Arial"/>
                <w:sz w:val="21"/>
                <w:szCs w:val="21"/>
                <w:color w:val="auto"/>
              </w:rPr>
              <w:t>Fiscal 2024</w:t>
            </w:r>
          </w:p>
        </w:tc>
        <w:tc>
          <w:tcPr>
            <w:tcW w:w="0" w:type="dxa"/>
            <w:vAlign w:val="bottom"/>
          </w:tcPr>
          <w:p>
            <w:pPr>
              <w:spacing w:after="0"/>
              <w:rPr>
                <w:sz w:val="1"/>
                <w:szCs w:val="1"/>
                <w:color w:val="auto"/>
              </w:rPr>
            </w:pPr>
          </w:p>
        </w:tc>
      </w:tr>
      <w:tr>
        <w:trPr>
          <w:trHeight w:val="255"/>
        </w:trPr>
        <w:tc>
          <w:tcPr>
            <w:tcW w:w="1860" w:type="dxa"/>
            <w:vAlign w:val="bottom"/>
            <w:tcBorders>
              <w:left w:val="single" w:sz="8" w:color="BD03F7"/>
              <w:bottom w:val="single" w:sz="8" w:color="BD03F7"/>
            </w:tcBorders>
            <w:shd w:val="clear" w:color="auto" w:fill="F9F9F9"/>
          </w:tcPr>
          <w:p>
            <w:pPr>
              <w:spacing w:after="0"/>
              <w:rPr>
                <w:sz w:val="22"/>
                <w:szCs w:val="22"/>
                <w:color w:val="auto"/>
              </w:rPr>
            </w:pPr>
          </w:p>
        </w:tc>
        <w:tc>
          <w:tcPr>
            <w:tcW w:w="2840" w:type="dxa"/>
            <w:vAlign w:val="bottom"/>
            <w:tcBorders>
              <w:bottom w:val="single" w:sz="8" w:color="BD03F7"/>
            </w:tcBorders>
            <w:shd w:val="clear" w:color="auto" w:fill="F9F9F9"/>
          </w:tcPr>
          <w:p>
            <w:pPr>
              <w:spacing w:after="0"/>
              <w:rPr>
                <w:sz w:val="22"/>
                <w:szCs w:val="22"/>
                <w:color w:val="auto"/>
              </w:rPr>
            </w:pPr>
          </w:p>
        </w:tc>
        <w:tc>
          <w:tcPr>
            <w:tcW w:w="260" w:type="dxa"/>
            <w:vAlign w:val="bottom"/>
            <w:tcBorders>
              <w:right w:val="single" w:sz="8" w:color="BD03F7"/>
            </w:tcBorders>
          </w:tcPr>
          <w:p>
            <w:pPr>
              <w:spacing w:after="0"/>
              <w:rPr>
                <w:sz w:val="22"/>
                <w:szCs w:val="22"/>
                <w:color w:val="auto"/>
              </w:rPr>
            </w:pPr>
          </w:p>
        </w:tc>
        <w:tc>
          <w:tcPr>
            <w:tcW w:w="2220" w:type="dxa"/>
            <w:vAlign w:val="bottom"/>
            <w:tcBorders>
              <w:bottom w:val="single" w:sz="8" w:color="BD03F7"/>
            </w:tcBorders>
            <w:shd w:val="clear" w:color="auto" w:fill="F9F9F9"/>
          </w:tcPr>
          <w:p>
            <w:pPr>
              <w:spacing w:after="0"/>
              <w:rPr>
                <w:sz w:val="22"/>
                <w:szCs w:val="22"/>
                <w:color w:val="auto"/>
              </w:rPr>
            </w:pPr>
          </w:p>
        </w:tc>
        <w:tc>
          <w:tcPr>
            <w:tcW w:w="2220" w:type="dxa"/>
            <w:vAlign w:val="bottom"/>
            <w:tcBorders>
              <w:bottom w:val="single" w:sz="8" w:color="BD03F7"/>
            </w:tcBorders>
            <w:shd w:val="clear" w:color="auto" w:fill="F9F9F9"/>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Micron entered Fiscal 2026 with strong momentum, including the following achievements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187960</wp:posOffset>
            </wp:positionV>
            <wp:extent cx="7065010" cy="23380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65010" cy="23380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400"/>
        <w:spacing w:after="0" w:line="381" w:lineRule="exact"/>
        <w:rPr>
          <w:sz w:val="20"/>
          <w:szCs w:val="20"/>
          <w:color w:val="auto"/>
        </w:rPr>
      </w:pPr>
      <w:r>
        <w:rPr>
          <w:rFonts w:ascii="MS PGothic" w:cs="MS PGothic" w:eastAsia="MS PGothic" w:hAnsi="MS PGothic"/>
          <w:sz w:val="38"/>
          <w:szCs w:val="38"/>
          <w:color w:val="BD03F7"/>
        </w:rPr>
        <w:t>☑</w:t>
      </w:r>
    </w:p>
    <w:p>
      <w:pPr>
        <w:spacing w:after="0" w:line="287" w:lineRule="exact"/>
        <w:rPr>
          <w:sz w:val="20"/>
          <w:szCs w:val="20"/>
          <w:color w:val="auto"/>
        </w:rPr>
      </w:pPr>
    </w:p>
    <w:p>
      <w:pPr>
        <w:ind w:left="400"/>
        <w:spacing w:after="0" w:line="381" w:lineRule="exact"/>
        <w:rPr>
          <w:sz w:val="20"/>
          <w:szCs w:val="20"/>
          <w:color w:val="auto"/>
        </w:rPr>
      </w:pPr>
      <w:r>
        <w:rPr>
          <w:rFonts w:ascii="MS PGothic" w:cs="MS PGothic" w:eastAsia="MS PGothic" w:hAnsi="MS PGothic"/>
          <w:sz w:val="38"/>
          <w:szCs w:val="38"/>
          <w:color w:val="BD03F7"/>
        </w:rPr>
        <w:t>☑</w:t>
      </w:r>
    </w:p>
    <w:p>
      <w:pPr>
        <w:spacing w:after="0" w:line="157" w:lineRule="exact"/>
        <w:rPr>
          <w:sz w:val="20"/>
          <w:szCs w:val="20"/>
          <w:color w:val="auto"/>
        </w:rPr>
      </w:pPr>
    </w:p>
    <w:p>
      <w:pPr>
        <w:ind w:left="400"/>
        <w:spacing w:after="0" w:line="381" w:lineRule="exact"/>
        <w:rPr>
          <w:sz w:val="20"/>
          <w:szCs w:val="20"/>
          <w:color w:val="auto"/>
        </w:rPr>
      </w:pPr>
      <w:r>
        <w:rPr>
          <w:rFonts w:ascii="MS PGothic" w:cs="MS PGothic" w:eastAsia="MS PGothic" w:hAnsi="MS PGothic"/>
          <w:sz w:val="38"/>
          <w:szCs w:val="38"/>
          <w:color w:val="BD03F7"/>
        </w:rPr>
        <w:t>☑</w:t>
      </w:r>
    </w:p>
    <w:p>
      <w:pPr>
        <w:spacing w:after="0" w:line="157" w:lineRule="exact"/>
        <w:rPr>
          <w:sz w:val="20"/>
          <w:szCs w:val="20"/>
          <w:color w:val="auto"/>
        </w:rPr>
      </w:pPr>
    </w:p>
    <w:p>
      <w:pPr>
        <w:ind w:left="400"/>
        <w:spacing w:after="0" w:line="381" w:lineRule="exact"/>
        <w:rPr>
          <w:sz w:val="20"/>
          <w:szCs w:val="20"/>
          <w:color w:val="auto"/>
        </w:rPr>
      </w:pPr>
      <w:r>
        <w:rPr>
          <w:rFonts w:ascii="MS PGothic" w:cs="MS PGothic" w:eastAsia="MS PGothic" w:hAnsi="MS PGothic"/>
          <w:sz w:val="38"/>
          <w:szCs w:val="38"/>
          <w:color w:val="BD03F7"/>
        </w:rPr>
        <w:t>☑</w:t>
      </w:r>
    </w:p>
    <w:p>
      <w:pPr>
        <w:spacing w:after="0" w:line="157" w:lineRule="exact"/>
        <w:rPr>
          <w:sz w:val="20"/>
          <w:szCs w:val="20"/>
          <w:color w:val="auto"/>
        </w:rPr>
      </w:pPr>
    </w:p>
    <w:p>
      <w:pPr>
        <w:ind w:left="400"/>
        <w:spacing w:after="0" w:line="381" w:lineRule="exact"/>
        <w:rPr>
          <w:sz w:val="20"/>
          <w:szCs w:val="20"/>
          <w:color w:val="auto"/>
        </w:rPr>
      </w:pPr>
      <w:r>
        <w:rPr>
          <w:rFonts w:ascii="MS PGothic" w:cs="MS PGothic" w:eastAsia="MS PGothic" w:hAnsi="MS PGothic"/>
          <w:sz w:val="38"/>
          <w:szCs w:val="38"/>
          <w:color w:val="BD03F7"/>
        </w:rPr>
        <w:t>☑</w:t>
      </w:r>
    </w:p>
    <w:p>
      <w:pPr>
        <w:spacing w:after="0" w:line="217" w:lineRule="exact"/>
        <w:rPr>
          <w:sz w:val="20"/>
          <w:szCs w:val="20"/>
          <w:color w:val="auto"/>
        </w:rPr>
      </w:pPr>
    </w:p>
    <w:p>
      <w:pPr>
        <w:jc w:val="center"/>
        <w:ind w:left="400"/>
        <w:spacing w:after="0" w:line="381" w:lineRule="exact"/>
        <w:rPr>
          <w:sz w:val="20"/>
          <w:szCs w:val="20"/>
          <w:color w:val="auto"/>
        </w:rPr>
      </w:pPr>
      <w:r>
        <w:rPr>
          <w:rFonts w:ascii="MS PGothic" w:cs="MS PGothic" w:eastAsia="MS PGothic" w:hAnsi="MS PGothic"/>
          <w:sz w:val="38"/>
          <w:szCs w:val="38"/>
          <w:color w:val="BD03F7"/>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Combined revenue from High Bandwidth Memory (HBM), high-capacity DIMMs, and LP server DRAM reached $10 billion – more than a five-fold increase compared to the prior fiscal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Data center SSD business reached record revenue and market share.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First in the industry to ship 1γ (1-gamma) DRAM node.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Shipped samples of HBM4 12H with industry-leading bandwidth exceeding 2.8TBps and pin speeds over 11Gbps.</w:t>
      </w:r>
    </w:p>
    <w:p>
      <w:pPr>
        <w:spacing w:after="0" w:line="236"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G9 achieved mature yields in record time and the production ramp has progressed exceptionally well. Both TLC and QLC nodes are in production and qualified for client and enterprise storage.</w:t>
      </w:r>
    </w:p>
    <w:p>
      <w:pPr>
        <w:spacing w:after="0" w:line="139"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Expanded global manufacturing capabilities: received CHIPS Act disbursements for our Idaho fab, installed the first EUV tool in Japan with 1γ capability (complimenting our Taiwan fab capability) and advanced on assembly sites in Singapore for HBM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India for DRAM and NAND.</w:t>
      </w:r>
    </w:p>
    <w:p>
      <w:pPr>
        <w:spacing w:after="0" w:line="200" w:lineRule="exact"/>
        <w:rPr>
          <w:sz w:val="20"/>
          <w:szCs w:val="20"/>
          <w:color w:val="auto"/>
        </w:rPr>
      </w:pPr>
    </w:p>
    <w:p>
      <w:pPr>
        <w:sectPr>
          <w:pgSz w:w="11900" w:h="16838" w:orient="portrait"/>
          <w:cols w:equalWidth="0" w:num="2">
            <w:col w:w="780" w:space="340"/>
            <w:col w:w="10120"/>
          </w:cols>
          <w:pgMar w:left="320" w:top="125" w:right="33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our one- and three-year relative total shareholder return data through the last trading day of Fiscal 2025 as</w:t>
      </w:r>
    </w:p>
    <w:p>
      <w:pPr>
        <w:spacing w:after="0" w:line="1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compared to the S&amp;P 500 Composite Index, the Philadelphia Semiconductor Index (“SOX”) and the median of our Compensation Peer Group as identified in “—Compensation-Setting Process and the Determination of Compensation Levels—Determination of the Compensation Peer</w:t>
      </w:r>
    </w:p>
    <w:p>
      <w:pPr>
        <w:spacing w:after="0"/>
        <w:rPr>
          <w:sz w:val="20"/>
          <w:szCs w:val="20"/>
          <w:color w:val="auto"/>
        </w:rPr>
      </w:pPr>
      <w:r>
        <w:rPr>
          <w:rFonts w:ascii="Arial" w:cs="Arial" w:eastAsia="Arial" w:hAnsi="Arial"/>
          <w:sz w:val="18"/>
          <w:szCs w:val="18"/>
          <w:color w:val="auto"/>
        </w:rPr>
        <w:t>Group”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BD03F7"/>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17145</wp:posOffset>
            </wp:positionV>
            <wp:extent cx="4095750" cy="2312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95750" cy="231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
        <w:spacing w:after="0"/>
        <w:tabs>
          <w:tab w:leader="none" w:pos="3100" w:val="left"/>
          <w:tab w:leader="none" w:pos="6020" w:val="left"/>
          <w:tab w:leader="none" w:pos="6540" w:val="left"/>
          <w:tab w:leader="none" w:pos="7660" w:val="left"/>
          <w:tab w:leader="none" w:pos="8320" w:val="left"/>
        </w:tabs>
        <w:rPr>
          <w:sz w:val="20"/>
          <w:szCs w:val="20"/>
          <w:color w:val="auto"/>
        </w:rPr>
      </w:pPr>
      <w:r>
        <w:rPr>
          <w:rFonts w:ascii="Arial" w:cs="Arial" w:eastAsia="Arial" w:hAnsi="Arial"/>
          <w:sz w:val="43"/>
          <w:szCs w:val="43"/>
          <w:b w:val="1"/>
          <w:bCs w:val="1"/>
          <w:color w:val="BD03F7"/>
        </w:rPr>
        <w:t xml:space="preserve">•  </w:t>
      </w:r>
      <w:r>
        <w:rPr>
          <w:rFonts w:ascii="Arial" w:cs="Arial" w:eastAsia="Arial" w:hAnsi="Arial"/>
          <w:sz w:val="16"/>
          <w:szCs w:val="16"/>
          <w:color w:val="000000"/>
        </w:rPr>
        <w:t>Micron Technology, Inc.</w:t>
      </w:r>
      <w:r>
        <w:rPr>
          <w:rFonts w:ascii="Arial" w:cs="Arial" w:eastAsia="Arial" w:hAnsi="Arial"/>
          <w:sz w:val="43"/>
          <w:szCs w:val="43"/>
          <w:b w:val="1"/>
          <w:bCs w:val="1"/>
          <w:color w:val="BD03F7"/>
        </w:rPr>
        <w:t xml:space="preserve">  </w:t>
      </w:r>
      <w:r>
        <w:rPr>
          <w:rFonts w:ascii="Arial" w:cs="Arial" w:eastAsia="Arial" w:hAnsi="Arial"/>
          <w:sz w:val="43"/>
          <w:szCs w:val="43"/>
          <w:b w:val="1"/>
          <w:bCs w:val="1"/>
          <w:color w:val="929292"/>
        </w:rPr>
        <w:t>•</w:t>
      </w:r>
      <w:r>
        <w:rPr>
          <w:sz w:val="20"/>
          <w:szCs w:val="20"/>
          <w:color w:val="auto"/>
        </w:rPr>
        <w:tab/>
      </w:r>
      <w:r>
        <w:rPr>
          <w:rFonts w:ascii="Arial" w:cs="Arial" w:eastAsia="Arial" w:hAnsi="Arial"/>
          <w:sz w:val="16"/>
          <w:szCs w:val="16"/>
          <w:color w:val="auto"/>
        </w:rPr>
        <w:t>Exec. Comp. Peer Group Median</w:t>
      </w:r>
      <w:r>
        <w:rPr>
          <w:sz w:val="20"/>
          <w:szCs w:val="20"/>
          <w:color w:val="auto"/>
        </w:rPr>
        <w:tab/>
      </w:r>
      <w:r>
        <w:rPr>
          <w:rFonts w:ascii="Arial" w:cs="Arial" w:eastAsia="Arial" w:hAnsi="Arial"/>
          <w:sz w:val="43"/>
          <w:szCs w:val="43"/>
          <w:b w:val="1"/>
          <w:bCs w:val="1"/>
          <w:color w:val="FFE64B"/>
        </w:rPr>
        <w:t>•</w:t>
      </w:r>
      <w:r>
        <w:rPr>
          <w:sz w:val="20"/>
          <w:szCs w:val="20"/>
          <w:color w:val="auto"/>
        </w:rPr>
        <w:tab/>
      </w:r>
      <w:r>
        <w:rPr>
          <w:rFonts w:ascii="Arial" w:cs="Arial" w:eastAsia="Arial" w:hAnsi="Arial"/>
          <w:sz w:val="16"/>
          <w:szCs w:val="16"/>
          <w:color w:val="auto"/>
        </w:rPr>
        <w:t>S&amp;P 500</w:t>
      </w:r>
      <w:r>
        <w:rPr>
          <w:sz w:val="20"/>
          <w:szCs w:val="20"/>
          <w:color w:val="auto"/>
        </w:rPr>
        <w:tab/>
      </w:r>
      <w:r>
        <w:rPr>
          <w:rFonts w:ascii="Arial" w:cs="Arial" w:eastAsia="Arial" w:hAnsi="Arial"/>
          <w:sz w:val="43"/>
          <w:szCs w:val="43"/>
          <w:b w:val="1"/>
          <w:bCs w:val="1"/>
          <w:color w:val="B6B6B6"/>
        </w:rPr>
        <w:t>•</w:t>
      </w:r>
      <w:r>
        <w:rPr>
          <w:sz w:val="20"/>
          <w:szCs w:val="20"/>
          <w:color w:val="auto"/>
        </w:rPr>
        <w:tab/>
      </w:r>
      <w:r>
        <w:rPr>
          <w:rFonts w:ascii="Arial" w:cs="Arial" w:eastAsia="Arial" w:hAnsi="Arial"/>
          <w:sz w:val="16"/>
          <w:szCs w:val="16"/>
          <w:color w:val="auto"/>
        </w:rPr>
        <w:t>PHLX Semiconductor Sector Index</w:t>
      </w:r>
    </w:p>
    <w:p>
      <w:pPr>
        <w:spacing w:after="0" w:line="3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 HIGHLIGHTS</w:t>
      </w:r>
    </w:p>
    <w:p>
      <w:pPr>
        <w:spacing w:after="0" w:line="238"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Our compensation program is designed so that executives’ and shareholders’ interests will be strongly aligned. The majority of each Named Executive Officer’s compensation is at risk and a substantial portion vests based on achievement of objective performance goals.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graphic illustrates the amount and mix of pay opportunities (at target) for our Named Executive Officers for Fiscal 2025.</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967105</wp:posOffset>
            </wp:positionV>
            <wp:extent cx="5733415" cy="32423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33415" cy="324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*PRSUs = Performance-Based Restricted Stock Units; RSAs = Restricted Stock Awards</w:t>
      </w:r>
    </w:p>
    <w:p>
      <w:pPr>
        <w:spacing w:after="0" w:line="241"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The Fiscal 2025 pay mix, based on target amounts established in October 2024, for our Chief Executive Officer and other Named Executive Officers (on average), as shown below, remained heavily weighted towards variable, at-risk compensation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126365</wp:posOffset>
            </wp:positionV>
            <wp:extent cx="5733415" cy="2320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33415" cy="2320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*Percentages may not total 100% due to rounding.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FISCAL 2025 COMPENSATION PROGRAM OVERVIEW</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executive compensation program for Fiscal 2025 was largely consistent with our program for Fiscal 2024. Our short-term incentive (“STI”) performance metrics in Fiscal 2025 were largely consistent with Fiscal 2024, using a balance of profitability and strategic metrics to incentivize stretching performance. In Fiscal 2025, we did not make any changes to our long-term incentive (“LTI”) awards with respect to the vehicle mix or length of performance periods relative to Fiscal 2024. As previewed in our proxy statement last year and as illustrated below, based on shareholder feedback, beginning with Fiscal 2025 awards we updated our PRSU award vesting schedule to provide for cliff vesting of all shares at the end of year 3 of the performance period. We continued the use of rigorous goals for all performance measures, including outperformance on total shareholder return relative to our comparator group of the SOX index (“rTSR”) at the 55th percentile for the three-year performance period in order to achieve target payout under PRSUs, and adding a payout cap for PRSUs at target levels if absolute total shareholder return (“TSR”) for the three-year performance period is negative. Throughout the Executive Compensation and Related Information section of this Proxy Statement, we refer to total shareholder return as “TSR” and relative TSR as “rTSR.”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145415</wp:posOffset>
            </wp:positionV>
            <wp:extent cx="5784850" cy="34810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84850" cy="348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PRSU Compensation Design Best Practices</w:t>
            </w: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5"/>
        </w:trPr>
        <w:tc>
          <w:tcPr>
            <w:tcW w:w="1860" w:type="dxa"/>
            <w:vAlign w:val="bottom"/>
          </w:tcPr>
          <w:p>
            <w:pPr>
              <w:spacing w:after="0"/>
              <w:rPr>
                <w:sz w:val="24"/>
                <w:szCs w:val="24"/>
                <w:color w:val="auto"/>
              </w:rPr>
            </w:pPr>
          </w:p>
        </w:tc>
        <w:tc>
          <w:tcPr>
            <w:tcW w:w="350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8"/>
              </w:rPr>
              <w:t>Feature</w:t>
            </w:r>
          </w:p>
        </w:tc>
        <w:tc>
          <w:tcPr>
            <w:tcW w:w="404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9"/>
              </w:rPr>
              <w:t>Micron Design</w:t>
            </w:r>
          </w:p>
        </w:tc>
        <w:tc>
          <w:tcPr>
            <w:tcW w:w="0" w:type="dxa"/>
            <w:vAlign w:val="bottom"/>
          </w:tcPr>
          <w:p>
            <w:pPr>
              <w:spacing w:after="0"/>
              <w:rPr>
                <w:sz w:val="1"/>
                <w:szCs w:val="1"/>
                <w:color w:val="auto"/>
              </w:rPr>
            </w:pPr>
          </w:p>
        </w:tc>
      </w:tr>
      <w:tr>
        <w:trPr>
          <w:trHeight w:val="222"/>
        </w:trPr>
        <w:tc>
          <w:tcPr>
            <w:tcW w:w="1860" w:type="dxa"/>
            <w:vAlign w:val="bottom"/>
          </w:tcPr>
          <w:p>
            <w:pPr>
              <w:spacing w:after="0"/>
              <w:rPr>
                <w:sz w:val="19"/>
                <w:szCs w:val="19"/>
                <w:color w:val="auto"/>
              </w:rPr>
            </w:pPr>
          </w:p>
        </w:tc>
        <w:tc>
          <w:tcPr>
            <w:tcW w:w="350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98"/>
              </w:rPr>
              <w:t>LTI Pay Mix for Chief Executive Officer</w:t>
            </w:r>
          </w:p>
        </w:tc>
        <w:tc>
          <w:tcPr>
            <w:tcW w:w="40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99"/>
              </w:rPr>
              <w:t>65/35 (PRSU/RSA) Mix</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3500" w:type="dxa"/>
            <w:vAlign w:val="bottom"/>
            <w:vMerge w:val="restart"/>
          </w:tcPr>
          <w:p>
            <w:pPr>
              <w:jc w:val="center"/>
              <w:spacing w:after="0"/>
              <w:rPr>
                <w:sz w:val="20"/>
                <w:szCs w:val="20"/>
                <w:color w:val="auto"/>
              </w:rPr>
            </w:pPr>
            <w:r>
              <w:rPr>
                <w:rFonts w:ascii="Arial" w:cs="Arial" w:eastAsia="Arial" w:hAnsi="Arial"/>
                <w:sz w:val="18"/>
                <w:szCs w:val="18"/>
                <w:color w:val="auto"/>
                <w:w w:val="99"/>
              </w:rPr>
              <w:t>PRSU Payout Cap</w:t>
            </w:r>
          </w:p>
        </w:tc>
        <w:tc>
          <w:tcPr>
            <w:tcW w:w="4040" w:type="dxa"/>
            <w:vAlign w:val="bottom"/>
          </w:tcPr>
          <w:p>
            <w:pPr>
              <w:jc w:val="center"/>
              <w:spacing w:after="0" w:line="168" w:lineRule="exact"/>
              <w:rPr>
                <w:sz w:val="20"/>
                <w:szCs w:val="20"/>
                <w:color w:val="auto"/>
              </w:rPr>
            </w:pPr>
            <w:r>
              <w:rPr>
                <w:rFonts w:ascii="Arial" w:cs="Arial" w:eastAsia="Arial" w:hAnsi="Arial"/>
                <w:sz w:val="18"/>
                <w:szCs w:val="18"/>
                <w:color w:val="auto"/>
                <w:w w:val="99"/>
              </w:rPr>
              <w:t>Maximum combined payout capped at 200% of</w:t>
            </w: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4040" w:type="dxa"/>
            <w:vAlign w:val="bottom"/>
            <w:vMerge w:val="restart"/>
          </w:tcPr>
          <w:p>
            <w:pPr>
              <w:jc w:val="center"/>
              <w:spacing w:after="0"/>
              <w:rPr>
                <w:sz w:val="20"/>
                <w:szCs w:val="20"/>
                <w:color w:val="auto"/>
              </w:rPr>
            </w:pPr>
            <w:r>
              <w:rPr>
                <w:rFonts w:ascii="Arial" w:cs="Arial" w:eastAsia="Arial" w:hAnsi="Arial"/>
                <w:sz w:val="18"/>
                <w:szCs w:val="18"/>
                <w:color w:val="auto"/>
                <w:w w:val="99"/>
              </w:rPr>
              <w:t>target across PRSUs</w:t>
            </w:r>
          </w:p>
        </w:tc>
        <w:tc>
          <w:tcPr>
            <w:tcW w:w="0" w:type="dxa"/>
            <w:vAlign w:val="bottom"/>
          </w:tcPr>
          <w:p>
            <w:pPr>
              <w:spacing w:after="0"/>
              <w:rPr>
                <w:sz w:val="1"/>
                <w:szCs w:val="1"/>
                <w:color w:val="auto"/>
              </w:rPr>
            </w:pPr>
          </w:p>
        </w:tc>
      </w:tr>
      <w:tr>
        <w:trPr>
          <w:trHeight w:val="88"/>
        </w:trPr>
        <w:tc>
          <w:tcPr>
            <w:tcW w:w="1860" w:type="dxa"/>
            <w:vAlign w:val="bottom"/>
          </w:tcPr>
          <w:p>
            <w:pPr>
              <w:spacing w:after="0"/>
              <w:rPr>
                <w:sz w:val="7"/>
                <w:szCs w:val="7"/>
                <w:color w:val="auto"/>
              </w:rPr>
            </w:pPr>
          </w:p>
        </w:tc>
        <w:tc>
          <w:tcPr>
            <w:tcW w:w="3500" w:type="dxa"/>
            <w:vAlign w:val="bottom"/>
            <w:tcBorders>
              <w:bottom w:val="single" w:sz="8" w:color="DBDBDB"/>
            </w:tcBorders>
          </w:tcPr>
          <w:p>
            <w:pPr>
              <w:spacing w:after="0"/>
              <w:rPr>
                <w:sz w:val="7"/>
                <w:szCs w:val="7"/>
                <w:color w:val="auto"/>
              </w:rPr>
            </w:pPr>
          </w:p>
        </w:tc>
        <w:tc>
          <w:tcPr>
            <w:tcW w:w="4040" w:type="dxa"/>
            <w:vAlign w:val="bottom"/>
            <w:tcBorders>
              <w:bottom w:val="single" w:sz="8" w:color="DBDBD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860" w:type="dxa"/>
            <w:vAlign w:val="bottom"/>
          </w:tcPr>
          <w:p>
            <w:pPr>
              <w:spacing w:after="0"/>
              <w:rPr>
                <w:sz w:val="19"/>
                <w:szCs w:val="19"/>
                <w:color w:val="auto"/>
              </w:rPr>
            </w:pPr>
          </w:p>
        </w:tc>
        <w:tc>
          <w:tcPr>
            <w:tcW w:w="350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98"/>
              </w:rPr>
              <w:t>PRSU rTSR Goal Target</w:t>
            </w:r>
          </w:p>
        </w:tc>
        <w:tc>
          <w:tcPr>
            <w:tcW w:w="40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99"/>
              </w:rPr>
              <w:t>55th percentile to achieve target payout</w:t>
            </w:r>
          </w:p>
        </w:tc>
        <w:tc>
          <w:tcPr>
            <w:tcW w:w="0" w:type="dxa"/>
            <w:vAlign w:val="bottom"/>
          </w:tcPr>
          <w:p>
            <w:pPr>
              <w:spacing w:after="0"/>
              <w:rPr>
                <w:sz w:val="1"/>
                <w:szCs w:val="1"/>
                <w:color w:val="auto"/>
              </w:rPr>
            </w:pPr>
          </w:p>
        </w:tc>
      </w:tr>
      <w:tr>
        <w:trPr>
          <w:trHeight w:val="222"/>
        </w:trPr>
        <w:tc>
          <w:tcPr>
            <w:tcW w:w="1860" w:type="dxa"/>
            <w:vAlign w:val="bottom"/>
          </w:tcPr>
          <w:p>
            <w:pPr>
              <w:spacing w:after="0"/>
              <w:rPr>
                <w:sz w:val="19"/>
                <w:szCs w:val="19"/>
                <w:color w:val="auto"/>
              </w:rPr>
            </w:pPr>
          </w:p>
        </w:tc>
        <w:tc>
          <w:tcPr>
            <w:tcW w:w="350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99"/>
              </w:rPr>
              <w:t>rTSR Payout Cap</w:t>
            </w:r>
          </w:p>
        </w:tc>
        <w:tc>
          <w:tcPr>
            <w:tcW w:w="40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99"/>
              </w:rPr>
              <w:t>At target if absolute TSR is negative</w:t>
            </w:r>
          </w:p>
        </w:tc>
        <w:tc>
          <w:tcPr>
            <w:tcW w:w="0" w:type="dxa"/>
            <w:vAlign w:val="bottom"/>
          </w:tcPr>
          <w:p>
            <w:pPr>
              <w:spacing w:after="0"/>
              <w:rPr>
                <w:sz w:val="1"/>
                <w:szCs w:val="1"/>
                <w:color w:val="auto"/>
              </w:rPr>
            </w:pPr>
          </w:p>
        </w:tc>
      </w:tr>
      <w:tr>
        <w:trPr>
          <w:trHeight w:val="222"/>
        </w:trPr>
        <w:tc>
          <w:tcPr>
            <w:tcW w:w="1860" w:type="dxa"/>
            <w:vAlign w:val="bottom"/>
          </w:tcPr>
          <w:p>
            <w:pPr>
              <w:spacing w:after="0"/>
              <w:rPr>
                <w:sz w:val="19"/>
                <w:szCs w:val="19"/>
                <w:color w:val="auto"/>
              </w:rPr>
            </w:pPr>
          </w:p>
        </w:tc>
        <w:tc>
          <w:tcPr>
            <w:tcW w:w="350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99"/>
              </w:rPr>
              <w:t>Performance Period</w:t>
            </w:r>
          </w:p>
        </w:tc>
        <w:tc>
          <w:tcPr>
            <w:tcW w:w="40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99"/>
              </w:rPr>
              <w:t>3-year performance period with cliff vesting</w:t>
            </w:r>
          </w:p>
        </w:tc>
        <w:tc>
          <w:tcPr>
            <w:tcW w:w="0" w:type="dxa"/>
            <w:vAlign w:val="bottom"/>
          </w:tcPr>
          <w:p>
            <w:pPr>
              <w:spacing w:after="0"/>
              <w:rPr>
                <w:sz w:val="1"/>
                <w:szCs w:val="1"/>
                <w:color w:val="auto"/>
              </w:rPr>
            </w:pPr>
          </w:p>
        </w:tc>
      </w:tr>
      <w:tr>
        <w:trPr>
          <w:trHeight w:val="232"/>
        </w:trPr>
        <w:tc>
          <w:tcPr>
            <w:tcW w:w="186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rTSR Comparator Group</w:t>
            </w:r>
          </w:p>
        </w:tc>
        <w:tc>
          <w:tcPr>
            <w:tcW w:w="4040" w:type="dxa"/>
            <w:vAlign w:val="bottom"/>
          </w:tcPr>
          <w:p>
            <w:pPr>
              <w:jc w:val="center"/>
              <w:spacing w:after="0"/>
              <w:rPr>
                <w:sz w:val="20"/>
                <w:szCs w:val="20"/>
                <w:color w:val="auto"/>
              </w:rPr>
            </w:pPr>
            <w:r>
              <w:rPr>
                <w:rFonts w:ascii="Arial" w:cs="Arial" w:eastAsia="Arial" w:hAnsi="Arial"/>
                <w:sz w:val="18"/>
                <w:szCs w:val="18"/>
                <w:color w:val="auto"/>
                <w:w w:val="98"/>
              </w:rPr>
              <w:t>SOX Index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29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820"/>
        <w:spacing w:after="0" w:line="285" w:lineRule="auto"/>
        <w:rPr>
          <w:sz w:val="20"/>
          <w:szCs w:val="20"/>
          <w:color w:val="auto"/>
        </w:rPr>
      </w:pPr>
      <w:r>
        <w:rPr>
          <w:rFonts w:ascii="Arial" w:cs="Arial" w:eastAsia="Arial" w:hAnsi="Arial"/>
          <w:sz w:val="18"/>
          <w:szCs w:val="18"/>
          <w:color w:val="auto"/>
        </w:rPr>
        <w:t>We strive to maintain sound executive compensation practices and policies, which include adherence to the following compensation principles.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189230</wp:posOffset>
            </wp:positionV>
            <wp:extent cx="7132955" cy="4086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955" cy="4086860"/>
                    </a:xfrm>
                    <a:prstGeom prst="rect">
                      <a:avLst/>
                    </a:prstGeom>
                    <a:noFill/>
                  </pic:spPr>
                </pic:pic>
              </a:graphicData>
            </a:graphic>
          </wp:anchor>
        </w:drawing>
      </w:r>
    </w:p>
    <w:p>
      <w:pPr>
        <w:spacing w:after="0" w:line="330" w:lineRule="exact"/>
        <w:rPr>
          <w:sz w:val="20"/>
          <w:szCs w:val="20"/>
          <w:color w:val="auto"/>
        </w:rPr>
      </w:pPr>
    </w:p>
    <w:p>
      <w:pPr>
        <w:ind w:left="1600"/>
        <w:spacing w:after="0"/>
        <w:rPr>
          <w:sz w:val="20"/>
          <w:szCs w:val="20"/>
          <w:color w:val="auto"/>
        </w:rPr>
      </w:pPr>
      <w:r>
        <w:rPr>
          <w:rFonts w:ascii="Arial" w:cs="Arial" w:eastAsia="Arial" w:hAnsi="Arial"/>
          <w:sz w:val="21"/>
          <w:szCs w:val="21"/>
          <w:b w:val="1"/>
          <w:bCs w:val="1"/>
          <w:color w:val="auto"/>
        </w:rPr>
        <w:t>What We Do</w:t>
      </w:r>
    </w:p>
    <w:p>
      <w:pPr>
        <w:spacing w:after="0" w:line="122" w:lineRule="exact"/>
        <w:rPr>
          <w:sz w:val="20"/>
          <w:szCs w:val="20"/>
          <w:color w:val="auto"/>
        </w:rPr>
      </w:pPr>
    </w:p>
    <w:p>
      <w:pPr>
        <w:ind w:left="900" w:right="140" w:hanging="324"/>
        <w:spacing w:after="0" w:line="233" w:lineRule="auto"/>
        <w:tabs>
          <w:tab w:leader="none" w:pos="890" w:val="left"/>
        </w:tabs>
        <w:numPr>
          <w:ilvl w:val="0"/>
          <w:numId w:val="51"/>
        </w:numPr>
        <w:rPr>
          <w:rFonts w:ascii="Arial" w:cs="Arial" w:eastAsia="Arial" w:hAnsi="Arial"/>
          <w:sz w:val="16"/>
          <w:szCs w:val="16"/>
          <w:color w:val="BD03F7"/>
        </w:rPr>
      </w:pPr>
      <w:r>
        <w:rPr>
          <w:rFonts w:ascii="Arial" w:cs="Arial" w:eastAsia="Arial" w:hAnsi="Arial"/>
          <w:sz w:val="16"/>
          <w:szCs w:val="16"/>
          <w:color w:val="auto"/>
        </w:rPr>
        <w:t>Pay for performance by requiring that a substantial portion of our executive officers’ target total direct compensation be earned based on performance goals</w:t>
      </w:r>
    </w:p>
    <w:p>
      <w:pPr>
        <w:spacing w:after="0" w:line="243" w:lineRule="exact"/>
        <w:rPr>
          <w:rFonts w:ascii="Arial" w:cs="Arial" w:eastAsia="Arial" w:hAnsi="Arial"/>
          <w:sz w:val="16"/>
          <w:szCs w:val="16"/>
          <w:color w:val="BD03F7"/>
        </w:rPr>
      </w:pPr>
    </w:p>
    <w:p>
      <w:pPr>
        <w:jc w:val="both"/>
        <w:ind w:left="900" w:right="280" w:hanging="324"/>
        <w:spacing w:after="0" w:line="233" w:lineRule="auto"/>
        <w:tabs>
          <w:tab w:leader="none" w:pos="890" w:val="left"/>
        </w:tabs>
        <w:numPr>
          <w:ilvl w:val="0"/>
          <w:numId w:val="51"/>
        </w:numPr>
        <w:rPr>
          <w:rFonts w:ascii="Arial" w:cs="Arial" w:eastAsia="Arial" w:hAnsi="Arial"/>
          <w:sz w:val="16"/>
          <w:szCs w:val="16"/>
          <w:color w:val="BD03F7"/>
        </w:rPr>
      </w:pPr>
      <w:r>
        <w:rPr>
          <w:rFonts w:ascii="Arial" w:cs="Arial" w:eastAsia="Arial" w:hAnsi="Arial"/>
          <w:sz w:val="16"/>
          <w:szCs w:val="16"/>
          <w:color w:val="auto"/>
        </w:rPr>
        <w:t>Link our compensation program to our long-term corporate growth strategy and key drivers of sustainable shareholder value creation</w:t>
      </w:r>
    </w:p>
    <w:p>
      <w:pPr>
        <w:spacing w:after="0" w:line="243" w:lineRule="exact"/>
        <w:rPr>
          <w:rFonts w:ascii="Arial" w:cs="Arial" w:eastAsia="Arial" w:hAnsi="Arial"/>
          <w:sz w:val="16"/>
          <w:szCs w:val="16"/>
          <w:color w:val="BD03F7"/>
        </w:rPr>
      </w:pPr>
    </w:p>
    <w:p>
      <w:pPr>
        <w:ind w:left="900" w:right="80" w:hanging="324"/>
        <w:spacing w:after="0" w:line="227" w:lineRule="auto"/>
        <w:tabs>
          <w:tab w:leader="none" w:pos="890" w:val="left"/>
        </w:tabs>
        <w:numPr>
          <w:ilvl w:val="0"/>
          <w:numId w:val="51"/>
        </w:numPr>
        <w:rPr>
          <w:rFonts w:ascii="Arial" w:cs="Arial" w:eastAsia="Arial" w:hAnsi="Arial"/>
          <w:sz w:val="16"/>
          <w:szCs w:val="16"/>
          <w:color w:val="BD03F7"/>
        </w:rPr>
      </w:pPr>
      <w:r>
        <w:rPr>
          <w:rFonts w:ascii="Arial" w:cs="Arial" w:eastAsia="Arial" w:hAnsi="Arial"/>
          <w:sz w:val="16"/>
          <w:szCs w:val="16"/>
          <w:color w:val="auto"/>
        </w:rPr>
        <w:t>Use a mix of objective performance measures, cash- and equity-based components, and short- and long-term incentive opportunities that hold our executive officers accountable for executing on our short- and long-term strategies</w:t>
      </w:r>
    </w:p>
    <w:p>
      <w:pPr>
        <w:spacing w:after="0" w:line="244" w:lineRule="exact"/>
        <w:rPr>
          <w:rFonts w:ascii="Arial" w:cs="Arial" w:eastAsia="Arial" w:hAnsi="Arial"/>
          <w:sz w:val="16"/>
          <w:szCs w:val="16"/>
          <w:color w:val="BD03F7"/>
        </w:rPr>
      </w:pPr>
    </w:p>
    <w:p>
      <w:pPr>
        <w:ind w:left="900" w:right="100" w:hanging="324"/>
        <w:spacing w:after="0" w:line="227" w:lineRule="auto"/>
        <w:tabs>
          <w:tab w:leader="none" w:pos="890" w:val="left"/>
        </w:tabs>
        <w:numPr>
          <w:ilvl w:val="0"/>
          <w:numId w:val="51"/>
        </w:numPr>
        <w:rPr>
          <w:rFonts w:ascii="Arial" w:cs="Arial" w:eastAsia="Arial" w:hAnsi="Arial"/>
          <w:sz w:val="16"/>
          <w:szCs w:val="16"/>
          <w:color w:val="BD03F7"/>
        </w:rPr>
      </w:pPr>
      <w:r>
        <w:rPr>
          <w:rFonts w:ascii="Arial" w:cs="Arial" w:eastAsia="Arial" w:hAnsi="Arial"/>
          <w:sz w:val="16"/>
          <w:szCs w:val="16"/>
          <w:color w:val="auto"/>
        </w:rPr>
        <w:t>Engage an independent compensation consultant to evaluate and advise the Compensation Committee on our executive compensation program design and pay decisions for our executive officers</w:t>
      </w:r>
    </w:p>
    <w:p>
      <w:pPr>
        <w:spacing w:after="0" w:line="244" w:lineRule="exact"/>
        <w:rPr>
          <w:rFonts w:ascii="Arial" w:cs="Arial" w:eastAsia="Arial" w:hAnsi="Arial"/>
          <w:sz w:val="16"/>
          <w:szCs w:val="16"/>
          <w:color w:val="BD03F7"/>
        </w:rPr>
      </w:pPr>
    </w:p>
    <w:p>
      <w:pPr>
        <w:ind w:left="880" w:hanging="304"/>
        <w:spacing w:after="0"/>
        <w:tabs>
          <w:tab w:leader="none" w:pos="880" w:val="left"/>
        </w:tabs>
        <w:numPr>
          <w:ilvl w:val="0"/>
          <w:numId w:val="51"/>
        </w:numPr>
        <w:rPr>
          <w:rFonts w:ascii="Arial" w:cs="Arial" w:eastAsia="Arial" w:hAnsi="Arial"/>
          <w:sz w:val="16"/>
          <w:szCs w:val="16"/>
          <w:color w:val="BD03F7"/>
        </w:rPr>
      </w:pPr>
      <w:r>
        <w:rPr>
          <w:rFonts w:ascii="Arial" w:cs="Arial" w:eastAsia="Arial" w:hAnsi="Arial"/>
          <w:sz w:val="16"/>
          <w:szCs w:val="16"/>
          <w:color w:val="auto"/>
        </w:rPr>
        <w:t>Cap maximum payout levels under our incentive plans</w:t>
      </w:r>
    </w:p>
    <w:p>
      <w:pPr>
        <w:spacing w:after="0" w:line="272" w:lineRule="exact"/>
        <w:rPr>
          <w:rFonts w:ascii="Arial" w:cs="Arial" w:eastAsia="Arial" w:hAnsi="Arial"/>
          <w:sz w:val="16"/>
          <w:szCs w:val="16"/>
          <w:color w:val="BD03F7"/>
        </w:rPr>
      </w:pPr>
    </w:p>
    <w:p>
      <w:pPr>
        <w:ind w:left="900" w:right="80" w:hanging="324"/>
        <w:spacing w:after="0" w:line="227" w:lineRule="auto"/>
        <w:tabs>
          <w:tab w:leader="none" w:pos="890" w:val="left"/>
        </w:tabs>
        <w:numPr>
          <w:ilvl w:val="0"/>
          <w:numId w:val="51"/>
        </w:numPr>
        <w:rPr>
          <w:rFonts w:ascii="Arial" w:cs="Arial" w:eastAsia="Arial" w:hAnsi="Arial"/>
          <w:sz w:val="16"/>
          <w:szCs w:val="16"/>
          <w:color w:val="BD03F7"/>
        </w:rPr>
      </w:pPr>
      <w:r>
        <w:rPr>
          <w:rFonts w:ascii="Arial" w:cs="Arial" w:eastAsia="Arial" w:hAnsi="Arial"/>
          <w:sz w:val="16"/>
          <w:szCs w:val="16"/>
          <w:color w:val="auto"/>
        </w:rPr>
        <w:t>Maintain a compensation recoupment ("clawback”) policy that provides for recoupment of incentive compensation paid to current and former executive officers in the event of an accounting restatement due to material noncompliance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460"/>
        <w:spacing w:after="0"/>
        <w:rPr>
          <w:sz w:val="20"/>
          <w:szCs w:val="20"/>
          <w:color w:val="auto"/>
        </w:rPr>
      </w:pPr>
      <w:r>
        <w:rPr>
          <w:rFonts w:ascii="Arial" w:cs="Arial" w:eastAsia="Arial" w:hAnsi="Arial"/>
          <w:sz w:val="21"/>
          <w:szCs w:val="21"/>
          <w:b w:val="1"/>
          <w:bCs w:val="1"/>
          <w:color w:val="auto"/>
        </w:rPr>
        <w:t>What We Don’t Do</w:t>
      </w:r>
    </w:p>
    <w:p>
      <w:pPr>
        <w:spacing w:after="0" w:line="122" w:lineRule="exact"/>
        <w:rPr>
          <w:sz w:val="20"/>
          <w:szCs w:val="20"/>
          <w:color w:val="auto"/>
        </w:rPr>
      </w:pPr>
    </w:p>
    <w:p>
      <w:pPr>
        <w:ind w:left="320" w:right="580" w:hanging="315"/>
        <w:spacing w:after="0" w:line="233" w:lineRule="auto"/>
        <w:tabs>
          <w:tab w:leader="none" w:pos="310" w:val="left"/>
        </w:tabs>
        <w:numPr>
          <w:ilvl w:val="0"/>
          <w:numId w:val="52"/>
        </w:numPr>
        <w:rPr>
          <w:rFonts w:ascii="Arial" w:cs="Arial" w:eastAsia="Arial" w:hAnsi="Arial"/>
          <w:sz w:val="16"/>
          <w:szCs w:val="16"/>
          <w:color w:val="BD03F7"/>
        </w:rPr>
      </w:pPr>
      <w:r>
        <w:rPr>
          <w:rFonts w:ascii="Arial" w:cs="Arial" w:eastAsia="Arial" w:hAnsi="Arial"/>
          <w:sz w:val="16"/>
          <w:szCs w:val="16"/>
          <w:color w:val="auto"/>
        </w:rPr>
        <w:t>No special retirement benefits other than participation in our broad-based retirement plans on the same basis as other employees</w:t>
      </w:r>
    </w:p>
    <w:p>
      <w:pPr>
        <w:spacing w:after="0" w:line="243" w:lineRule="exact"/>
        <w:rPr>
          <w:rFonts w:ascii="Arial" w:cs="Arial" w:eastAsia="Arial" w:hAnsi="Arial"/>
          <w:sz w:val="16"/>
          <w:szCs w:val="16"/>
          <w:color w:val="BD03F7"/>
        </w:rPr>
      </w:pPr>
    </w:p>
    <w:p>
      <w:pPr>
        <w:ind w:left="320" w:hanging="315"/>
        <w:spacing w:after="0"/>
        <w:tabs>
          <w:tab w:leader="none" w:pos="320" w:val="left"/>
        </w:tabs>
        <w:numPr>
          <w:ilvl w:val="0"/>
          <w:numId w:val="52"/>
        </w:numPr>
        <w:rPr>
          <w:rFonts w:ascii="Arial" w:cs="Arial" w:eastAsia="Arial" w:hAnsi="Arial"/>
          <w:sz w:val="16"/>
          <w:szCs w:val="16"/>
          <w:color w:val="BD03F7"/>
        </w:rPr>
      </w:pPr>
      <w:r>
        <w:rPr>
          <w:rFonts w:ascii="Arial" w:cs="Arial" w:eastAsia="Arial" w:hAnsi="Arial"/>
          <w:sz w:val="16"/>
          <w:szCs w:val="16"/>
          <w:color w:val="auto"/>
        </w:rPr>
        <w:t>No golden parachute tax gross-ups</w:t>
      </w:r>
    </w:p>
    <w:p>
      <w:pPr>
        <w:spacing w:after="0" w:line="200" w:lineRule="exact"/>
        <w:rPr>
          <w:rFonts w:ascii="Arial" w:cs="Arial" w:eastAsia="Arial" w:hAnsi="Arial"/>
          <w:sz w:val="16"/>
          <w:szCs w:val="16"/>
          <w:color w:val="BD03F7"/>
        </w:rPr>
      </w:pPr>
    </w:p>
    <w:p>
      <w:pPr>
        <w:spacing w:after="0" w:line="395" w:lineRule="exact"/>
        <w:rPr>
          <w:rFonts w:ascii="Arial" w:cs="Arial" w:eastAsia="Arial" w:hAnsi="Arial"/>
          <w:sz w:val="16"/>
          <w:szCs w:val="16"/>
          <w:color w:val="BD03F7"/>
        </w:rPr>
      </w:pPr>
    </w:p>
    <w:p>
      <w:pPr>
        <w:ind w:left="320" w:right="340" w:hanging="315"/>
        <w:spacing w:after="0" w:line="249" w:lineRule="auto"/>
        <w:tabs>
          <w:tab w:leader="none" w:pos="310" w:val="left"/>
        </w:tabs>
        <w:numPr>
          <w:ilvl w:val="0"/>
          <w:numId w:val="52"/>
        </w:numPr>
        <w:rPr>
          <w:rFonts w:ascii="Arial" w:cs="Arial" w:eastAsia="Arial" w:hAnsi="Arial"/>
          <w:sz w:val="16"/>
          <w:szCs w:val="16"/>
          <w:color w:val="BD03F7"/>
        </w:rPr>
      </w:pPr>
      <w:r>
        <w:rPr>
          <w:rFonts w:ascii="Arial" w:cs="Arial" w:eastAsia="Arial" w:hAnsi="Arial"/>
          <w:sz w:val="16"/>
          <w:szCs w:val="16"/>
          <w:color w:val="auto"/>
        </w:rPr>
        <w:t>No repricing of options or stock appreciation rights without prior shareholder approval</w:t>
      </w:r>
    </w:p>
    <w:p>
      <w:pPr>
        <w:spacing w:after="0" w:line="200" w:lineRule="exact"/>
        <w:rPr>
          <w:rFonts w:ascii="Arial" w:cs="Arial" w:eastAsia="Arial" w:hAnsi="Arial"/>
          <w:sz w:val="16"/>
          <w:szCs w:val="16"/>
          <w:color w:val="BD03F7"/>
        </w:rPr>
      </w:pPr>
    </w:p>
    <w:p>
      <w:pPr>
        <w:spacing w:after="0" w:line="358" w:lineRule="exact"/>
        <w:rPr>
          <w:rFonts w:ascii="Arial" w:cs="Arial" w:eastAsia="Arial" w:hAnsi="Arial"/>
          <w:sz w:val="16"/>
          <w:szCs w:val="16"/>
          <w:color w:val="BD03F7"/>
        </w:rPr>
      </w:pPr>
    </w:p>
    <w:p>
      <w:pPr>
        <w:ind w:left="320" w:right="540" w:hanging="315"/>
        <w:spacing w:after="0" w:line="249" w:lineRule="auto"/>
        <w:tabs>
          <w:tab w:leader="none" w:pos="310" w:val="left"/>
        </w:tabs>
        <w:numPr>
          <w:ilvl w:val="0"/>
          <w:numId w:val="52"/>
        </w:numPr>
        <w:rPr>
          <w:rFonts w:ascii="Arial" w:cs="Arial" w:eastAsia="Arial" w:hAnsi="Arial"/>
          <w:sz w:val="16"/>
          <w:szCs w:val="16"/>
          <w:color w:val="BD03F7"/>
        </w:rPr>
      </w:pPr>
      <w:r>
        <w:rPr>
          <w:rFonts w:ascii="Arial" w:cs="Arial" w:eastAsia="Arial" w:hAnsi="Arial"/>
          <w:sz w:val="16"/>
          <w:szCs w:val="16"/>
          <w:color w:val="auto"/>
        </w:rPr>
        <w:t>No “single-trigger” vesting for equity awards upon Change in Control</w:t>
      </w:r>
    </w:p>
    <w:p>
      <w:pPr>
        <w:spacing w:after="0" w:line="200" w:lineRule="exact"/>
        <w:rPr>
          <w:rFonts w:ascii="Arial" w:cs="Arial" w:eastAsia="Arial" w:hAnsi="Arial"/>
          <w:sz w:val="16"/>
          <w:szCs w:val="16"/>
          <w:color w:val="BD03F7"/>
        </w:rPr>
      </w:pPr>
    </w:p>
    <w:p>
      <w:pPr>
        <w:spacing w:after="0" w:line="358" w:lineRule="exact"/>
        <w:rPr>
          <w:rFonts w:ascii="Arial" w:cs="Arial" w:eastAsia="Arial" w:hAnsi="Arial"/>
          <w:sz w:val="16"/>
          <w:szCs w:val="16"/>
          <w:color w:val="BD03F7"/>
        </w:rPr>
      </w:pPr>
    </w:p>
    <w:p>
      <w:pPr>
        <w:ind w:left="320" w:hanging="315"/>
        <w:spacing w:after="0"/>
        <w:tabs>
          <w:tab w:leader="none" w:pos="320" w:val="left"/>
        </w:tabs>
        <w:numPr>
          <w:ilvl w:val="0"/>
          <w:numId w:val="52"/>
        </w:numPr>
        <w:rPr>
          <w:rFonts w:ascii="Arial" w:cs="Arial" w:eastAsia="Arial" w:hAnsi="Arial"/>
          <w:sz w:val="16"/>
          <w:szCs w:val="16"/>
          <w:color w:val="BD03F7"/>
        </w:rPr>
      </w:pPr>
      <w:r>
        <w:rPr>
          <w:rFonts w:ascii="Arial" w:cs="Arial" w:eastAsia="Arial" w:hAnsi="Arial"/>
          <w:sz w:val="16"/>
          <w:szCs w:val="16"/>
          <w:color w:val="auto"/>
        </w:rPr>
        <w:t>No insider pledging or hedging activities involving our stock</w:t>
      </w:r>
    </w:p>
    <w:p>
      <w:pPr>
        <w:spacing w:after="0" w:line="200" w:lineRule="exact"/>
        <w:rPr>
          <w:rFonts w:ascii="Arial" w:cs="Arial" w:eastAsia="Arial" w:hAnsi="Arial"/>
          <w:sz w:val="16"/>
          <w:szCs w:val="16"/>
          <w:color w:val="BD03F7"/>
        </w:rPr>
      </w:pPr>
    </w:p>
    <w:p>
      <w:pPr>
        <w:spacing w:after="0" w:line="200" w:lineRule="exact"/>
        <w:rPr>
          <w:rFonts w:ascii="Arial" w:cs="Arial" w:eastAsia="Arial" w:hAnsi="Arial"/>
          <w:sz w:val="16"/>
          <w:szCs w:val="16"/>
          <w:color w:val="BD03F7"/>
        </w:rPr>
      </w:pPr>
    </w:p>
    <w:p>
      <w:pPr>
        <w:spacing w:after="0" w:line="235" w:lineRule="exact"/>
        <w:rPr>
          <w:rFonts w:ascii="Arial" w:cs="Arial" w:eastAsia="Arial" w:hAnsi="Arial"/>
          <w:sz w:val="16"/>
          <w:szCs w:val="16"/>
          <w:color w:val="BD03F7"/>
        </w:rPr>
      </w:pPr>
    </w:p>
    <w:p>
      <w:pPr>
        <w:ind w:left="320" w:hanging="315"/>
        <w:spacing w:after="0"/>
        <w:tabs>
          <w:tab w:leader="none" w:pos="320" w:val="left"/>
        </w:tabs>
        <w:numPr>
          <w:ilvl w:val="0"/>
          <w:numId w:val="52"/>
        </w:numPr>
        <w:rPr>
          <w:rFonts w:ascii="Arial" w:cs="Arial" w:eastAsia="Arial" w:hAnsi="Arial"/>
          <w:sz w:val="16"/>
          <w:szCs w:val="16"/>
          <w:color w:val="BD03F7"/>
        </w:rPr>
      </w:pPr>
      <w:r>
        <w:rPr>
          <w:rFonts w:ascii="Arial" w:cs="Arial" w:eastAsia="Arial" w:hAnsi="Arial"/>
          <w:sz w:val="16"/>
          <w:szCs w:val="16"/>
          <w:color w:val="auto"/>
        </w:rPr>
        <w:t>No excessive perquisites</w:t>
      </w:r>
    </w:p>
    <w:p>
      <w:pPr>
        <w:spacing w:after="0" w:line="349" w:lineRule="exact"/>
        <w:rPr>
          <w:sz w:val="20"/>
          <w:szCs w:val="20"/>
          <w:color w:val="auto"/>
        </w:rPr>
      </w:pPr>
    </w:p>
    <w:p>
      <w:pPr>
        <w:sectPr>
          <w:pgSz w:w="11900" w:h="16838" w:orient="portrait"/>
          <w:cols w:equalWidth="0" w:num="2">
            <w:col w:w="5360" w:space="720"/>
            <w:col w:w="5160"/>
          </w:cols>
          <w:pgMar w:left="320" w:top="125" w:right="339" w:bottom="1440" w:gutter="0" w:footer="0" w:header="0"/>
          <w:type w:val="continuous"/>
        </w:sectPr>
      </w:pPr>
    </w:p>
    <w:p>
      <w:pPr>
        <w:spacing w:after="0" w:line="44" w:lineRule="exact"/>
        <w:rPr>
          <w:sz w:val="20"/>
          <w:szCs w:val="20"/>
          <w:color w:val="auto"/>
        </w:rPr>
      </w:pPr>
    </w:p>
    <w:p>
      <w:pPr>
        <w:ind w:left="880" w:hanging="304"/>
        <w:spacing w:after="0"/>
        <w:tabs>
          <w:tab w:leader="none" w:pos="880" w:val="left"/>
        </w:tabs>
        <w:numPr>
          <w:ilvl w:val="0"/>
          <w:numId w:val="53"/>
        </w:numPr>
        <w:rPr>
          <w:rFonts w:ascii="Arial" w:cs="Arial" w:eastAsia="Arial" w:hAnsi="Arial"/>
          <w:sz w:val="16"/>
          <w:szCs w:val="16"/>
          <w:color w:val="BD03F7"/>
        </w:rPr>
      </w:pPr>
      <w:r>
        <w:rPr>
          <w:rFonts w:ascii="Arial" w:cs="Arial" w:eastAsia="Arial" w:hAnsi="Arial"/>
          <w:sz w:val="16"/>
          <w:szCs w:val="16"/>
          <w:color w:val="auto"/>
        </w:rPr>
        <w:t>Maintain executive stock ownership guidelines</w:t>
      </w:r>
    </w:p>
    <w:p>
      <w:pPr>
        <w:spacing w:after="0" w:line="273" w:lineRule="exact"/>
        <w:rPr>
          <w:sz w:val="20"/>
          <w:szCs w:val="20"/>
          <w:color w:val="auto"/>
        </w:rPr>
      </w:pPr>
    </w:p>
    <w:p>
      <w:pPr>
        <w:ind w:left="580"/>
        <w:spacing w:after="0"/>
        <w:tabs>
          <w:tab w:leader="none" w:pos="860" w:val="left"/>
        </w:tabs>
        <w:rPr>
          <w:sz w:val="20"/>
          <w:szCs w:val="20"/>
          <w:color w:val="auto"/>
        </w:rPr>
      </w:pPr>
      <w:r>
        <w:rPr>
          <w:rFonts w:ascii="Arial" w:cs="Arial" w:eastAsia="Arial" w:hAnsi="Arial"/>
          <w:sz w:val="16"/>
          <w:szCs w:val="16"/>
          <w:color w:val="BD03F7"/>
        </w:rPr>
        <w:t>■</w:t>
      </w:r>
      <w:r>
        <w:rPr>
          <w:rFonts w:ascii="Arial" w:cs="Arial" w:eastAsia="Arial" w:hAnsi="Arial"/>
          <w:sz w:val="16"/>
          <w:szCs w:val="16"/>
          <w:color w:val="auto"/>
        </w:rPr>
        <w:tab/>
        <w:t>Incorporate robust shareholder engagement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PAY-FOR-PERFORMANCE PHILOSOPHY</w:t>
      </w:r>
    </w:p>
    <w:p>
      <w:pPr>
        <w:spacing w:after="0" w:line="25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Our compensation philosophy for executive officers is based on the belief that the interests of our executives should be closely aligned with our long-term performance and sustainable value creation for our shareholders. To support this philosophy, a significant portion of each executive officer’s target total direct compensation is “at risk” and linked to the accomplishment of specific financial and operational performance goals that we expect will lead to increased long-term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Compensation Program Design Aligns with Our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15810" cy="384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15810" cy="3848100"/>
                    </a:xfrm>
                    <a:prstGeom prst="rect">
                      <a:avLst/>
                    </a:prstGeom>
                    <a:noFill/>
                  </pic:spPr>
                </pic:pic>
              </a:graphicData>
            </a:graphic>
          </wp:anchor>
        </w:drawing>
      </w:r>
    </w:p>
    <w:p>
      <w:pPr>
        <w:spacing w:after="0" w:line="27" w:lineRule="exact"/>
        <w:rPr>
          <w:sz w:val="20"/>
          <w:szCs w:val="20"/>
          <w:color w:val="auto"/>
        </w:rPr>
      </w:pPr>
    </w:p>
    <w:tbl>
      <w:tblPr>
        <w:tblLayout w:type="fixed"/>
        <w:tblInd w:w="240" w:type="dxa"/>
        <w:tblCellMar>
          <w:top w:w="0" w:type="dxa"/>
          <w:left w:w="0" w:type="dxa"/>
          <w:bottom w:w="0" w:type="dxa"/>
          <w:right w:w="0" w:type="dxa"/>
        </w:tblCellMar>
      </w:tblPr>
      <w:tr>
        <w:trPr>
          <w:trHeight w:val="249"/>
        </w:trPr>
        <w:tc>
          <w:tcPr>
            <w:tcW w:w="248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50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52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760" w:type="dxa"/>
            <w:vAlign w:val="bottom"/>
            <w:shd w:val="clear" w:color="auto" w:fill="F9F9F9"/>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line="175" w:lineRule="exact"/>
              <w:rPr>
                <w:sz w:val="20"/>
                <w:szCs w:val="20"/>
                <w:color w:val="auto"/>
              </w:rPr>
            </w:pPr>
            <w:r>
              <w:rPr>
                <w:rFonts w:ascii="Arial" w:cs="Arial" w:eastAsia="Arial" w:hAnsi="Arial"/>
                <w:sz w:val="18"/>
                <w:szCs w:val="18"/>
                <w:b w:val="1"/>
                <w:bCs w:val="1"/>
                <w:color w:val="BD03F7"/>
              </w:rPr>
              <w:t>Performance-Based Pay</w:t>
            </w:r>
          </w:p>
        </w:tc>
        <w:tc>
          <w:tcPr>
            <w:tcW w:w="240" w:type="dxa"/>
            <w:vAlign w:val="bottom"/>
            <w:shd w:val="clear" w:color="auto" w:fill="F9F9F9"/>
          </w:tcPr>
          <w:p>
            <w:pPr>
              <w:spacing w:after="0"/>
              <w:rPr>
                <w:sz w:val="15"/>
                <w:szCs w:val="15"/>
                <w:color w:val="auto"/>
              </w:rPr>
            </w:pPr>
          </w:p>
        </w:tc>
        <w:tc>
          <w:tcPr>
            <w:tcW w:w="2500" w:type="dxa"/>
            <w:vAlign w:val="bottom"/>
            <w:shd w:val="clear" w:color="auto" w:fill="F9F9F9"/>
          </w:tcPr>
          <w:p>
            <w:pPr>
              <w:ind w:left="20"/>
              <w:spacing w:after="0" w:line="175" w:lineRule="exact"/>
              <w:rPr>
                <w:sz w:val="20"/>
                <w:szCs w:val="20"/>
                <w:color w:val="auto"/>
              </w:rPr>
            </w:pPr>
            <w:r>
              <w:rPr>
                <w:rFonts w:ascii="Arial" w:cs="Arial" w:eastAsia="Arial" w:hAnsi="Arial"/>
                <w:sz w:val="18"/>
                <w:szCs w:val="18"/>
                <w:b w:val="1"/>
                <w:bCs w:val="1"/>
                <w:color w:val="BD03F7"/>
              </w:rPr>
              <w:t>Significant Weight on LTI</w:t>
            </w:r>
          </w:p>
        </w:tc>
        <w:tc>
          <w:tcPr>
            <w:tcW w:w="240" w:type="dxa"/>
            <w:vAlign w:val="bottom"/>
            <w:shd w:val="clear" w:color="auto" w:fill="F9F9F9"/>
          </w:tcPr>
          <w:p>
            <w:pPr>
              <w:spacing w:after="0"/>
              <w:rPr>
                <w:sz w:val="15"/>
                <w:szCs w:val="15"/>
                <w:color w:val="auto"/>
              </w:rPr>
            </w:pPr>
          </w:p>
        </w:tc>
        <w:tc>
          <w:tcPr>
            <w:tcW w:w="2520" w:type="dxa"/>
            <w:vAlign w:val="bottom"/>
            <w:shd w:val="clear" w:color="auto" w:fill="F9F9F9"/>
          </w:tcPr>
          <w:p>
            <w:pPr>
              <w:ind w:left="20"/>
              <w:spacing w:after="0" w:line="175" w:lineRule="exact"/>
              <w:rPr>
                <w:sz w:val="20"/>
                <w:szCs w:val="20"/>
                <w:color w:val="auto"/>
              </w:rPr>
            </w:pPr>
            <w:r>
              <w:rPr>
                <w:rFonts w:ascii="Arial" w:cs="Arial" w:eastAsia="Arial" w:hAnsi="Arial"/>
                <w:sz w:val="18"/>
                <w:szCs w:val="18"/>
                <w:b w:val="1"/>
                <w:bCs w:val="1"/>
                <w:color w:val="BD03F7"/>
              </w:rPr>
              <w:t>Shareholder Value Creation</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ind w:left="20"/>
              <w:spacing w:after="0" w:line="175" w:lineRule="exact"/>
              <w:rPr>
                <w:sz w:val="20"/>
                <w:szCs w:val="20"/>
                <w:color w:val="auto"/>
              </w:rPr>
            </w:pPr>
            <w:r>
              <w:rPr>
                <w:rFonts w:ascii="Arial" w:cs="Arial" w:eastAsia="Arial" w:hAnsi="Arial"/>
                <w:sz w:val="18"/>
                <w:szCs w:val="18"/>
                <w:b w:val="1"/>
                <w:bCs w:val="1"/>
                <w:color w:val="BD03F7"/>
              </w:rPr>
              <w:t>Variable Pay</w:t>
            </w:r>
          </w:p>
        </w:tc>
        <w:tc>
          <w:tcPr>
            <w:tcW w:w="0" w:type="dxa"/>
            <w:vAlign w:val="bottom"/>
          </w:tcPr>
          <w:p>
            <w:pPr>
              <w:spacing w:after="0"/>
              <w:rPr>
                <w:sz w:val="1"/>
                <w:szCs w:val="1"/>
                <w:color w:val="auto"/>
              </w:rPr>
            </w:pPr>
          </w:p>
        </w:tc>
      </w:tr>
      <w:tr>
        <w:trPr>
          <w:trHeight w:val="242"/>
        </w:trPr>
        <w:tc>
          <w:tcPr>
            <w:tcW w:w="2480" w:type="dxa"/>
            <w:vAlign w:val="bottom"/>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500" w:type="dxa"/>
            <w:vAlign w:val="bottom"/>
            <w:shd w:val="clear" w:color="auto" w:fill="F9F9F9"/>
          </w:tcPr>
          <w:p>
            <w:pPr>
              <w:ind w:left="20"/>
              <w:spacing w:after="0"/>
              <w:rPr>
                <w:sz w:val="20"/>
                <w:szCs w:val="20"/>
                <w:color w:val="auto"/>
              </w:rPr>
            </w:pPr>
            <w:r>
              <w:rPr>
                <w:rFonts w:ascii="Arial" w:cs="Arial" w:eastAsia="Arial" w:hAnsi="Arial"/>
                <w:sz w:val="18"/>
                <w:szCs w:val="18"/>
                <w:b w:val="1"/>
                <w:bCs w:val="1"/>
                <w:color w:val="BD03F7"/>
              </w:rPr>
              <w:t>Awards</w:t>
            </w:r>
          </w:p>
        </w:tc>
        <w:tc>
          <w:tcPr>
            <w:tcW w:w="240" w:type="dxa"/>
            <w:vAlign w:val="bottom"/>
            <w:shd w:val="clear" w:color="auto" w:fill="F9F9F9"/>
          </w:tcPr>
          <w:p>
            <w:pPr>
              <w:spacing w:after="0"/>
              <w:rPr>
                <w:sz w:val="21"/>
                <w:szCs w:val="21"/>
                <w:color w:val="auto"/>
              </w:rPr>
            </w:pPr>
          </w:p>
        </w:tc>
        <w:tc>
          <w:tcPr>
            <w:tcW w:w="2520" w:type="dxa"/>
            <w:vAlign w:val="bottom"/>
            <w:shd w:val="clear" w:color="auto" w:fill="F9F9F9"/>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760" w:type="dxa"/>
            <w:vAlign w:val="bottom"/>
            <w:shd w:val="clear" w:color="auto" w:fill="F9F9F9"/>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480" w:type="dxa"/>
            <w:vAlign w:val="bottom"/>
            <w:vMerge w:val="restart"/>
          </w:tcPr>
          <w:p>
            <w:pPr>
              <w:ind w:left="20"/>
              <w:spacing w:after="0"/>
              <w:rPr>
                <w:sz w:val="20"/>
                <w:szCs w:val="20"/>
                <w:color w:val="auto"/>
              </w:rPr>
            </w:pPr>
            <w:r>
              <w:rPr>
                <w:rFonts w:ascii="Arial" w:cs="Arial" w:eastAsia="Arial" w:hAnsi="Arial"/>
                <w:sz w:val="18"/>
                <w:szCs w:val="18"/>
                <w:color w:val="auto"/>
              </w:rPr>
              <w:t>A substantial majority of the</w:t>
            </w:r>
          </w:p>
        </w:tc>
        <w:tc>
          <w:tcPr>
            <w:tcW w:w="240" w:type="dxa"/>
            <w:vAlign w:val="bottom"/>
          </w:tcPr>
          <w:p>
            <w:pPr>
              <w:spacing w:after="0"/>
              <w:rPr>
                <w:sz w:val="14"/>
                <w:szCs w:val="14"/>
                <w:color w:val="auto"/>
              </w:rPr>
            </w:pPr>
          </w:p>
        </w:tc>
        <w:tc>
          <w:tcPr>
            <w:tcW w:w="2500" w:type="dxa"/>
            <w:vAlign w:val="bottom"/>
            <w:shd w:val="clear" w:color="auto" w:fill="F9F9F9"/>
          </w:tcPr>
          <w:p>
            <w:pPr>
              <w:spacing w:after="0"/>
              <w:rPr>
                <w:sz w:val="14"/>
                <w:szCs w:val="14"/>
                <w:color w:val="auto"/>
              </w:rPr>
            </w:pPr>
          </w:p>
        </w:tc>
        <w:tc>
          <w:tcPr>
            <w:tcW w:w="240" w:type="dxa"/>
            <w:vAlign w:val="bottom"/>
            <w:shd w:val="clear" w:color="auto" w:fill="F9F9F9"/>
          </w:tcPr>
          <w:p>
            <w:pPr>
              <w:spacing w:after="0"/>
              <w:rPr>
                <w:sz w:val="14"/>
                <w:szCs w:val="14"/>
                <w:color w:val="auto"/>
              </w:rPr>
            </w:pPr>
          </w:p>
        </w:tc>
        <w:tc>
          <w:tcPr>
            <w:tcW w:w="2520" w:type="dxa"/>
            <w:vAlign w:val="bottom"/>
            <w:vMerge w:val="restart"/>
            <w:shd w:val="clear" w:color="auto" w:fill="F9F9F9"/>
          </w:tcPr>
          <w:p>
            <w:pPr>
              <w:ind w:left="20"/>
              <w:spacing w:after="0"/>
              <w:rPr>
                <w:sz w:val="20"/>
                <w:szCs w:val="20"/>
                <w:color w:val="auto"/>
              </w:rPr>
            </w:pPr>
            <w:r>
              <w:rPr>
                <w:rFonts w:ascii="Arial" w:cs="Arial" w:eastAsia="Arial" w:hAnsi="Arial"/>
                <w:sz w:val="18"/>
                <w:szCs w:val="18"/>
                <w:color w:val="auto"/>
              </w:rPr>
              <w:t>Incentive awards require</w:t>
            </w:r>
          </w:p>
        </w:tc>
        <w:tc>
          <w:tcPr>
            <w:tcW w:w="240" w:type="dxa"/>
            <w:vAlign w:val="bottom"/>
            <w:shd w:val="clear" w:color="auto" w:fill="F9F9F9"/>
          </w:tcPr>
          <w:p>
            <w:pPr>
              <w:spacing w:after="0"/>
              <w:rPr>
                <w:sz w:val="14"/>
                <w:szCs w:val="14"/>
                <w:color w:val="auto"/>
              </w:rPr>
            </w:pPr>
          </w:p>
        </w:tc>
        <w:tc>
          <w:tcPr>
            <w:tcW w:w="2760" w:type="dxa"/>
            <w:vAlign w:val="bottom"/>
            <w:vMerge w:val="restart"/>
            <w:shd w:val="clear" w:color="auto" w:fill="F9F9F9"/>
          </w:tcPr>
          <w:p>
            <w:pPr>
              <w:ind w:left="20"/>
              <w:spacing w:after="0"/>
              <w:rPr>
                <w:sz w:val="20"/>
                <w:szCs w:val="20"/>
                <w:color w:val="auto"/>
              </w:rPr>
            </w:pPr>
            <w:r>
              <w:rPr>
                <w:rFonts w:ascii="Arial" w:cs="Arial" w:eastAsia="Arial" w:hAnsi="Arial"/>
                <w:sz w:val="18"/>
                <w:szCs w:val="18"/>
                <w:color w:val="auto"/>
              </w:rPr>
              <w:t>Actual, realized compensation</w:t>
            </w:r>
          </w:p>
        </w:tc>
        <w:tc>
          <w:tcPr>
            <w:tcW w:w="0" w:type="dxa"/>
            <w:vAlign w:val="bottom"/>
          </w:tcPr>
          <w:p>
            <w:pPr>
              <w:spacing w:after="0"/>
              <w:rPr>
                <w:sz w:val="1"/>
                <w:szCs w:val="1"/>
                <w:color w:val="auto"/>
              </w:rPr>
            </w:pPr>
          </w:p>
        </w:tc>
      </w:tr>
      <w:tr>
        <w:trPr>
          <w:trHeight w:val="175"/>
        </w:trPr>
        <w:tc>
          <w:tcPr>
            <w:tcW w:w="2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tcPr>
          <w:p>
            <w:pPr>
              <w:ind w:left="20"/>
              <w:spacing w:after="0" w:line="175" w:lineRule="exact"/>
              <w:rPr>
                <w:sz w:val="20"/>
                <w:szCs w:val="20"/>
                <w:color w:val="auto"/>
              </w:rPr>
            </w:pPr>
            <w:r>
              <w:rPr>
                <w:rFonts w:ascii="Arial" w:cs="Arial" w:eastAsia="Arial" w:hAnsi="Arial"/>
                <w:sz w:val="18"/>
                <w:szCs w:val="18"/>
                <w:color w:val="auto"/>
              </w:rPr>
              <w:t>Performance-based equity</w:t>
            </w:r>
          </w:p>
        </w:tc>
        <w:tc>
          <w:tcPr>
            <w:tcW w:w="240" w:type="dxa"/>
            <w:vAlign w:val="bottom"/>
            <w:shd w:val="clear" w:color="auto" w:fill="F9F9F9"/>
          </w:tcPr>
          <w:p>
            <w:pPr>
              <w:spacing w:after="0"/>
              <w:rPr>
                <w:sz w:val="15"/>
                <w:szCs w:val="15"/>
                <w:color w:val="auto"/>
              </w:rPr>
            </w:pPr>
          </w:p>
        </w:tc>
        <w:tc>
          <w:tcPr>
            <w:tcW w:w="2520" w:type="dxa"/>
            <w:vAlign w:val="bottom"/>
            <w:vMerge w:val="continue"/>
            <w:shd w:val="clear" w:color="auto" w:fill="F9F9F9"/>
          </w:tcPr>
          <w:p>
            <w:pPr>
              <w:spacing w:after="0"/>
              <w:rPr>
                <w:sz w:val="15"/>
                <w:szCs w:val="15"/>
                <w:color w:val="auto"/>
              </w:rPr>
            </w:pPr>
          </w:p>
        </w:tc>
        <w:tc>
          <w:tcPr>
            <w:tcW w:w="240" w:type="dxa"/>
            <w:vAlign w:val="bottom"/>
            <w:shd w:val="clear" w:color="auto" w:fill="F9F9F9"/>
          </w:tcPr>
          <w:p>
            <w:pPr>
              <w:spacing w:after="0"/>
              <w:rPr>
                <w:sz w:val="15"/>
                <w:szCs w:val="15"/>
                <w:color w:val="auto"/>
              </w:rPr>
            </w:pPr>
          </w:p>
        </w:tc>
        <w:tc>
          <w:tcPr>
            <w:tcW w:w="2760" w:type="dxa"/>
            <w:vAlign w:val="bottom"/>
            <w:vMerge w:val="continue"/>
            <w:shd w:val="clear" w:color="auto" w:fill="F9F9F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80" w:type="dxa"/>
            <w:vAlign w:val="bottom"/>
          </w:tcPr>
          <w:p>
            <w:pPr>
              <w:ind w:left="20"/>
              <w:spacing w:after="0" w:line="182" w:lineRule="exact"/>
              <w:rPr>
                <w:sz w:val="20"/>
                <w:szCs w:val="20"/>
                <w:color w:val="auto"/>
              </w:rPr>
            </w:pPr>
            <w:r>
              <w:rPr>
                <w:rFonts w:ascii="Arial" w:cs="Arial" w:eastAsia="Arial" w:hAnsi="Arial"/>
                <w:sz w:val="18"/>
                <w:szCs w:val="18"/>
                <w:color w:val="auto"/>
              </w:rPr>
              <w:t>compensation available for</w:t>
            </w:r>
          </w:p>
        </w:tc>
        <w:tc>
          <w:tcPr>
            <w:tcW w:w="240" w:type="dxa"/>
            <w:vAlign w:val="bottom"/>
          </w:tcPr>
          <w:p>
            <w:pPr>
              <w:spacing w:after="0"/>
              <w:rPr>
                <w:sz w:val="15"/>
                <w:szCs w:val="15"/>
                <w:color w:val="auto"/>
              </w:rPr>
            </w:pPr>
          </w:p>
        </w:tc>
        <w:tc>
          <w:tcPr>
            <w:tcW w:w="2500" w:type="dxa"/>
            <w:vAlign w:val="bottom"/>
          </w:tcPr>
          <w:p>
            <w:pPr>
              <w:ind w:left="20"/>
              <w:spacing w:after="0" w:line="182" w:lineRule="exact"/>
              <w:rPr>
                <w:sz w:val="20"/>
                <w:szCs w:val="20"/>
                <w:color w:val="auto"/>
              </w:rPr>
            </w:pPr>
            <w:r>
              <w:rPr>
                <w:rFonts w:ascii="Arial" w:cs="Arial" w:eastAsia="Arial" w:hAnsi="Arial"/>
                <w:sz w:val="18"/>
                <w:szCs w:val="18"/>
                <w:color w:val="auto"/>
              </w:rPr>
              <w:t>awards, measured by internal</w:t>
            </w:r>
          </w:p>
        </w:tc>
        <w:tc>
          <w:tcPr>
            <w:tcW w:w="240" w:type="dxa"/>
            <w:vAlign w:val="bottom"/>
            <w:shd w:val="clear" w:color="auto" w:fill="F9F9F9"/>
          </w:tcPr>
          <w:p>
            <w:pPr>
              <w:spacing w:after="0"/>
              <w:rPr>
                <w:sz w:val="15"/>
                <w:szCs w:val="15"/>
                <w:color w:val="auto"/>
              </w:rPr>
            </w:pPr>
          </w:p>
        </w:tc>
        <w:tc>
          <w:tcPr>
            <w:tcW w:w="2520" w:type="dxa"/>
            <w:vAlign w:val="bottom"/>
            <w:shd w:val="clear" w:color="auto" w:fill="F9F9F9"/>
          </w:tcPr>
          <w:p>
            <w:pPr>
              <w:ind w:left="20"/>
              <w:spacing w:after="0" w:line="182" w:lineRule="exact"/>
              <w:rPr>
                <w:sz w:val="20"/>
                <w:szCs w:val="20"/>
                <w:color w:val="auto"/>
              </w:rPr>
            </w:pPr>
            <w:r>
              <w:rPr>
                <w:rFonts w:ascii="Arial" w:cs="Arial" w:eastAsia="Arial" w:hAnsi="Arial"/>
                <w:sz w:val="18"/>
                <w:szCs w:val="18"/>
                <w:color w:val="auto"/>
              </w:rPr>
              <w:t>achievement of critical</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ind w:left="20"/>
              <w:spacing w:after="0" w:line="182" w:lineRule="exact"/>
              <w:rPr>
                <w:sz w:val="20"/>
                <w:szCs w:val="20"/>
                <w:color w:val="auto"/>
              </w:rPr>
            </w:pPr>
            <w:r>
              <w:rPr>
                <w:rFonts w:ascii="Arial" w:cs="Arial" w:eastAsia="Arial" w:hAnsi="Arial"/>
                <w:sz w:val="18"/>
                <w:szCs w:val="18"/>
                <w:color w:val="auto"/>
              </w:rPr>
              <w:t>is designed to fluctuate with</w:t>
            </w: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line="180" w:lineRule="exact"/>
              <w:rPr>
                <w:sz w:val="20"/>
                <w:szCs w:val="20"/>
                <w:color w:val="auto"/>
              </w:rPr>
            </w:pPr>
            <w:r>
              <w:rPr>
                <w:rFonts w:ascii="Arial" w:cs="Arial" w:eastAsia="Arial" w:hAnsi="Arial"/>
                <w:sz w:val="18"/>
                <w:szCs w:val="18"/>
                <w:color w:val="auto"/>
              </w:rPr>
              <w:t>executives is performance-</w:t>
            </w:r>
          </w:p>
        </w:tc>
        <w:tc>
          <w:tcPr>
            <w:tcW w:w="240" w:type="dxa"/>
            <w:vAlign w:val="bottom"/>
          </w:tcPr>
          <w:p>
            <w:pPr>
              <w:spacing w:after="0"/>
              <w:rPr>
                <w:sz w:val="15"/>
                <w:szCs w:val="15"/>
                <w:color w:val="auto"/>
              </w:rPr>
            </w:pPr>
          </w:p>
        </w:tc>
        <w:tc>
          <w:tcPr>
            <w:tcW w:w="2500" w:type="dxa"/>
            <w:vAlign w:val="bottom"/>
          </w:tcPr>
          <w:p>
            <w:pPr>
              <w:ind w:left="20"/>
              <w:spacing w:after="0" w:line="180" w:lineRule="exact"/>
              <w:rPr>
                <w:sz w:val="20"/>
                <w:szCs w:val="20"/>
                <w:color w:val="auto"/>
              </w:rPr>
            </w:pPr>
            <w:r>
              <w:rPr>
                <w:rFonts w:ascii="Arial" w:cs="Arial" w:eastAsia="Arial" w:hAnsi="Arial"/>
                <w:sz w:val="18"/>
                <w:szCs w:val="18"/>
                <w:color w:val="auto"/>
              </w:rPr>
              <w:t>and external metrics intended</w:t>
            </w:r>
          </w:p>
        </w:tc>
        <w:tc>
          <w:tcPr>
            <w:tcW w:w="240" w:type="dxa"/>
            <w:vAlign w:val="bottom"/>
            <w:shd w:val="clear" w:color="auto" w:fill="F9F9F9"/>
          </w:tcPr>
          <w:p>
            <w:pPr>
              <w:spacing w:after="0"/>
              <w:rPr>
                <w:sz w:val="15"/>
                <w:szCs w:val="15"/>
                <w:color w:val="auto"/>
              </w:rPr>
            </w:pPr>
          </w:p>
        </w:tc>
        <w:tc>
          <w:tcPr>
            <w:tcW w:w="2520" w:type="dxa"/>
            <w:vAlign w:val="bottom"/>
            <w:shd w:val="clear" w:color="auto" w:fill="F9F9F9"/>
          </w:tcPr>
          <w:p>
            <w:pPr>
              <w:ind w:left="20"/>
              <w:spacing w:after="0" w:line="180" w:lineRule="exact"/>
              <w:rPr>
                <w:sz w:val="20"/>
                <w:szCs w:val="20"/>
                <w:color w:val="auto"/>
              </w:rPr>
            </w:pPr>
            <w:r>
              <w:rPr>
                <w:rFonts w:ascii="Arial" w:cs="Arial" w:eastAsia="Arial" w:hAnsi="Arial"/>
                <w:sz w:val="18"/>
                <w:szCs w:val="18"/>
                <w:color w:val="auto"/>
              </w:rPr>
              <w:t>financial and operational goals</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ind w:left="20"/>
              <w:spacing w:after="0" w:line="180" w:lineRule="exact"/>
              <w:rPr>
                <w:sz w:val="20"/>
                <w:szCs w:val="20"/>
                <w:color w:val="auto"/>
              </w:rPr>
            </w:pPr>
            <w:r>
              <w:rPr>
                <w:rFonts w:ascii="Arial" w:cs="Arial" w:eastAsia="Arial" w:hAnsi="Arial"/>
                <w:sz w:val="18"/>
                <w:szCs w:val="18"/>
                <w:color w:val="auto"/>
              </w:rPr>
              <w:t>changes in shareholder value</w:t>
            </w: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line="175" w:lineRule="exact"/>
              <w:rPr>
                <w:sz w:val="20"/>
                <w:szCs w:val="20"/>
                <w:color w:val="auto"/>
              </w:rPr>
            </w:pPr>
            <w:r>
              <w:rPr>
                <w:rFonts w:ascii="Arial" w:cs="Arial" w:eastAsia="Arial" w:hAnsi="Arial"/>
                <w:sz w:val="18"/>
                <w:szCs w:val="18"/>
                <w:color w:val="auto"/>
              </w:rPr>
              <w:t>based and delivered in the</w:t>
            </w:r>
          </w:p>
        </w:tc>
        <w:tc>
          <w:tcPr>
            <w:tcW w:w="240" w:type="dxa"/>
            <w:vAlign w:val="bottom"/>
          </w:tcPr>
          <w:p>
            <w:pPr>
              <w:spacing w:after="0"/>
              <w:rPr>
                <w:sz w:val="15"/>
                <w:szCs w:val="15"/>
                <w:color w:val="auto"/>
              </w:rPr>
            </w:pPr>
          </w:p>
        </w:tc>
        <w:tc>
          <w:tcPr>
            <w:tcW w:w="2500" w:type="dxa"/>
            <w:vAlign w:val="bottom"/>
          </w:tcPr>
          <w:p>
            <w:pPr>
              <w:ind w:left="20"/>
              <w:spacing w:after="0" w:line="175" w:lineRule="exact"/>
              <w:rPr>
                <w:sz w:val="20"/>
                <w:szCs w:val="20"/>
                <w:color w:val="auto"/>
              </w:rPr>
            </w:pPr>
            <w:r>
              <w:rPr>
                <w:rFonts w:ascii="Arial" w:cs="Arial" w:eastAsia="Arial" w:hAnsi="Arial"/>
                <w:sz w:val="18"/>
                <w:szCs w:val="18"/>
                <w:color w:val="auto"/>
              </w:rPr>
              <w:t>to drive shareholder value,</w:t>
            </w:r>
          </w:p>
        </w:tc>
        <w:tc>
          <w:tcPr>
            <w:tcW w:w="240" w:type="dxa"/>
            <w:vAlign w:val="bottom"/>
            <w:shd w:val="clear" w:color="auto" w:fill="F9F9F9"/>
          </w:tcPr>
          <w:p>
            <w:pPr>
              <w:spacing w:after="0"/>
              <w:rPr>
                <w:sz w:val="15"/>
                <w:szCs w:val="15"/>
                <w:color w:val="auto"/>
              </w:rPr>
            </w:pPr>
          </w:p>
        </w:tc>
        <w:tc>
          <w:tcPr>
            <w:tcW w:w="2520" w:type="dxa"/>
            <w:vAlign w:val="bottom"/>
            <w:shd w:val="clear" w:color="auto" w:fill="F9F9F9"/>
          </w:tcPr>
          <w:p>
            <w:pPr>
              <w:ind w:left="20"/>
              <w:spacing w:after="0" w:line="175" w:lineRule="exact"/>
              <w:rPr>
                <w:sz w:val="20"/>
                <w:szCs w:val="20"/>
                <w:color w:val="auto"/>
              </w:rPr>
            </w:pPr>
            <w:r>
              <w:rPr>
                <w:rFonts w:ascii="Arial" w:cs="Arial" w:eastAsia="Arial" w:hAnsi="Arial"/>
                <w:sz w:val="18"/>
                <w:szCs w:val="18"/>
                <w:color w:val="auto"/>
              </w:rPr>
              <w:t>and are measured against</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ind w:left="20"/>
              <w:spacing w:after="0" w:line="175" w:lineRule="exact"/>
              <w:rPr>
                <w:sz w:val="20"/>
                <w:szCs w:val="20"/>
                <w:color w:val="auto"/>
              </w:rPr>
            </w:pPr>
            <w:r>
              <w:rPr>
                <w:rFonts w:ascii="Arial" w:cs="Arial" w:eastAsia="Arial" w:hAnsi="Arial"/>
                <w:sz w:val="18"/>
                <w:szCs w:val="18"/>
                <w:color w:val="auto"/>
              </w:rPr>
              <w:t>over time.</w:t>
            </w:r>
          </w:p>
        </w:tc>
        <w:tc>
          <w:tcPr>
            <w:tcW w:w="0" w:type="dxa"/>
            <w:vAlign w:val="bottom"/>
          </w:tcPr>
          <w:p>
            <w:pPr>
              <w:spacing w:after="0"/>
              <w:rPr>
                <w:sz w:val="1"/>
                <w:szCs w:val="1"/>
                <w:color w:val="auto"/>
              </w:rPr>
            </w:pPr>
          </w:p>
        </w:tc>
      </w:tr>
      <w:tr>
        <w:trPr>
          <w:trHeight w:val="183"/>
        </w:trPr>
        <w:tc>
          <w:tcPr>
            <w:tcW w:w="2480" w:type="dxa"/>
            <w:vAlign w:val="bottom"/>
          </w:tcPr>
          <w:p>
            <w:pPr>
              <w:ind w:left="20"/>
              <w:spacing w:after="0" w:line="182" w:lineRule="exact"/>
              <w:rPr>
                <w:sz w:val="20"/>
                <w:szCs w:val="20"/>
                <w:color w:val="auto"/>
              </w:rPr>
            </w:pPr>
            <w:r>
              <w:rPr>
                <w:rFonts w:ascii="Arial" w:cs="Arial" w:eastAsia="Arial" w:hAnsi="Arial"/>
                <w:sz w:val="18"/>
                <w:szCs w:val="18"/>
                <w:color w:val="auto"/>
              </w:rPr>
              <w:t>form of equity awards in order</w:t>
            </w:r>
          </w:p>
        </w:tc>
        <w:tc>
          <w:tcPr>
            <w:tcW w:w="240" w:type="dxa"/>
            <w:vAlign w:val="bottom"/>
          </w:tcPr>
          <w:p>
            <w:pPr>
              <w:spacing w:after="0"/>
              <w:rPr>
                <w:sz w:val="15"/>
                <w:szCs w:val="15"/>
                <w:color w:val="auto"/>
              </w:rPr>
            </w:pPr>
          </w:p>
        </w:tc>
        <w:tc>
          <w:tcPr>
            <w:tcW w:w="2500" w:type="dxa"/>
            <w:vAlign w:val="bottom"/>
          </w:tcPr>
          <w:p>
            <w:pPr>
              <w:ind w:left="20"/>
              <w:spacing w:after="0" w:line="182" w:lineRule="exact"/>
              <w:rPr>
                <w:sz w:val="20"/>
                <w:szCs w:val="20"/>
                <w:color w:val="auto"/>
              </w:rPr>
            </w:pPr>
            <w:r>
              <w:rPr>
                <w:rFonts w:ascii="Arial" w:cs="Arial" w:eastAsia="Arial" w:hAnsi="Arial"/>
                <w:sz w:val="18"/>
                <w:szCs w:val="18"/>
                <w:color w:val="auto"/>
              </w:rPr>
              <w:t>comprise a significant portion</w:t>
            </w:r>
          </w:p>
        </w:tc>
        <w:tc>
          <w:tcPr>
            <w:tcW w:w="240" w:type="dxa"/>
            <w:vAlign w:val="bottom"/>
            <w:shd w:val="clear" w:color="auto" w:fill="F9F9F9"/>
          </w:tcPr>
          <w:p>
            <w:pPr>
              <w:spacing w:after="0"/>
              <w:rPr>
                <w:sz w:val="15"/>
                <w:szCs w:val="15"/>
                <w:color w:val="auto"/>
              </w:rPr>
            </w:pPr>
          </w:p>
        </w:tc>
        <w:tc>
          <w:tcPr>
            <w:tcW w:w="2520" w:type="dxa"/>
            <w:vAlign w:val="bottom"/>
            <w:shd w:val="clear" w:color="auto" w:fill="F9F9F9"/>
          </w:tcPr>
          <w:p>
            <w:pPr>
              <w:ind w:left="20"/>
              <w:spacing w:after="0" w:line="182" w:lineRule="exact"/>
              <w:rPr>
                <w:sz w:val="20"/>
                <w:szCs w:val="20"/>
                <w:color w:val="auto"/>
              </w:rPr>
            </w:pPr>
            <w:r>
              <w:rPr>
                <w:rFonts w:ascii="Arial" w:cs="Arial" w:eastAsia="Arial" w:hAnsi="Arial"/>
                <w:sz w:val="18"/>
                <w:szCs w:val="18"/>
                <w:color w:val="auto"/>
              </w:rPr>
              <w:t>objective metrics that we</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line="180" w:lineRule="exact"/>
              <w:rPr>
                <w:sz w:val="20"/>
                <w:szCs w:val="20"/>
                <w:color w:val="auto"/>
              </w:rPr>
            </w:pPr>
            <w:r>
              <w:rPr>
                <w:rFonts w:ascii="Arial" w:cs="Arial" w:eastAsia="Arial" w:hAnsi="Arial"/>
                <w:sz w:val="18"/>
                <w:szCs w:val="18"/>
                <w:color w:val="auto"/>
              </w:rPr>
              <w:t>to more closely align</w:t>
            </w:r>
          </w:p>
        </w:tc>
        <w:tc>
          <w:tcPr>
            <w:tcW w:w="240" w:type="dxa"/>
            <w:vAlign w:val="bottom"/>
          </w:tcPr>
          <w:p>
            <w:pPr>
              <w:spacing w:after="0"/>
              <w:rPr>
                <w:sz w:val="15"/>
                <w:szCs w:val="15"/>
                <w:color w:val="auto"/>
              </w:rPr>
            </w:pPr>
          </w:p>
        </w:tc>
        <w:tc>
          <w:tcPr>
            <w:tcW w:w="2500" w:type="dxa"/>
            <w:vAlign w:val="bottom"/>
          </w:tcPr>
          <w:p>
            <w:pPr>
              <w:ind w:left="20"/>
              <w:spacing w:after="0" w:line="180" w:lineRule="exact"/>
              <w:rPr>
                <w:sz w:val="20"/>
                <w:szCs w:val="20"/>
                <w:color w:val="auto"/>
              </w:rPr>
            </w:pPr>
            <w:r>
              <w:rPr>
                <w:rFonts w:ascii="Arial" w:cs="Arial" w:eastAsia="Arial" w:hAnsi="Arial"/>
                <w:sz w:val="18"/>
                <w:szCs w:val="18"/>
                <w:color w:val="auto"/>
              </w:rPr>
              <w:t>of our long-term incentive</w:t>
            </w:r>
          </w:p>
        </w:tc>
        <w:tc>
          <w:tcPr>
            <w:tcW w:w="240" w:type="dxa"/>
            <w:vAlign w:val="bottom"/>
            <w:shd w:val="clear" w:color="auto" w:fill="F9F9F9"/>
          </w:tcPr>
          <w:p>
            <w:pPr>
              <w:spacing w:after="0"/>
              <w:rPr>
                <w:sz w:val="15"/>
                <w:szCs w:val="15"/>
                <w:color w:val="auto"/>
              </w:rPr>
            </w:pPr>
          </w:p>
        </w:tc>
        <w:tc>
          <w:tcPr>
            <w:tcW w:w="2520" w:type="dxa"/>
            <w:vAlign w:val="bottom"/>
            <w:shd w:val="clear" w:color="auto" w:fill="F9F9F9"/>
          </w:tcPr>
          <w:p>
            <w:pPr>
              <w:ind w:left="20"/>
              <w:spacing w:after="0" w:line="180" w:lineRule="exact"/>
              <w:rPr>
                <w:sz w:val="20"/>
                <w:szCs w:val="20"/>
                <w:color w:val="auto"/>
              </w:rPr>
            </w:pPr>
            <w:r>
              <w:rPr>
                <w:rFonts w:ascii="Arial" w:cs="Arial" w:eastAsia="Arial" w:hAnsi="Arial"/>
                <w:sz w:val="18"/>
                <w:szCs w:val="18"/>
                <w:color w:val="auto"/>
              </w:rPr>
              <w:t>believe result in the creation of</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line="175" w:lineRule="exact"/>
              <w:rPr>
                <w:sz w:val="20"/>
                <w:szCs w:val="20"/>
                <w:color w:val="auto"/>
              </w:rPr>
            </w:pPr>
            <w:r>
              <w:rPr>
                <w:rFonts w:ascii="Arial" w:cs="Arial" w:eastAsia="Arial" w:hAnsi="Arial"/>
                <w:sz w:val="18"/>
                <w:szCs w:val="18"/>
                <w:color w:val="auto"/>
              </w:rPr>
              <w:t>management and shareholder</w:t>
            </w:r>
          </w:p>
        </w:tc>
        <w:tc>
          <w:tcPr>
            <w:tcW w:w="240" w:type="dxa"/>
            <w:vAlign w:val="bottom"/>
          </w:tcPr>
          <w:p>
            <w:pPr>
              <w:spacing w:after="0"/>
              <w:rPr>
                <w:sz w:val="15"/>
                <w:szCs w:val="15"/>
                <w:color w:val="auto"/>
              </w:rPr>
            </w:pPr>
          </w:p>
        </w:tc>
        <w:tc>
          <w:tcPr>
            <w:tcW w:w="2500" w:type="dxa"/>
            <w:vAlign w:val="bottom"/>
          </w:tcPr>
          <w:p>
            <w:pPr>
              <w:ind w:left="20"/>
              <w:spacing w:after="0" w:line="175" w:lineRule="exact"/>
              <w:rPr>
                <w:sz w:val="20"/>
                <w:szCs w:val="20"/>
                <w:color w:val="auto"/>
              </w:rPr>
            </w:pPr>
            <w:r>
              <w:rPr>
                <w:rFonts w:ascii="Arial" w:cs="Arial" w:eastAsia="Arial" w:hAnsi="Arial"/>
                <w:sz w:val="18"/>
                <w:szCs w:val="18"/>
                <w:color w:val="auto"/>
              </w:rPr>
              <w:t>compensation opportunities.</w:t>
            </w:r>
          </w:p>
        </w:tc>
        <w:tc>
          <w:tcPr>
            <w:tcW w:w="240" w:type="dxa"/>
            <w:vAlign w:val="bottom"/>
            <w:shd w:val="clear" w:color="auto" w:fill="F9F9F9"/>
          </w:tcPr>
          <w:p>
            <w:pPr>
              <w:spacing w:after="0"/>
              <w:rPr>
                <w:sz w:val="15"/>
                <w:szCs w:val="15"/>
                <w:color w:val="auto"/>
              </w:rPr>
            </w:pPr>
          </w:p>
        </w:tc>
        <w:tc>
          <w:tcPr>
            <w:tcW w:w="2520" w:type="dxa"/>
            <w:vAlign w:val="bottom"/>
            <w:shd w:val="clear" w:color="auto" w:fill="F9F9F9"/>
          </w:tcPr>
          <w:p>
            <w:pPr>
              <w:ind w:left="20"/>
              <w:spacing w:after="0" w:line="175" w:lineRule="exact"/>
              <w:rPr>
                <w:sz w:val="20"/>
                <w:szCs w:val="20"/>
                <w:color w:val="auto"/>
              </w:rPr>
            </w:pPr>
            <w:r>
              <w:rPr>
                <w:rFonts w:ascii="Arial" w:cs="Arial" w:eastAsia="Arial" w:hAnsi="Arial"/>
                <w:sz w:val="18"/>
                <w:szCs w:val="18"/>
                <w:color w:val="auto"/>
              </w:rPr>
              <w:t>sustainable value for our</w:t>
            </w:r>
          </w:p>
        </w:tc>
        <w:tc>
          <w:tcPr>
            <w:tcW w:w="240" w:type="dxa"/>
            <w:vAlign w:val="bottom"/>
            <w:shd w:val="clear" w:color="auto" w:fill="F9F9F9"/>
          </w:tcPr>
          <w:p>
            <w:pPr>
              <w:spacing w:after="0"/>
              <w:rPr>
                <w:sz w:val="15"/>
                <w:szCs w:val="15"/>
                <w:color w:val="auto"/>
              </w:rPr>
            </w:pPr>
          </w:p>
        </w:tc>
        <w:tc>
          <w:tcPr>
            <w:tcW w:w="2760" w:type="dxa"/>
            <w:vAlign w:val="bottom"/>
            <w:shd w:val="clear" w:color="auto" w:fill="F9F9F9"/>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40" w:type="dxa"/>
            <w:vAlign w:val="bottom"/>
            <w:shd w:val="clear" w:color="auto" w:fill="F9F9F9"/>
          </w:tcPr>
          <w:p>
            <w:pPr>
              <w:spacing w:after="0"/>
              <w:rPr>
                <w:sz w:val="21"/>
                <w:szCs w:val="21"/>
                <w:color w:val="auto"/>
              </w:rPr>
            </w:pPr>
          </w:p>
        </w:tc>
        <w:tc>
          <w:tcPr>
            <w:tcW w:w="2520" w:type="dxa"/>
            <w:vAlign w:val="bottom"/>
            <w:shd w:val="clear" w:color="auto" w:fill="F9F9F9"/>
          </w:tcPr>
          <w:p>
            <w:pPr>
              <w:ind w:left="20"/>
              <w:spacing w:after="0"/>
              <w:rPr>
                <w:sz w:val="20"/>
                <w:szCs w:val="20"/>
                <w:color w:val="auto"/>
              </w:rPr>
            </w:pPr>
            <w:r>
              <w:rPr>
                <w:rFonts w:ascii="Arial" w:cs="Arial" w:eastAsia="Arial" w:hAnsi="Arial"/>
                <w:sz w:val="18"/>
                <w:szCs w:val="18"/>
                <w:color w:val="auto"/>
              </w:rPr>
              <w:t>shareholders.</w:t>
            </w:r>
          </w:p>
        </w:tc>
        <w:tc>
          <w:tcPr>
            <w:tcW w:w="240" w:type="dxa"/>
            <w:vAlign w:val="bottom"/>
            <w:shd w:val="clear" w:color="auto" w:fill="F9F9F9"/>
          </w:tcPr>
          <w:p>
            <w:pPr>
              <w:spacing w:after="0"/>
              <w:rPr>
                <w:sz w:val="21"/>
                <w:szCs w:val="21"/>
                <w:color w:val="auto"/>
              </w:rPr>
            </w:pPr>
          </w:p>
        </w:tc>
        <w:tc>
          <w:tcPr>
            <w:tcW w:w="2760" w:type="dxa"/>
            <w:vAlign w:val="bottom"/>
            <w:shd w:val="clear" w:color="auto" w:fill="F9F9F9"/>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20" w:type="dxa"/>
            <w:vAlign w:val="bottom"/>
            <w:shd w:val="clear" w:color="auto" w:fill="F9F9F9"/>
          </w:tcPr>
          <w:p>
            <w:pPr>
              <w:spacing w:after="0"/>
              <w:rPr>
                <w:sz w:val="23"/>
                <w:szCs w:val="23"/>
                <w:color w:val="auto"/>
              </w:rPr>
            </w:pPr>
          </w:p>
        </w:tc>
        <w:tc>
          <w:tcPr>
            <w:tcW w:w="240" w:type="dxa"/>
            <w:vAlign w:val="bottom"/>
            <w:shd w:val="clear" w:color="auto" w:fill="F9F9F9"/>
          </w:tcPr>
          <w:p>
            <w:pPr>
              <w:spacing w:after="0"/>
              <w:rPr>
                <w:sz w:val="23"/>
                <w:szCs w:val="23"/>
                <w:color w:val="auto"/>
              </w:rPr>
            </w:pPr>
          </w:p>
        </w:tc>
        <w:tc>
          <w:tcPr>
            <w:tcW w:w="2760" w:type="dxa"/>
            <w:vAlign w:val="bottom"/>
            <w:shd w:val="clear" w:color="auto" w:fill="F9F9F9"/>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480" w:type="dxa"/>
            <w:vAlign w:val="bottom"/>
            <w:vMerge w:val="restart"/>
          </w:tcPr>
          <w:p>
            <w:pPr>
              <w:ind w:left="20"/>
              <w:spacing w:after="0"/>
              <w:rPr>
                <w:sz w:val="20"/>
                <w:szCs w:val="20"/>
                <w:color w:val="auto"/>
              </w:rPr>
            </w:pPr>
            <w:r>
              <w:rPr>
                <w:rFonts w:ascii="Arial" w:cs="Arial" w:eastAsia="Arial" w:hAnsi="Arial"/>
                <w:sz w:val="18"/>
                <w:szCs w:val="18"/>
                <w:b w:val="1"/>
                <w:bCs w:val="1"/>
                <w:color w:val="BD03F7"/>
              </w:rPr>
              <w:t>Market-Based</w:t>
            </w:r>
          </w:p>
        </w:tc>
        <w:tc>
          <w:tcPr>
            <w:tcW w:w="240" w:type="dxa"/>
            <w:vAlign w:val="bottom"/>
          </w:tcPr>
          <w:p>
            <w:pPr>
              <w:spacing w:after="0"/>
              <w:rPr>
                <w:sz w:val="23"/>
                <w:szCs w:val="23"/>
                <w:color w:val="auto"/>
              </w:rPr>
            </w:pPr>
          </w:p>
        </w:tc>
        <w:tc>
          <w:tcPr>
            <w:tcW w:w="2500" w:type="dxa"/>
            <w:vAlign w:val="bottom"/>
            <w:vMerge w:val="restart"/>
          </w:tcPr>
          <w:p>
            <w:pPr>
              <w:ind w:left="20"/>
              <w:spacing w:after="0"/>
              <w:rPr>
                <w:sz w:val="20"/>
                <w:szCs w:val="20"/>
                <w:color w:val="auto"/>
              </w:rPr>
            </w:pPr>
            <w:r>
              <w:rPr>
                <w:rFonts w:ascii="Arial" w:cs="Arial" w:eastAsia="Arial" w:hAnsi="Arial"/>
                <w:sz w:val="18"/>
                <w:szCs w:val="18"/>
                <w:b w:val="1"/>
                <w:bCs w:val="1"/>
                <w:color w:val="BD03F7"/>
              </w:rPr>
              <w:t>Annual Review</w:t>
            </w:r>
          </w:p>
        </w:tc>
        <w:tc>
          <w:tcPr>
            <w:tcW w:w="240" w:type="dxa"/>
            <w:vAlign w:val="bottom"/>
          </w:tcPr>
          <w:p>
            <w:pPr>
              <w:spacing w:after="0"/>
              <w:rPr>
                <w:sz w:val="23"/>
                <w:szCs w:val="23"/>
                <w:color w:val="auto"/>
              </w:rPr>
            </w:pPr>
          </w:p>
        </w:tc>
        <w:tc>
          <w:tcPr>
            <w:tcW w:w="2520" w:type="dxa"/>
            <w:vAlign w:val="bottom"/>
            <w:vMerge w:val="restart"/>
          </w:tcPr>
          <w:p>
            <w:pPr>
              <w:ind w:left="20"/>
              <w:spacing w:after="0"/>
              <w:rPr>
                <w:sz w:val="20"/>
                <w:szCs w:val="20"/>
                <w:color w:val="auto"/>
              </w:rPr>
            </w:pPr>
            <w:r>
              <w:rPr>
                <w:rFonts w:ascii="Arial" w:cs="Arial" w:eastAsia="Arial" w:hAnsi="Arial"/>
                <w:sz w:val="18"/>
                <w:szCs w:val="18"/>
                <w:b w:val="1"/>
                <w:bCs w:val="1"/>
                <w:color w:val="BD03F7"/>
              </w:rPr>
              <w:t>Factors for Individual</w:t>
            </w:r>
          </w:p>
        </w:tc>
        <w:tc>
          <w:tcPr>
            <w:tcW w:w="240" w:type="dxa"/>
            <w:vAlign w:val="bottom"/>
            <w:shd w:val="clear" w:color="auto" w:fill="F9F9F9"/>
          </w:tcPr>
          <w:p>
            <w:pPr>
              <w:spacing w:after="0"/>
              <w:rPr>
                <w:sz w:val="23"/>
                <w:szCs w:val="23"/>
                <w:color w:val="auto"/>
              </w:rPr>
            </w:pPr>
          </w:p>
        </w:tc>
        <w:tc>
          <w:tcPr>
            <w:tcW w:w="2760" w:type="dxa"/>
            <w:vAlign w:val="bottom"/>
            <w:shd w:val="clear" w:color="auto" w:fill="F9F9F9"/>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shd w:val="clear" w:color="auto" w:fill="F9F9F9"/>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Arial" w:cs="Arial" w:eastAsia="Arial" w:hAnsi="Arial"/>
                <w:sz w:val="18"/>
                <w:szCs w:val="18"/>
                <w:b w:val="1"/>
                <w:bCs w:val="1"/>
                <w:color w:val="BD03F7"/>
              </w:rPr>
              <w:t>Assessment</w:t>
            </w:r>
          </w:p>
        </w:tc>
        <w:tc>
          <w:tcPr>
            <w:tcW w:w="240" w:type="dxa"/>
            <w:vAlign w:val="bottom"/>
          </w:tcPr>
          <w:p>
            <w:pPr>
              <w:spacing w:after="0"/>
              <w:rPr>
                <w:sz w:val="21"/>
                <w:szCs w:val="21"/>
                <w:color w:val="auto"/>
              </w:rPr>
            </w:pPr>
          </w:p>
        </w:tc>
        <w:tc>
          <w:tcPr>
            <w:tcW w:w="2760" w:type="dxa"/>
            <w:vAlign w:val="bottom"/>
            <w:shd w:val="clear" w:color="auto" w:fill="F9F9F9"/>
          </w:tcPr>
          <w:p>
            <w:pPr>
              <w:spacing w:after="0"/>
              <w:rPr>
                <w:sz w:val="21"/>
                <w:szCs w:val="2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4" w:lineRule="exact"/>
        <w:rPr>
          <w:sz w:val="20"/>
          <w:szCs w:val="20"/>
          <w:color w:val="auto"/>
        </w:rPr>
      </w:pPr>
    </w:p>
    <w:p>
      <w:pPr>
        <w:jc w:val="both"/>
        <w:ind w:left="260"/>
        <w:spacing w:after="0" w:line="233" w:lineRule="auto"/>
        <w:rPr>
          <w:sz w:val="20"/>
          <w:szCs w:val="20"/>
          <w:color w:val="auto"/>
        </w:rPr>
      </w:pPr>
      <w:r>
        <w:rPr>
          <w:rFonts w:ascii="Arial" w:cs="Arial" w:eastAsia="Arial" w:hAnsi="Arial"/>
          <w:sz w:val="17"/>
          <w:szCs w:val="17"/>
          <w:color w:val="auto"/>
        </w:rPr>
        <w:t>We refer to market data when setting compensation targets,</w:t>
      </w:r>
    </w:p>
    <w:p>
      <w:pPr>
        <w:spacing w:after="0" w:line="1" w:lineRule="exact"/>
        <w:rPr>
          <w:sz w:val="20"/>
          <w:szCs w:val="20"/>
          <w:color w:val="auto"/>
        </w:rPr>
      </w:pPr>
    </w:p>
    <w:p>
      <w:pPr>
        <w:ind w:left="260" w:right="300"/>
        <w:spacing w:after="0" w:line="219" w:lineRule="auto"/>
        <w:rPr>
          <w:sz w:val="20"/>
          <w:szCs w:val="20"/>
          <w:color w:val="auto"/>
        </w:rPr>
      </w:pPr>
      <w:r>
        <w:rPr>
          <w:rFonts w:ascii="Arial" w:cs="Arial" w:eastAsia="Arial" w:hAnsi="Arial"/>
          <w:sz w:val="17"/>
          <w:szCs w:val="17"/>
          <w:color w:val="auto"/>
        </w:rPr>
        <w:t>adjusted based on factors such as the individual’s position and experience,</w:t>
      </w:r>
    </w:p>
    <w:p>
      <w:pPr>
        <w:spacing w:after="0" w:line="2" w:lineRule="exact"/>
        <w:rPr>
          <w:sz w:val="20"/>
          <w:szCs w:val="20"/>
          <w:color w:val="auto"/>
        </w:rPr>
      </w:pPr>
    </w:p>
    <w:p>
      <w:pPr>
        <w:ind w:left="260" w:right="100"/>
        <w:spacing w:after="0" w:line="219" w:lineRule="auto"/>
        <w:rPr>
          <w:sz w:val="20"/>
          <w:szCs w:val="20"/>
          <w:color w:val="auto"/>
        </w:rPr>
      </w:pPr>
      <w:r>
        <w:rPr>
          <w:rFonts w:ascii="Arial" w:cs="Arial" w:eastAsia="Arial" w:hAnsi="Arial"/>
          <w:sz w:val="17"/>
          <w:szCs w:val="17"/>
          <w:color w:val="auto"/>
        </w:rPr>
        <w:t>contributions and technical expertise, importance to our leadership succession plans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and business factors.</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7"/>
          <w:szCs w:val="17"/>
          <w:color w:val="auto"/>
        </w:rPr>
        <w:t>The Compensation Committee reviews our pay-for-</w:t>
      </w:r>
    </w:p>
    <w:p>
      <w:pPr>
        <w:spacing w:after="0" w:line="1" w:lineRule="exact"/>
        <w:rPr>
          <w:sz w:val="20"/>
          <w:szCs w:val="20"/>
          <w:color w:val="auto"/>
        </w:rPr>
      </w:pPr>
    </w:p>
    <w:p>
      <w:pPr>
        <w:ind w:right="40"/>
        <w:spacing w:after="0" w:line="219" w:lineRule="auto"/>
        <w:rPr>
          <w:sz w:val="20"/>
          <w:szCs w:val="20"/>
          <w:color w:val="auto"/>
        </w:rPr>
      </w:pPr>
      <w:r>
        <w:rPr>
          <w:rFonts w:ascii="Arial" w:cs="Arial" w:eastAsia="Arial" w:hAnsi="Arial"/>
          <w:sz w:val="17"/>
          <w:szCs w:val="17"/>
          <w:color w:val="auto"/>
        </w:rPr>
        <w:t>performance compensation arrangements annually, with input from our Chief Executive</w:t>
      </w:r>
    </w:p>
    <w:p>
      <w:pPr>
        <w:spacing w:after="0" w:line="2" w:lineRule="exact"/>
        <w:rPr>
          <w:sz w:val="20"/>
          <w:szCs w:val="20"/>
          <w:color w:val="auto"/>
        </w:rPr>
      </w:pPr>
    </w:p>
    <w:p>
      <w:pPr>
        <w:jc w:val="both"/>
        <w:ind w:right="240"/>
        <w:spacing w:after="0" w:line="219" w:lineRule="auto"/>
        <w:rPr>
          <w:sz w:val="20"/>
          <w:szCs w:val="20"/>
          <w:color w:val="auto"/>
        </w:rPr>
      </w:pPr>
      <w:r>
        <w:rPr>
          <w:rFonts w:ascii="Arial" w:cs="Arial" w:eastAsia="Arial" w:hAnsi="Arial"/>
          <w:sz w:val="17"/>
          <w:szCs w:val="17"/>
          <w:color w:val="auto"/>
        </w:rPr>
        <w:t>Officer and advice from the Compensation Committee’s independent compensation</w:t>
      </w:r>
    </w:p>
    <w:p>
      <w:pPr>
        <w:spacing w:after="0" w:line="2"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consultant, and takes into account feedback we receive from our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Assessment of individual</w:t>
      </w:r>
    </w:p>
    <w:p>
      <w:pPr>
        <w:spacing w:after="0" w:line="218" w:lineRule="auto"/>
        <w:rPr>
          <w:sz w:val="20"/>
          <w:szCs w:val="20"/>
          <w:color w:val="auto"/>
        </w:rPr>
      </w:pPr>
      <w:r>
        <w:rPr>
          <w:rFonts w:ascii="Arial" w:cs="Arial" w:eastAsia="Arial" w:hAnsi="Arial"/>
          <w:sz w:val="18"/>
          <w:szCs w:val="18"/>
          <w:color w:val="auto"/>
        </w:rPr>
        <w:t>performance is based on</w:t>
      </w:r>
    </w:p>
    <w:p>
      <w:pPr>
        <w:spacing w:after="0" w:line="202" w:lineRule="auto"/>
        <w:rPr>
          <w:sz w:val="20"/>
          <w:szCs w:val="20"/>
          <w:color w:val="auto"/>
        </w:rPr>
      </w:pPr>
      <w:r>
        <w:rPr>
          <w:rFonts w:ascii="Arial" w:cs="Arial" w:eastAsia="Arial" w:hAnsi="Arial"/>
          <w:sz w:val="18"/>
          <w:szCs w:val="18"/>
          <w:color w:val="auto"/>
        </w:rPr>
        <w:t>numerous factors, including:</w:t>
      </w:r>
    </w:p>
    <w:p>
      <w:pPr>
        <w:spacing w:after="0" w:line="215" w:lineRule="auto"/>
        <w:rPr>
          <w:sz w:val="20"/>
          <w:szCs w:val="20"/>
          <w:color w:val="auto"/>
        </w:rPr>
      </w:pPr>
      <w:r>
        <w:rPr>
          <w:rFonts w:ascii="Arial" w:cs="Arial" w:eastAsia="Arial" w:hAnsi="Arial"/>
          <w:sz w:val="17"/>
          <w:szCs w:val="17"/>
          <w:color w:val="auto"/>
        </w:rPr>
        <w:t>contribution to business results</w:t>
      </w:r>
    </w:p>
    <w:p>
      <w:pPr>
        <w:spacing w:after="0" w:line="218" w:lineRule="auto"/>
        <w:rPr>
          <w:sz w:val="20"/>
          <w:szCs w:val="20"/>
          <w:color w:val="auto"/>
        </w:rPr>
      </w:pPr>
      <w:r>
        <w:rPr>
          <w:rFonts w:ascii="Arial" w:cs="Arial" w:eastAsia="Arial" w:hAnsi="Arial"/>
          <w:sz w:val="18"/>
          <w:szCs w:val="18"/>
          <w:color w:val="auto"/>
        </w:rPr>
        <w:t>and Company performance;</w:t>
      </w:r>
    </w:p>
    <w:p>
      <w:pPr>
        <w:spacing w:after="0" w:line="202" w:lineRule="auto"/>
        <w:rPr>
          <w:sz w:val="20"/>
          <w:szCs w:val="20"/>
          <w:color w:val="auto"/>
        </w:rPr>
      </w:pPr>
      <w:r>
        <w:rPr>
          <w:rFonts w:ascii="Arial" w:cs="Arial" w:eastAsia="Arial" w:hAnsi="Arial"/>
          <w:sz w:val="18"/>
          <w:szCs w:val="18"/>
          <w:color w:val="auto"/>
        </w:rPr>
        <w:t>completion of objectives;</w:t>
      </w:r>
    </w:p>
    <w:p>
      <w:pPr>
        <w:spacing w:after="0" w:line="203" w:lineRule="auto"/>
        <w:rPr>
          <w:sz w:val="20"/>
          <w:szCs w:val="20"/>
          <w:color w:val="auto"/>
        </w:rPr>
      </w:pPr>
      <w:r>
        <w:rPr>
          <w:rFonts w:ascii="Arial" w:cs="Arial" w:eastAsia="Arial" w:hAnsi="Arial"/>
          <w:sz w:val="18"/>
          <w:szCs w:val="18"/>
          <w:color w:val="auto"/>
        </w:rPr>
        <w:t>behavior consistent with the</w:t>
      </w:r>
    </w:p>
    <w:p>
      <w:pPr>
        <w:spacing w:after="0" w:line="218" w:lineRule="auto"/>
        <w:rPr>
          <w:sz w:val="20"/>
          <w:szCs w:val="20"/>
          <w:color w:val="auto"/>
        </w:rPr>
      </w:pPr>
      <w:r>
        <w:rPr>
          <w:rFonts w:ascii="Arial" w:cs="Arial" w:eastAsia="Arial" w:hAnsi="Arial"/>
          <w:sz w:val="18"/>
          <w:szCs w:val="18"/>
          <w:color w:val="auto"/>
        </w:rPr>
        <w:t>highest standard of integrity,</w:t>
      </w:r>
    </w:p>
    <w:p>
      <w:pPr>
        <w:spacing w:after="0" w:line="203" w:lineRule="auto"/>
        <w:rPr>
          <w:sz w:val="20"/>
          <w:szCs w:val="20"/>
          <w:color w:val="auto"/>
        </w:rPr>
      </w:pPr>
      <w:r>
        <w:rPr>
          <w:rFonts w:ascii="Arial" w:cs="Arial" w:eastAsia="Arial" w:hAnsi="Arial"/>
          <w:sz w:val="18"/>
          <w:szCs w:val="18"/>
          <w:color w:val="auto"/>
        </w:rPr>
        <w:t>ethics and Company values;</w:t>
      </w:r>
    </w:p>
    <w:p>
      <w:pPr>
        <w:spacing w:after="0" w:line="202" w:lineRule="auto"/>
        <w:rPr>
          <w:sz w:val="20"/>
          <w:szCs w:val="20"/>
          <w:color w:val="auto"/>
        </w:rPr>
      </w:pPr>
      <w:r>
        <w:rPr>
          <w:rFonts w:ascii="Arial" w:cs="Arial" w:eastAsia="Arial" w:hAnsi="Arial"/>
          <w:sz w:val="18"/>
          <w:szCs w:val="18"/>
          <w:color w:val="auto"/>
        </w:rPr>
        <w:t>and commitment to</w:t>
      </w:r>
    </w:p>
    <w:p>
      <w:pPr>
        <w:spacing w:after="0" w:line="218" w:lineRule="auto"/>
        <w:rPr>
          <w:sz w:val="20"/>
          <w:szCs w:val="20"/>
          <w:color w:val="auto"/>
        </w:rPr>
      </w:pPr>
      <w:r>
        <w:rPr>
          <w:rFonts w:ascii="Arial" w:cs="Arial" w:eastAsia="Arial" w:hAnsi="Arial"/>
          <w:sz w:val="18"/>
          <w:szCs w:val="18"/>
          <w:color w:val="auto"/>
        </w:rPr>
        <w:t>sustainability and human</w:t>
      </w:r>
    </w:p>
    <w:p>
      <w:pPr>
        <w:spacing w:after="0" w:line="203" w:lineRule="auto"/>
        <w:rPr>
          <w:sz w:val="20"/>
          <w:szCs w:val="20"/>
          <w:color w:val="auto"/>
        </w:rPr>
      </w:pPr>
      <w:r>
        <w:rPr>
          <w:rFonts w:ascii="Arial" w:cs="Arial" w:eastAsia="Arial" w:hAnsi="Arial"/>
          <w:sz w:val="18"/>
          <w:szCs w:val="18"/>
          <w:color w:val="auto"/>
        </w:rPr>
        <w:t>capital programs and</w:t>
      </w:r>
    </w:p>
    <w:p>
      <w:pPr>
        <w:spacing w:after="0"/>
        <w:rPr>
          <w:sz w:val="20"/>
          <w:szCs w:val="20"/>
          <w:color w:val="auto"/>
        </w:rPr>
      </w:pPr>
      <w:r>
        <w:rPr>
          <w:rFonts w:ascii="Arial" w:cs="Arial" w:eastAsia="Arial" w:hAnsi="Arial"/>
          <w:sz w:val="18"/>
          <w:szCs w:val="18"/>
          <w:color w:val="auto"/>
        </w:rPr>
        <w:t>initiatives.</w:t>
      </w:r>
    </w:p>
    <w:p>
      <w:pPr>
        <w:spacing w:after="0" w:line="200" w:lineRule="exact"/>
        <w:rPr>
          <w:sz w:val="20"/>
          <w:szCs w:val="20"/>
          <w:color w:val="auto"/>
        </w:rPr>
      </w:pPr>
    </w:p>
    <w:p>
      <w:pPr>
        <w:sectPr>
          <w:pgSz w:w="11900" w:h="16838" w:orient="portrait"/>
          <w:cols w:equalWidth="0" w:num="3">
            <w:col w:w="2600" w:space="380"/>
            <w:col w:w="2440" w:space="300"/>
            <w:col w:w="55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right="620"/>
        <w:spacing w:after="0" w:line="303" w:lineRule="auto"/>
        <w:rPr>
          <w:sz w:val="20"/>
          <w:szCs w:val="20"/>
          <w:color w:val="auto"/>
        </w:rPr>
      </w:pPr>
      <w:r>
        <w:rPr>
          <w:rFonts w:ascii="Arial" w:cs="Arial" w:eastAsia="Arial" w:hAnsi="Arial"/>
          <w:sz w:val="32"/>
          <w:szCs w:val="32"/>
          <w:b w:val="1"/>
          <w:bCs w:val="1"/>
          <w:color w:val="auto"/>
        </w:rPr>
        <w:t>COMPENSATION-SETTING PROCESS AND THE DETERMINATION OF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TARGETING “REASONABLE” AND “COMPETITIVE” PAY</w:t>
      </w:r>
    </w:p>
    <w:p>
      <w:pPr>
        <w:spacing w:after="0" w:line="25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believe that offering a compensation package that is both “reasonable” and “competitive” with what our executives could otherwise obtain in the market—especially from companies within our Compensation Peer Group—enables us to attract, motivate, reward, and retain qualified individuals who can help us meet our overall objective of increasing shareholder value. The Compensation Committee determines what would be reasonable and competitive compensation based upon an analysis of peer market data (as outlined below in “—Use of Compensation Peer Group Data”), the recommendations of its compensation consultant, and our historical experience.</w:t>
      </w:r>
    </w:p>
    <w:p>
      <w:pPr>
        <w:spacing w:after="0" w:line="20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Compensation Committee generally views the peer market data median as reasonable. However, because the semiconductor industry is highly volatile, the market data (and the median) may change dramatically from year to year, as performance varies, compensation practices change, executives retire, less experienced and lower-paid executives are hired, survey participants change or the quality of available compensation data shifts. As such, the Compensation Committee also considers additional factors in establishing each individual’s target compensation, including:</w:t>
      </w:r>
    </w:p>
    <w:p>
      <w:pPr>
        <w:spacing w:after="0" w:line="245" w:lineRule="exact"/>
        <w:rPr>
          <w:sz w:val="20"/>
          <w:szCs w:val="20"/>
          <w:color w:val="auto"/>
        </w:rPr>
      </w:pPr>
    </w:p>
    <w:p>
      <w:pPr>
        <w:ind w:left="660" w:right="120" w:hanging="330"/>
        <w:spacing w:after="0" w:line="245" w:lineRule="auto"/>
        <w:tabs>
          <w:tab w:leader="none" w:pos="655" w:val="left"/>
        </w:tabs>
        <w:numPr>
          <w:ilvl w:val="0"/>
          <w:numId w:val="54"/>
        </w:numPr>
        <w:rPr>
          <w:rFonts w:ascii="Arial" w:cs="Arial" w:eastAsia="Arial" w:hAnsi="Arial"/>
          <w:sz w:val="21"/>
          <w:szCs w:val="21"/>
          <w:color w:val="BD03F7"/>
        </w:rPr>
      </w:pPr>
      <w:r>
        <w:rPr>
          <w:rFonts w:ascii="Arial" w:cs="Arial" w:eastAsia="Arial" w:hAnsi="Arial"/>
          <w:sz w:val="18"/>
          <w:szCs w:val="18"/>
          <w:color w:val="auto"/>
        </w:rPr>
        <w:t>the executive’s position, level of responsibility, tenure, and experience—both in absolute terms and as compared to our other officers and the executive’s counterparts within the Compensation Peer Group;</w:t>
      </w:r>
    </w:p>
    <w:p>
      <w:pPr>
        <w:spacing w:after="0" w:line="250" w:lineRule="exact"/>
        <w:rPr>
          <w:rFonts w:ascii="Arial" w:cs="Arial" w:eastAsia="Arial" w:hAnsi="Arial"/>
          <w:sz w:val="21"/>
          <w:szCs w:val="21"/>
          <w:color w:val="BD03F7"/>
        </w:rPr>
      </w:pPr>
    </w:p>
    <w:p>
      <w:pPr>
        <w:ind w:left="640" w:hanging="310"/>
        <w:spacing w:after="0"/>
        <w:tabs>
          <w:tab w:leader="none" w:pos="640" w:val="left"/>
        </w:tabs>
        <w:numPr>
          <w:ilvl w:val="0"/>
          <w:numId w:val="54"/>
        </w:numPr>
        <w:rPr>
          <w:rFonts w:ascii="Arial" w:cs="Arial" w:eastAsia="Arial" w:hAnsi="Arial"/>
          <w:sz w:val="21"/>
          <w:szCs w:val="21"/>
          <w:color w:val="BD03F7"/>
        </w:rPr>
      </w:pPr>
      <w:r>
        <w:rPr>
          <w:rFonts w:ascii="Arial" w:cs="Arial" w:eastAsia="Arial" w:hAnsi="Arial"/>
          <w:sz w:val="18"/>
          <w:szCs w:val="18"/>
          <w:color w:val="auto"/>
        </w:rPr>
        <w:t>the executive’s past and anticipated contributions and technical expertise;</w:t>
      </w:r>
    </w:p>
    <w:p>
      <w:pPr>
        <w:spacing w:after="0" w:line="255" w:lineRule="exact"/>
        <w:rPr>
          <w:rFonts w:ascii="Arial" w:cs="Arial" w:eastAsia="Arial" w:hAnsi="Arial"/>
          <w:sz w:val="21"/>
          <w:szCs w:val="21"/>
          <w:color w:val="BD03F7"/>
        </w:rPr>
      </w:pPr>
    </w:p>
    <w:p>
      <w:pPr>
        <w:ind w:left="640" w:hanging="310"/>
        <w:spacing w:after="0"/>
        <w:tabs>
          <w:tab w:leader="none" w:pos="640" w:val="left"/>
        </w:tabs>
        <w:numPr>
          <w:ilvl w:val="0"/>
          <w:numId w:val="54"/>
        </w:numPr>
        <w:rPr>
          <w:rFonts w:ascii="Arial" w:cs="Arial" w:eastAsia="Arial" w:hAnsi="Arial"/>
          <w:sz w:val="21"/>
          <w:szCs w:val="21"/>
          <w:color w:val="BD03F7"/>
        </w:rPr>
      </w:pPr>
      <w:r>
        <w:rPr>
          <w:rFonts w:ascii="Arial" w:cs="Arial" w:eastAsia="Arial" w:hAnsi="Arial"/>
          <w:sz w:val="18"/>
          <w:szCs w:val="18"/>
          <w:color w:val="auto"/>
        </w:rPr>
        <w:t>the executive’s importance to our leadership succession plans;</w:t>
      </w:r>
    </w:p>
    <w:p>
      <w:pPr>
        <w:spacing w:after="0" w:line="255" w:lineRule="exact"/>
        <w:rPr>
          <w:rFonts w:ascii="Arial" w:cs="Arial" w:eastAsia="Arial" w:hAnsi="Arial"/>
          <w:sz w:val="21"/>
          <w:szCs w:val="21"/>
          <w:color w:val="BD03F7"/>
        </w:rPr>
      </w:pPr>
    </w:p>
    <w:p>
      <w:pPr>
        <w:ind w:left="640" w:hanging="310"/>
        <w:spacing w:after="0"/>
        <w:tabs>
          <w:tab w:leader="none" w:pos="640" w:val="left"/>
        </w:tabs>
        <w:numPr>
          <w:ilvl w:val="0"/>
          <w:numId w:val="54"/>
        </w:numPr>
        <w:rPr>
          <w:rFonts w:ascii="Arial" w:cs="Arial" w:eastAsia="Arial" w:hAnsi="Arial"/>
          <w:sz w:val="21"/>
          <w:szCs w:val="21"/>
          <w:color w:val="BD03F7"/>
        </w:rPr>
      </w:pPr>
      <w:r>
        <w:rPr>
          <w:rFonts w:ascii="Arial" w:cs="Arial" w:eastAsia="Arial" w:hAnsi="Arial"/>
          <w:sz w:val="18"/>
          <w:szCs w:val="18"/>
          <w:color w:val="auto"/>
        </w:rPr>
        <w:t>recent Company performance and projections for future periods;</w:t>
      </w:r>
    </w:p>
    <w:p>
      <w:pPr>
        <w:spacing w:after="0" w:line="269" w:lineRule="exact"/>
        <w:rPr>
          <w:rFonts w:ascii="Arial" w:cs="Arial" w:eastAsia="Arial" w:hAnsi="Arial"/>
          <w:sz w:val="21"/>
          <w:szCs w:val="21"/>
          <w:color w:val="BD03F7"/>
        </w:rPr>
      </w:pPr>
    </w:p>
    <w:p>
      <w:pPr>
        <w:ind w:left="640" w:hanging="310"/>
        <w:spacing w:after="0"/>
        <w:tabs>
          <w:tab w:leader="none" w:pos="640" w:val="left"/>
        </w:tabs>
        <w:numPr>
          <w:ilvl w:val="0"/>
          <w:numId w:val="54"/>
        </w:numPr>
        <w:rPr>
          <w:rFonts w:ascii="Arial" w:cs="Arial" w:eastAsia="Arial" w:hAnsi="Arial"/>
          <w:sz w:val="21"/>
          <w:szCs w:val="21"/>
          <w:color w:val="BD03F7"/>
        </w:rPr>
      </w:pPr>
      <w:r>
        <w:rPr>
          <w:rFonts w:ascii="Arial" w:cs="Arial" w:eastAsia="Arial" w:hAnsi="Arial"/>
          <w:sz w:val="18"/>
          <w:szCs w:val="18"/>
          <w:color w:val="auto"/>
        </w:rPr>
        <w:t>applicable business unit performance; and</w:t>
      </w:r>
    </w:p>
    <w:p>
      <w:pPr>
        <w:spacing w:after="0" w:line="255" w:lineRule="exact"/>
        <w:rPr>
          <w:rFonts w:ascii="Arial" w:cs="Arial" w:eastAsia="Arial" w:hAnsi="Arial"/>
          <w:sz w:val="21"/>
          <w:szCs w:val="21"/>
          <w:color w:val="BD03F7"/>
        </w:rPr>
      </w:pPr>
    </w:p>
    <w:p>
      <w:pPr>
        <w:ind w:left="640" w:hanging="310"/>
        <w:spacing w:after="0"/>
        <w:tabs>
          <w:tab w:leader="none" w:pos="640" w:val="left"/>
        </w:tabs>
        <w:numPr>
          <w:ilvl w:val="0"/>
          <w:numId w:val="54"/>
        </w:numPr>
        <w:rPr>
          <w:rFonts w:ascii="Times New Roman" w:cs="Times New Roman" w:eastAsia="Times New Roman" w:hAnsi="Times New Roman"/>
          <w:sz w:val="21"/>
          <w:szCs w:val="21"/>
          <w:color w:val="BD03F7"/>
        </w:rPr>
      </w:pPr>
      <w:r>
        <w:rPr>
          <w:rFonts w:ascii="Arial" w:cs="Arial" w:eastAsia="Arial" w:hAnsi="Arial"/>
          <w:sz w:val="18"/>
          <w:szCs w:val="18"/>
          <w:color w:val="auto"/>
        </w:rPr>
        <w:t>our strategic business plan.</w:t>
      </w:r>
    </w:p>
    <w:p>
      <w:pPr>
        <w:spacing w:after="0" w:line="21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Compensation Committee believes, including based on advice from its compensation consultant, that a reasonable and competitive executive compensation package will address practices with respect to each of the three most common elements of direct compensation: base salary, short-term incentive (cash bonus), and long-term incentive (typically equity). We do not have a rigid formula for dividing target total direct compensation among these three elements, but strongly believe that a significant portion of compensation should be variable and incentive-based, consistent with our pay philosophy.</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OVERSIGHT OF THE EXECUTIVE COMPENSATION PROGRAM</w:t>
      </w: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Each year, the Compensation Committee, advised by its independent compensation consultant, undertakes a rigorous process to review our executive compensation program and to determine compensation in the context of our pay-for-performance philosophy. The Compensation Committee reviews and approves the goals and objectives used to determine executive compensation, evaluates performance considering such goals and objectives, and determines and approves compensation levels based on that evaluation. The Compensation Committee works closely with our Chief Executive Officer to establish performance goals that further our strategic objectives and to set compensation for the Company’s other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180"/>
        <w:spacing w:after="0" w:line="285" w:lineRule="auto"/>
        <w:rPr>
          <w:sz w:val="20"/>
          <w:szCs w:val="20"/>
          <w:color w:val="auto"/>
        </w:rPr>
      </w:pPr>
      <w:r>
        <w:rPr>
          <w:rFonts w:ascii="Arial" w:cs="Arial" w:eastAsia="Arial" w:hAnsi="Arial"/>
          <w:sz w:val="18"/>
          <w:szCs w:val="18"/>
          <w:color w:val="auto"/>
        </w:rPr>
        <w:t>The Compensation Committee sets compensation levels at the beginning of each fiscal year. A more detailed description of the Compensation Committee’s responsibilities is provided in the Compensation Committee’s charter.</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ENGAGEMENT OF COMPENSATION CONSULTANT</w:t>
      </w:r>
    </w:p>
    <w:p>
      <w:pPr>
        <w:spacing w:after="0" w:line="252" w:lineRule="exact"/>
        <w:rPr>
          <w:sz w:val="20"/>
          <w:szCs w:val="20"/>
          <w:color w:val="auto"/>
        </w:rPr>
      </w:pPr>
    </w:p>
    <w:p>
      <w:pPr>
        <w:jc w:val="both"/>
        <w:ind w:right="100"/>
        <w:spacing w:after="0" w:line="290" w:lineRule="auto"/>
        <w:rPr>
          <w:sz w:val="20"/>
          <w:szCs w:val="20"/>
          <w:color w:val="auto"/>
        </w:rPr>
      </w:pPr>
      <w:r>
        <w:rPr>
          <w:rFonts w:ascii="Arial" w:cs="Arial" w:eastAsia="Arial" w:hAnsi="Arial"/>
          <w:sz w:val="17"/>
          <w:szCs w:val="17"/>
          <w:color w:val="auto"/>
        </w:rPr>
        <w:t>The Compensation Committee annually engages a compensation consultant to provide a comprehensive review of executive compensation matters and meets with the compensation consultant at least quarterly. The compensation consultant provides the Compensation Committee with information regarding cash and non-cash compensation elements for our executive officers and historical and trend payment data.</w:t>
      </w:r>
    </w:p>
    <w:p>
      <w:pPr>
        <w:spacing w:after="0" w:line="17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Compensation Committee has established procedures intended to keep its independent compensation consultant’s advice objective and free of influence from our management. These procedures include: a direct reporting relationship to the Compensation Committee; a provision in the engagement letter specifying what information, data, and recommendations can be shared with management; and an annual update to the Compensation Committee on the compensation consultant’s relationship with the Company, including a summary of the work performed during the preceding 12 months. For Fiscal 2025, the specific activities undertaken by the compensation consultant for the Compensation Committee included:</w:t>
      </w:r>
    </w:p>
    <w:p>
      <w:pPr>
        <w:spacing w:after="0" w:line="194" w:lineRule="exact"/>
        <w:rPr>
          <w:sz w:val="20"/>
          <w:szCs w:val="20"/>
          <w:color w:val="auto"/>
        </w:rPr>
      </w:pPr>
    </w:p>
    <w:p>
      <w:pPr>
        <w:ind w:left="640" w:hanging="310"/>
        <w:spacing w:after="0"/>
        <w:tabs>
          <w:tab w:leader="none" w:pos="640" w:val="left"/>
        </w:tabs>
        <w:numPr>
          <w:ilvl w:val="0"/>
          <w:numId w:val="55"/>
        </w:numPr>
        <w:rPr>
          <w:rFonts w:ascii="Arial" w:cs="Arial" w:eastAsia="Arial" w:hAnsi="Arial"/>
          <w:sz w:val="18"/>
          <w:szCs w:val="18"/>
          <w:color w:val="BD03F7"/>
        </w:rPr>
      </w:pPr>
      <w:r>
        <w:rPr>
          <w:rFonts w:ascii="Arial" w:cs="Arial" w:eastAsia="Arial" w:hAnsi="Arial"/>
          <w:sz w:val="18"/>
          <w:szCs w:val="18"/>
          <w:color w:val="auto"/>
        </w:rPr>
        <w:t>review the Compensation Peer Group and recommend any changes to its members;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5"/>
        </w:numPr>
        <w:rPr>
          <w:rFonts w:ascii="Arial" w:cs="Arial" w:eastAsia="Arial" w:hAnsi="Arial"/>
          <w:sz w:val="18"/>
          <w:szCs w:val="18"/>
          <w:color w:val="BD03F7"/>
        </w:rPr>
      </w:pPr>
      <w:r>
        <w:rPr>
          <w:rFonts w:ascii="Arial" w:cs="Arial" w:eastAsia="Arial" w:hAnsi="Arial"/>
          <w:sz w:val="18"/>
          <w:szCs w:val="18"/>
          <w:color w:val="auto"/>
        </w:rPr>
        <w:t>evaluate target total direct compensation and its components for our executive officers;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5"/>
        </w:numPr>
        <w:rPr>
          <w:rFonts w:ascii="Arial" w:cs="Arial" w:eastAsia="Arial" w:hAnsi="Arial"/>
          <w:sz w:val="18"/>
          <w:szCs w:val="18"/>
          <w:color w:val="BD03F7"/>
        </w:rPr>
      </w:pPr>
      <w:r>
        <w:rPr>
          <w:rFonts w:ascii="Arial" w:cs="Arial" w:eastAsia="Arial" w:hAnsi="Arial"/>
          <w:sz w:val="18"/>
          <w:szCs w:val="18"/>
          <w:color w:val="auto"/>
        </w:rPr>
        <w:t>evaluate our historical “pay-for-performance” relationship;</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5"/>
        </w:numPr>
        <w:rPr>
          <w:rFonts w:ascii="Arial" w:cs="Arial" w:eastAsia="Arial" w:hAnsi="Arial"/>
          <w:sz w:val="18"/>
          <w:szCs w:val="18"/>
          <w:color w:val="BD03F7"/>
        </w:rPr>
      </w:pPr>
      <w:r>
        <w:rPr>
          <w:rFonts w:ascii="Arial" w:cs="Arial" w:eastAsia="Arial" w:hAnsi="Arial"/>
          <w:sz w:val="18"/>
          <w:szCs w:val="18"/>
          <w:color w:val="auto"/>
        </w:rPr>
        <w:t>review the metrics and targets associated with the annual STI and LTI compensation plans;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5"/>
        </w:numPr>
        <w:rPr>
          <w:rFonts w:ascii="Arial" w:cs="Arial" w:eastAsia="Arial" w:hAnsi="Arial"/>
          <w:sz w:val="18"/>
          <w:szCs w:val="18"/>
          <w:color w:val="BD03F7"/>
        </w:rPr>
      </w:pPr>
      <w:r>
        <w:rPr>
          <w:rFonts w:ascii="Arial" w:cs="Arial" w:eastAsia="Arial" w:hAnsi="Arial"/>
          <w:sz w:val="18"/>
          <w:szCs w:val="18"/>
          <w:color w:val="auto"/>
        </w:rPr>
        <w:t>review the proposed equity awards to be granted to our executive officers, along with providing vesting recommendations;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5"/>
        </w:numPr>
        <w:rPr>
          <w:rFonts w:ascii="Arial" w:cs="Arial" w:eastAsia="Arial" w:hAnsi="Arial"/>
          <w:sz w:val="18"/>
          <w:szCs w:val="18"/>
          <w:color w:val="BD03F7"/>
        </w:rPr>
      </w:pPr>
      <w:r>
        <w:rPr>
          <w:rFonts w:ascii="Arial" w:cs="Arial" w:eastAsia="Arial" w:hAnsi="Arial"/>
          <w:sz w:val="18"/>
          <w:szCs w:val="18"/>
          <w:color w:val="auto"/>
        </w:rPr>
        <w:t>assist with a risk assessment of our compensation policies and practices;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5"/>
        </w:numPr>
        <w:rPr>
          <w:rFonts w:ascii="Times New Roman" w:cs="Times New Roman" w:eastAsia="Times New Roman" w:hAnsi="Times New Roman"/>
          <w:sz w:val="18"/>
          <w:szCs w:val="18"/>
          <w:color w:val="BD03F7"/>
        </w:rPr>
      </w:pPr>
      <w:r>
        <w:rPr>
          <w:rFonts w:ascii="Arial" w:cs="Arial" w:eastAsia="Arial" w:hAnsi="Arial"/>
          <w:sz w:val="18"/>
          <w:szCs w:val="18"/>
          <w:color w:val="auto"/>
        </w:rPr>
        <w:t>review Chief Executive Officer benefit and perquisite practices;</w:t>
      </w:r>
    </w:p>
    <w:p>
      <w:pPr>
        <w:spacing w:after="0" w:line="235" w:lineRule="exact"/>
        <w:rPr>
          <w:rFonts w:ascii="Times New Roman" w:cs="Times New Roman" w:eastAsia="Times New Roman" w:hAnsi="Times New Roman"/>
          <w:sz w:val="18"/>
          <w:szCs w:val="18"/>
          <w:color w:val="BD03F7"/>
        </w:rPr>
      </w:pPr>
    </w:p>
    <w:p>
      <w:pPr>
        <w:ind w:left="640" w:hanging="310"/>
        <w:spacing w:after="0"/>
        <w:tabs>
          <w:tab w:leader="none" w:pos="640" w:val="left"/>
        </w:tabs>
        <w:numPr>
          <w:ilvl w:val="0"/>
          <w:numId w:val="55"/>
        </w:numPr>
        <w:rPr>
          <w:rFonts w:ascii="Arial" w:cs="Arial" w:eastAsia="Arial" w:hAnsi="Arial"/>
          <w:sz w:val="18"/>
          <w:szCs w:val="18"/>
          <w:color w:val="BD03F7"/>
        </w:rPr>
      </w:pPr>
      <w:r>
        <w:rPr>
          <w:rFonts w:ascii="Arial" w:cs="Arial" w:eastAsia="Arial" w:hAnsi="Arial"/>
          <w:sz w:val="18"/>
          <w:szCs w:val="18"/>
          <w:color w:val="auto"/>
        </w:rPr>
        <w:t>provide periodic updates on compensation trends and regulatory developments;</w:t>
      </w:r>
    </w:p>
    <w:p>
      <w:pPr>
        <w:spacing w:after="0" w:line="236" w:lineRule="exact"/>
        <w:rPr>
          <w:rFonts w:ascii="Arial" w:cs="Arial" w:eastAsia="Arial" w:hAnsi="Arial"/>
          <w:sz w:val="18"/>
          <w:szCs w:val="18"/>
          <w:color w:val="BD03F7"/>
        </w:rPr>
      </w:pPr>
    </w:p>
    <w:p>
      <w:pPr>
        <w:ind w:left="640" w:hanging="310"/>
        <w:spacing w:after="0"/>
        <w:tabs>
          <w:tab w:leader="none" w:pos="640" w:val="left"/>
        </w:tabs>
        <w:numPr>
          <w:ilvl w:val="0"/>
          <w:numId w:val="55"/>
        </w:numPr>
        <w:rPr>
          <w:rFonts w:ascii="Arial" w:cs="Arial" w:eastAsia="Arial" w:hAnsi="Arial"/>
          <w:sz w:val="18"/>
          <w:szCs w:val="18"/>
          <w:color w:val="BD03F7"/>
        </w:rPr>
      </w:pPr>
      <w:r>
        <w:rPr>
          <w:rFonts w:ascii="Arial" w:cs="Arial" w:eastAsia="Arial" w:hAnsi="Arial"/>
          <w:sz w:val="18"/>
          <w:szCs w:val="18"/>
          <w:color w:val="auto"/>
        </w:rPr>
        <w:t>review a draft of the Compensation Discussion and Analysis section of our definitive proxy statement; and</w:t>
      </w:r>
    </w:p>
    <w:p>
      <w:pPr>
        <w:spacing w:after="0" w:line="222" w:lineRule="exact"/>
        <w:rPr>
          <w:rFonts w:ascii="Arial" w:cs="Arial" w:eastAsia="Arial" w:hAnsi="Arial"/>
          <w:sz w:val="18"/>
          <w:szCs w:val="18"/>
          <w:color w:val="BD03F7"/>
        </w:rPr>
      </w:pPr>
    </w:p>
    <w:p>
      <w:pPr>
        <w:ind w:left="640" w:hanging="310"/>
        <w:spacing w:after="0"/>
        <w:tabs>
          <w:tab w:leader="none" w:pos="640" w:val="left"/>
        </w:tabs>
        <w:numPr>
          <w:ilvl w:val="0"/>
          <w:numId w:val="55"/>
        </w:numPr>
        <w:rPr>
          <w:rFonts w:ascii="Arial" w:cs="Arial" w:eastAsia="Arial" w:hAnsi="Arial"/>
          <w:sz w:val="18"/>
          <w:szCs w:val="18"/>
          <w:color w:val="BD03F7"/>
        </w:rPr>
      </w:pPr>
      <w:r>
        <w:rPr>
          <w:rFonts w:ascii="Arial" w:cs="Arial" w:eastAsia="Arial" w:hAnsi="Arial"/>
          <w:sz w:val="18"/>
          <w:szCs w:val="18"/>
          <w:color w:val="auto"/>
        </w:rPr>
        <w:t>attend the Compensation Committee meetings in which executive compensation matters are discussed.</w:t>
      </w:r>
    </w:p>
    <w:p>
      <w:pPr>
        <w:spacing w:after="0" w:line="25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Compensia, Inc. (“Compensia") was the Compensation Committee’s independent compensation consultant in Fiscal 2025. Compensia did not provide any services for the Company other than consulting work related to executive compensation for the Compensation Committee and non-employee director compensation for the Governance and Sustainability Committee.</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Compensation Committee considered Compensia’s independence in light of SEC rules and Nasdaq Listing Rules. The Compensation Committee received a letter from Compensia addressing its independence, including the following factors: (i) other services provided to the Company by them; (ii) fees paid by the Company as a percentage of their total annual revenue; (iii) policies or procedures maintained by them that are designed to prevent a conflict of interest; (iv) any business or personal relationships between the individual consultants involved in the engagement and any member of the Compensation Committee; (v) whether the individual consultants involved in the engagement owned shares of our Common Stock; and (vi) any business or personal relationships between our executive officers and Compensia or the individual consultants involved in the engagement. The Compensation Committee concluded that there were no conflicts of interest with Compensia.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DETERMINATION OF THE COMPENSATION PEER GROUP</w:t>
      </w:r>
    </w:p>
    <w:p>
      <w:pPr>
        <w:spacing w:after="0" w:line="25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Compensation Committee, with the support of Compensia, reviews and approves our Compensation Peer Group annually to ensure that it reflects industry or economic changes and core selection criteria. Our current criteria include comparable revenue and market capitalization size; industry, with a focus on semiconductor companies and other broad technology industry companies that are market leaders in their space; and whether a company competes with Micron for executive talent or has a similar business strategy.</w:t>
      </w:r>
    </w:p>
    <w:p>
      <w:pPr>
        <w:spacing w:after="0" w:line="20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Compensation Peer Group for Fiscal 2025 was composed of the following 16 companies. In consultation with Compensia, the Compensation Committee reviewed and approved the Compensation Peer Group for Fiscal 2025, which was unchanged from our Compensation Peer Group for Fiscal 2024. In approving such peer group, the Compensation Committee observed that given the cyclicality and volatility of the industry in which the Company operates, that the Company’s relative positioning can fluctuate significantly year to year. The Compensation Committee considered that it was important for the Company to avoid inadvertently overcorrecting or relying too heavily on relative positioning changes that may be limited to short-term fluctuations and to provide appropriate continued focus on other critical parameters such as companies with similar business strategies and/or that compete with us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143510</wp:posOffset>
            </wp:positionV>
            <wp:extent cx="5733415" cy="4334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33415" cy="433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USE OF COMPENSATION PEER GROUP DATA</w:t>
      </w:r>
    </w:p>
    <w:p>
      <w:pPr>
        <w:spacing w:after="0" w:line="25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Compensia gathers data from the proxy statements publicly filed by the members of our Compensation Peer Group and, for certain roles, from published compensation surveys. Compensation survey data may vary from year to year. For Fiscal 2025, Compensia used the Radford Global Technology Survey. The relevant survey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9780"/>
        <w:spacing w:after="0"/>
        <w:rPr>
          <w:sz w:val="20"/>
          <w:szCs w:val="20"/>
          <w:color w:val="auto"/>
        </w:rPr>
      </w:pPr>
      <w:r>
        <w:rPr>
          <w:sz w:val="1"/>
          <w:szCs w:val="1"/>
          <w:color w:val="auto"/>
        </w:rPr>
        <w:drawing>
          <wp:inline distT="0" distB="0" distL="0" distR="0">
            <wp:extent cx="776605" cy="16192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1583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Compensation Peer Group data for Fiscal 2025 are collectively referred to throughout this Compensation Discussion and Analysis as market data.</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Compensia endeavors to collect data based on job descriptions so the Compensation Committee can match positions held by our executives with positions in our Compensation Peer Group. If the Compensation Committee cannot match positions to a reasonable number of companies within the Compensation Peer Group, it will match the rank of the person involved. For example, our third-highest paid executive officer could be compared to the third-highest paid executive officer at each company within the Compensation Peer Group.</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COMPENSATION-SETTING PROCESS</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Based on its review of the most recent available market data, Compensia identifies the values for the 25th, 50th, and 75th percentile with respect to each position or rank, and then compares our compensation data—both as to the elements and the amounts to be paid or potential value to be delivered—with those findings and reports to the Chief Executive Officer and the Compensation Committee. The Chief Executive Officer works with Compensia by providing our financial data for the most recent fiscal year and reviewing our strategic business plan and projected financial results for the current fiscal year. For all Named Executive Officers other than himself, the Chief Executive Officer makes suggestions as to base salary, recommends a potential set of Company-wide and/or business unit metrics and short-term targets for the current fiscal year, and offers suggestions as to long-term incentive compensation. The Chief Executive Officer makes no recommendations as to his own level of compensation.</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Compensation Committee reviews the market data, discusses it with the Chief Executive Officer and with Compensia, discusses individual executive officer performance based on input from the Chief Executive Officer and, without the Chief Executive Officer present, discusses the Chief Executive Officer’s performance for the recently completed fiscal year, anticipated performance for the current year and the other factors outlined above, as relevant. Following these deliberations, the Compensation Committee approves the compensation for the current fiscal year, including the performance metrics and targets, as well as exercises its business judgment to certify the payment of performance-based compensation.</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COMPONENTS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29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October 2024, the Compensation Committee set compensation levels and performance goals for Fiscal 2025 based on a review of financial results, projections, individual contributions, strategic objectives, market data, and market conditions. The table below reflects target total direct compensation for our Named Executive Officers and illustrates our executive compensation program’s emphasis on longer-term and performance-based variable award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241"/>
        </w:trPr>
        <w:tc>
          <w:tcPr>
            <w:tcW w:w="2520" w:type="dxa"/>
            <w:vAlign w:val="bottom"/>
            <w:tcBorders>
              <w:bottom w:val="single" w:sz="8" w:color="BD03F7"/>
            </w:tcBorders>
          </w:tcPr>
          <w:p>
            <w:pPr>
              <w:ind w:left="40"/>
              <w:spacing w:after="0"/>
              <w:rPr>
                <w:sz w:val="20"/>
                <w:szCs w:val="20"/>
                <w:color w:val="auto"/>
              </w:rPr>
            </w:pPr>
            <w:r>
              <w:rPr>
                <w:rFonts w:ascii="Arial" w:cs="Arial" w:eastAsia="Arial" w:hAnsi="Arial"/>
                <w:sz w:val="18"/>
                <w:szCs w:val="18"/>
                <w:b w:val="1"/>
                <w:bCs w:val="1"/>
                <w:color w:val="auto"/>
              </w:rPr>
              <w:t>Compensation Component</w:t>
            </w:r>
          </w:p>
        </w:tc>
        <w:tc>
          <w:tcPr>
            <w:tcW w:w="2460" w:type="dxa"/>
            <w:vAlign w:val="bottom"/>
            <w:tcBorders>
              <w:bottom w:val="single" w:sz="8" w:color="BD03F7"/>
            </w:tcBorders>
          </w:tcPr>
          <w:p>
            <w:pPr>
              <w:ind w:left="200"/>
              <w:spacing w:after="0"/>
              <w:rPr>
                <w:sz w:val="20"/>
                <w:szCs w:val="20"/>
                <w:color w:val="auto"/>
              </w:rPr>
            </w:pPr>
            <w:r>
              <w:rPr>
                <w:rFonts w:ascii="Arial" w:cs="Arial" w:eastAsia="Arial" w:hAnsi="Arial"/>
                <w:sz w:val="18"/>
                <w:szCs w:val="18"/>
                <w:b w:val="1"/>
                <w:bCs w:val="1"/>
                <w:color w:val="auto"/>
              </w:rPr>
              <w:t>Characteristics</w:t>
            </w:r>
          </w:p>
        </w:tc>
        <w:tc>
          <w:tcPr>
            <w:tcW w:w="242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Purpose</w:t>
            </w:r>
          </w:p>
        </w:tc>
        <w:tc>
          <w:tcPr>
            <w:tcW w:w="80" w:type="dxa"/>
            <w:vAlign w:val="bottom"/>
            <w:tcBorders>
              <w:bottom w:val="single" w:sz="8" w:color="BD03F7"/>
            </w:tcBorders>
          </w:tcPr>
          <w:p>
            <w:pPr>
              <w:spacing w:after="0"/>
              <w:rPr>
                <w:sz w:val="20"/>
                <w:szCs w:val="20"/>
                <w:color w:val="auto"/>
              </w:rPr>
            </w:pPr>
          </w:p>
        </w:tc>
        <w:tc>
          <w:tcPr>
            <w:tcW w:w="268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Determining Factors</w:t>
            </w:r>
          </w:p>
        </w:tc>
        <w:tc>
          <w:tcPr>
            <w:tcW w:w="0" w:type="dxa"/>
            <w:vAlign w:val="bottom"/>
          </w:tcPr>
          <w:p>
            <w:pPr>
              <w:spacing w:after="0"/>
              <w:rPr>
                <w:sz w:val="1"/>
                <w:szCs w:val="1"/>
                <w:color w:val="auto"/>
              </w:rPr>
            </w:pPr>
          </w:p>
        </w:tc>
      </w:tr>
      <w:tr>
        <w:trPr>
          <w:trHeight w:val="403"/>
        </w:trPr>
        <w:tc>
          <w:tcPr>
            <w:tcW w:w="25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Compensates executives for</w:t>
            </w:r>
          </w:p>
        </w:tc>
        <w:tc>
          <w:tcPr>
            <w:tcW w:w="80" w:type="dxa"/>
            <w:vAlign w:val="bottom"/>
          </w:tcPr>
          <w:p>
            <w:pPr>
              <w:spacing w:after="0"/>
              <w:rPr>
                <w:sz w:val="24"/>
                <w:szCs w:val="24"/>
                <w:color w:val="auto"/>
              </w:rPr>
            </w:pPr>
          </w:p>
        </w:tc>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Market data informs baseline</w:t>
            </w:r>
          </w:p>
        </w:tc>
        <w:tc>
          <w:tcPr>
            <w:tcW w:w="0" w:type="dxa"/>
            <w:vAlign w:val="bottom"/>
          </w:tcPr>
          <w:p>
            <w:pPr>
              <w:spacing w:after="0"/>
              <w:rPr>
                <w:sz w:val="1"/>
                <w:szCs w:val="1"/>
                <w:color w:val="auto"/>
              </w:rPr>
            </w:pPr>
          </w:p>
        </w:tc>
      </w:tr>
      <w:tr>
        <w:trPr>
          <w:trHeight w:val="161"/>
        </w:trPr>
        <w:tc>
          <w:tcPr>
            <w:tcW w:w="2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20" w:type="dxa"/>
            <w:vAlign w:val="bottom"/>
          </w:tcPr>
          <w:p>
            <w:pPr>
              <w:ind w:left="20"/>
              <w:spacing w:after="0" w:line="161" w:lineRule="exact"/>
              <w:rPr>
                <w:sz w:val="20"/>
                <w:szCs w:val="20"/>
                <w:color w:val="auto"/>
              </w:rPr>
            </w:pPr>
            <w:r>
              <w:rPr>
                <w:rFonts w:ascii="Arial" w:cs="Arial" w:eastAsia="Arial" w:hAnsi="Arial"/>
                <w:sz w:val="16"/>
                <w:szCs w:val="16"/>
                <w:color w:val="auto"/>
              </w:rPr>
              <w:t>performing day-to-day job</w:t>
            </w:r>
          </w:p>
        </w:tc>
        <w:tc>
          <w:tcPr>
            <w:tcW w:w="8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Base Salary</w:t>
            </w:r>
          </w:p>
        </w:tc>
        <w:tc>
          <w:tcPr>
            <w:tcW w:w="24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responsibilities</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52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420" w:type="dxa"/>
            <w:vAlign w:val="bottom"/>
            <w:tcBorders>
              <w:bottom w:val="single" w:sz="8" w:color="DBDBDB"/>
            </w:tcBorders>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tcBorders>
              <w:bottom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491"/>
        </w:trPr>
        <w:tc>
          <w:tcPr>
            <w:tcW w:w="2520" w:type="dxa"/>
            <w:vAlign w:val="bottom"/>
          </w:tcPr>
          <w:p>
            <w:pPr>
              <w:spacing w:after="0"/>
              <w:rPr>
                <w:sz w:val="24"/>
                <w:szCs w:val="24"/>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Fixed Compensation</w:t>
            </w:r>
          </w:p>
        </w:tc>
        <w:tc>
          <w:tcPr>
            <w:tcW w:w="2420" w:type="dxa"/>
            <w:vAlign w:val="bottom"/>
          </w:tcPr>
          <w:p>
            <w:pPr>
              <w:ind w:left="20"/>
              <w:spacing w:after="0"/>
              <w:rPr>
                <w:sz w:val="20"/>
                <w:szCs w:val="20"/>
                <w:color w:val="auto"/>
              </w:rPr>
            </w:pPr>
            <w:r>
              <w:rPr>
                <w:rFonts w:ascii="Arial" w:cs="Arial" w:eastAsia="Arial" w:hAnsi="Arial"/>
                <w:sz w:val="16"/>
                <w:szCs w:val="16"/>
                <w:color w:val="auto"/>
              </w:rPr>
              <w:t>Attracts, develops, and retains</w:t>
            </w: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highly-qualified executive talent</w:t>
            </w:r>
          </w:p>
        </w:tc>
        <w:tc>
          <w:tcPr>
            <w:tcW w:w="80" w:type="dxa"/>
            <w:vAlign w:val="bottom"/>
          </w:tcPr>
          <w:p>
            <w:pPr>
              <w:spacing w:after="0"/>
              <w:rPr>
                <w:sz w:val="18"/>
                <w:szCs w:val="18"/>
                <w:color w:val="auto"/>
              </w:rPr>
            </w:pPr>
          </w:p>
        </w:tc>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Adjusted for executive’s</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tcPr>
          <w:p>
            <w:pPr>
              <w:ind w:left="20"/>
              <w:spacing w:after="0" w:line="161" w:lineRule="exact"/>
              <w:rPr>
                <w:sz w:val="20"/>
                <w:szCs w:val="20"/>
                <w:color w:val="auto"/>
              </w:rPr>
            </w:pPr>
            <w:r>
              <w:rPr>
                <w:rFonts w:ascii="Arial" w:cs="Arial" w:eastAsia="Arial" w:hAnsi="Arial"/>
                <w:sz w:val="16"/>
                <w:szCs w:val="16"/>
                <w:color w:val="auto"/>
              </w:rPr>
              <w:t>contributions, experience and</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20" w:type="dxa"/>
            <w:vAlign w:val="bottom"/>
            <w:tcBorders>
              <w:bottom w:val="single" w:sz="8" w:color="DBDBDB"/>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20" w:type="dxa"/>
            <w:vAlign w:val="bottom"/>
            <w:vMerge w:val="restart"/>
          </w:tcPr>
          <w:p>
            <w:pPr>
              <w:ind w:left="20"/>
              <w:spacing w:after="0"/>
              <w:rPr>
                <w:sz w:val="20"/>
                <w:szCs w:val="20"/>
                <w:color w:val="auto"/>
              </w:rPr>
            </w:pPr>
            <w:r>
              <w:rPr>
                <w:rFonts w:ascii="Arial" w:cs="Arial" w:eastAsia="Arial" w:hAnsi="Arial"/>
                <w:sz w:val="16"/>
                <w:szCs w:val="16"/>
                <w:color w:val="auto"/>
              </w:rPr>
              <w:t>Maintains stable management</w:t>
            </w:r>
          </w:p>
        </w:tc>
        <w:tc>
          <w:tcPr>
            <w:tcW w:w="8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team</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-1731010</wp:posOffset>
            </wp:positionV>
            <wp:extent cx="7124700" cy="897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24700" cy="8975725"/>
                    </a:xfrm>
                    <a:prstGeom prst="rect">
                      <a:avLst/>
                    </a:prstGeom>
                    <a:noFill/>
                  </pic:spPr>
                </pic:pic>
              </a:graphicData>
            </a:graphic>
          </wp:anchor>
        </w:drawing>
      </w:r>
    </w:p>
    <w:p>
      <w:pPr>
        <w:sectPr>
          <w:pgSz w:w="11900" w:h="16838" w:orient="portrait"/>
          <w:cols w:equalWidth="0" w:num="1">
            <w:col w:w="11240"/>
          </w:cols>
          <w:pgMar w:left="320" w:top="125" w:right="339"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Variable, performance-based</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cash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Provides performance-based,</w:t>
      </w:r>
    </w:p>
    <w:p>
      <w:pPr>
        <w:spacing w:after="0" w:line="210" w:lineRule="auto"/>
        <w:rPr>
          <w:sz w:val="20"/>
          <w:szCs w:val="20"/>
          <w:color w:val="auto"/>
        </w:rPr>
      </w:pPr>
      <w:r>
        <w:rPr>
          <w:rFonts w:ascii="Arial" w:cs="Arial" w:eastAsia="Arial" w:hAnsi="Arial"/>
          <w:sz w:val="16"/>
          <w:szCs w:val="16"/>
          <w:color w:val="auto"/>
        </w:rPr>
        <w:t>incentive cash awards for</w:t>
      </w:r>
    </w:p>
    <w:p>
      <w:pPr>
        <w:spacing w:after="0" w:line="210" w:lineRule="auto"/>
        <w:tabs>
          <w:tab w:leader="none" w:pos="2480" w:val="left"/>
        </w:tabs>
        <w:rPr>
          <w:sz w:val="20"/>
          <w:szCs w:val="20"/>
          <w:color w:val="auto"/>
        </w:rPr>
      </w:pPr>
      <w:r>
        <w:rPr>
          <w:rFonts w:ascii="Arial" w:cs="Arial" w:eastAsia="Arial" w:hAnsi="Arial"/>
          <w:sz w:val="16"/>
          <w:szCs w:val="16"/>
          <w:color w:val="auto"/>
        </w:rPr>
        <w:t>outstanding performance at the</w:t>
        <w:tab/>
        <w:t>Market data informs baseline</w:t>
      </w:r>
    </w:p>
    <w:p>
      <w:pPr>
        <w:spacing w:after="0" w:line="210" w:lineRule="auto"/>
        <w:rPr>
          <w:sz w:val="20"/>
          <w:szCs w:val="20"/>
          <w:color w:val="auto"/>
        </w:rPr>
      </w:pPr>
      <w:r>
        <w:rPr>
          <w:rFonts w:ascii="Arial" w:cs="Arial" w:eastAsia="Arial" w:hAnsi="Arial"/>
          <w:sz w:val="16"/>
          <w:szCs w:val="16"/>
          <w:color w:val="auto"/>
        </w:rPr>
        <w:t>individual, business-unit and/or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Company-wide level</w:t>
      </w:r>
    </w:p>
    <w:p>
      <w:pPr>
        <w:spacing w:after="0" w:line="200" w:lineRule="exact"/>
        <w:rPr>
          <w:sz w:val="20"/>
          <w:szCs w:val="20"/>
          <w:color w:val="auto"/>
        </w:rPr>
      </w:pPr>
    </w:p>
    <w:p>
      <w:pPr>
        <w:sectPr>
          <w:pgSz w:w="11900" w:h="16838" w:orient="portrait"/>
          <w:cols w:equalWidth="0" w:num="2">
            <w:col w:w="5860" w:space="220"/>
            <w:col w:w="5160"/>
          </w:cols>
          <w:pgMar w:left="320" w:top="125" w:right="339" w:bottom="146" w:gutter="0" w:footer="0" w:header="0"/>
          <w:type w:val="continuous"/>
        </w:sectPr>
      </w:pPr>
    </w:p>
    <w:p>
      <w:pPr>
        <w:spacing w:after="0" w:line="39"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auto"/>
        </w:rPr>
        <w:t>Short-Term Incentive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-94615</wp:posOffset>
            </wp:positionV>
            <wp:extent cx="13906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Annual, pre-determined goals set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-111760</wp:posOffset>
            </wp:positionV>
            <wp:extent cx="32848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8485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60" w:space="720"/>
            <w:col w:w="2660"/>
          </w:cols>
          <w:pgMar w:left="320" w:top="125" w:right="339" w:bottom="1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3800"/>
        <w:spacing w:after="0" w:line="233" w:lineRule="auto"/>
        <w:rPr>
          <w:sz w:val="20"/>
          <w:szCs w:val="20"/>
          <w:color w:val="auto"/>
        </w:rPr>
      </w:pPr>
      <w:r>
        <w:rPr>
          <w:rFonts w:ascii="Arial" w:cs="Arial" w:eastAsia="Arial" w:hAnsi="Arial"/>
          <w:sz w:val="16"/>
          <w:szCs w:val="16"/>
          <w:color w:val="auto"/>
        </w:rPr>
        <w:t>Target payout is tied to a percentage of executive’s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837565</wp:posOffset>
            </wp:positionV>
            <wp:extent cx="46755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75505" cy="8255"/>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-919480</wp:posOffset>
            </wp:positionV>
            <wp:extent cx="1492885" cy="8191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000000"/>
                        </a:clrFrom>
                        <a:clrTo>
                          <a:srgbClr val="000000">
                            <a:alpha val="0"/>
                          </a:srgbClr>
                        </a:clrTo>
                      </a:clrChange>
                      <a:extLst>
                        <a:ext uri="{28A0092B-C50C-407E-A947-70E740481C1C}"/>
                      </a:extLst>
                    </a:blip>
                    <a:srcRect/>
                    <a:stretch>
                      <a:fillRect/>
                    </a:stretch>
                  </pic:blipFill>
                  <pic:spPr bwMode="auto">
                    <a:xfrm>
                      <a:off x="0" y="0"/>
                      <a:ext cx="1492885" cy="81915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-919480</wp:posOffset>
            </wp:positionV>
            <wp:extent cx="1492885" cy="8191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492885" cy="819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26" w:lineRule="auto"/>
        <w:rPr>
          <w:sz w:val="20"/>
          <w:szCs w:val="20"/>
          <w:color w:val="auto"/>
        </w:rPr>
      </w:pPr>
      <w:r>
        <w:rPr>
          <w:rFonts w:ascii="Arial" w:cs="Arial" w:eastAsia="Arial" w:hAnsi="Arial"/>
          <w:sz w:val="16"/>
          <w:szCs w:val="16"/>
          <w:color w:val="auto"/>
        </w:rPr>
        <w:t>Encourages accountability by rewarding achievement of specific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95250</wp:posOffset>
            </wp:positionV>
            <wp:extent cx="15271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40"/>
        <w:spacing w:after="0" w:line="227" w:lineRule="auto"/>
        <w:rPr>
          <w:sz w:val="20"/>
          <w:szCs w:val="20"/>
          <w:color w:val="auto"/>
        </w:rPr>
      </w:pPr>
      <w:r>
        <w:rPr>
          <w:rFonts w:ascii="Arial" w:cs="Arial" w:eastAsia="Arial" w:hAnsi="Arial"/>
          <w:sz w:val="16"/>
          <w:szCs w:val="16"/>
          <w:color w:val="auto"/>
        </w:rPr>
        <w:t>Focuses executives on achievement of near-term financial and operational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15271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Promotes long-term Company success and drives shareholder value</w:t>
      </w:r>
    </w:p>
    <w:p>
      <w:pPr>
        <w:spacing w:after="0" w:line="20" w:lineRule="exact"/>
        <w:rPr>
          <w:sz w:val="20"/>
          <w:szCs w:val="20"/>
          <w:color w:val="auto"/>
        </w:rPr>
      </w:pPr>
      <w:r>
        <w:rPr>
          <w:sz w:val="20"/>
          <w:szCs w:val="20"/>
          <w:color w:val="auto"/>
        </w:rPr>
        <w:br w:type="column"/>
      </w:r>
    </w:p>
    <w:p>
      <w:pPr>
        <w:spacing w:after="0" w:line="227" w:lineRule="auto"/>
        <w:rPr>
          <w:sz w:val="20"/>
          <w:szCs w:val="20"/>
          <w:color w:val="auto"/>
        </w:rPr>
      </w:pPr>
      <w:r>
        <w:rPr>
          <w:rFonts w:ascii="Arial" w:cs="Arial" w:eastAsia="Arial" w:hAnsi="Arial"/>
          <w:sz w:val="16"/>
          <w:szCs w:val="16"/>
          <w:color w:val="auto"/>
        </w:rPr>
        <w:t>the Compensation Committee:</w:t>
      </w:r>
    </w:p>
    <w:p>
      <w:pPr>
        <w:ind w:left="660" w:hanging="333"/>
        <w:spacing w:after="0" w:line="21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Profitability targets</w:t>
      </w:r>
    </w:p>
    <w:p>
      <w:pPr>
        <w:ind w:left="640" w:right="160" w:hanging="313"/>
        <w:spacing w:after="0" w:line="210" w:lineRule="auto"/>
        <w:tabs>
          <w:tab w:leader="none" w:pos="643"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Achievement of certain technology, product, revenue mix and cost and efficiency goals</w:t>
      </w:r>
    </w:p>
    <w:p>
      <w:pPr>
        <w:spacing w:after="0" w:line="1" w:lineRule="exact"/>
        <w:rPr>
          <w:rFonts w:ascii="Arial" w:cs="Arial" w:eastAsia="Arial" w:hAnsi="Arial"/>
          <w:sz w:val="16"/>
          <w:szCs w:val="16"/>
          <w:color w:val="auto"/>
        </w:rPr>
      </w:pPr>
    </w:p>
    <w:p>
      <w:pPr>
        <w:ind w:left="640" w:right="20" w:hanging="313"/>
        <w:spacing w:after="0" w:line="226" w:lineRule="auto"/>
        <w:tabs>
          <w:tab w:leader="none" w:pos="643" w:val="left"/>
        </w:tabs>
        <w:numPr>
          <w:ilvl w:val="0"/>
          <w:numId w:val="56"/>
        </w:numPr>
        <w:rPr>
          <w:rFonts w:ascii="Arial" w:cs="Arial" w:eastAsia="Arial" w:hAnsi="Arial"/>
          <w:sz w:val="16"/>
          <w:szCs w:val="16"/>
          <w:color w:val="auto"/>
        </w:rPr>
      </w:pPr>
      <w:r>
        <w:rPr>
          <w:rFonts w:ascii="Arial" w:cs="Arial" w:eastAsia="Arial" w:hAnsi="Arial"/>
          <w:sz w:val="16"/>
          <w:szCs w:val="16"/>
          <w:color w:val="auto"/>
        </w:rPr>
        <w:t>Other goals including customer, sustainability and 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948690</wp:posOffset>
            </wp:positionV>
            <wp:extent cx="16979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97990" cy="8255"/>
                    </a:xfrm>
                    <a:prstGeom prst="rect">
                      <a:avLst/>
                    </a:prstGeom>
                    <a:noFill/>
                  </pic:spPr>
                </pic:pic>
              </a:graphicData>
            </a:graphic>
          </wp:anchor>
        </w:drawing>
      </w:r>
    </w:p>
    <w:p>
      <w:pPr>
        <w:spacing w:after="0" w:line="1476" w:lineRule="exact"/>
        <w:rPr>
          <w:sz w:val="20"/>
          <w:szCs w:val="20"/>
          <w:color w:val="auto"/>
        </w:rPr>
      </w:pPr>
    </w:p>
    <w:p>
      <w:pPr>
        <w:sectPr>
          <w:pgSz w:w="11900" w:h="16838" w:orient="portrait"/>
          <w:cols w:equalWidth="0" w:num="3">
            <w:col w:w="5620" w:space="460"/>
            <w:col w:w="2280" w:space="220"/>
            <w:col w:w="2660"/>
          </w:cols>
          <w:pgMar w:left="320" w:top="125" w:right="339" w:bottom="146" w:gutter="0" w:footer="0" w:header="0"/>
          <w:type w:val="continuous"/>
        </w:sectPr>
      </w:pPr>
    </w:p>
    <w:p>
      <w:pPr>
        <w:spacing w:after="0" w:line="62"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Variable, performance-based</w:t>
            </w:r>
          </w:p>
        </w:tc>
      </w:tr>
      <w:tr>
        <w:trPr>
          <w:trHeight w:val="214"/>
        </w:trPr>
        <w:tc>
          <w:tcPr>
            <w:tcW w:w="266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equity compensation</w:t>
            </w:r>
          </w:p>
        </w:tc>
      </w:tr>
      <w:tr>
        <w:trPr>
          <w:trHeight w:val="68"/>
        </w:trPr>
        <w:tc>
          <w:tcPr>
            <w:tcW w:w="2660" w:type="dxa"/>
            <w:vAlign w:val="bottom"/>
          </w:tcPr>
          <w:p>
            <w:pPr>
              <w:spacing w:after="0"/>
              <w:rPr>
                <w:sz w:val="5"/>
                <w:szCs w:val="5"/>
                <w:color w:val="auto"/>
              </w:rPr>
            </w:pPr>
          </w:p>
        </w:tc>
        <w:tc>
          <w:tcPr>
            <w:tcW w:w="2200" w:type="dxa"/>
            <w:vAlign w:val="bottom"/>
            <w:tcBorders>
              <w:bottom w:val="single" w:sz="8" w:color="DBDBDB"/>
            </w:tcBorders>
          </w:tcPr>
          <w:p>
            <w:pPr>
              <w:spacing w:after="0"/>
              <w:rPr>
                <w:sz w:val="5"/>
                <w:szCs w:val="5"/>
                <w:color w:val="auto"/>
              </w:rPr>
            </w:pPr>
          </w:p>
        </w:tc>
      </w:tr>
      <w:tr>
        <w:trPr>
          <w:trHeight w:val="343"/>
        </w:trPr>
        <w:tc>
          <w:tcPr>
            <w:tcW w:w="2660" w:type="dxa"/>
            <w:vAlign w:val="bottom"/>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Three-year performance</w:t>
            </w:r>
          </w:p>
        </w:tc>
      </w:tr>
      <w:tr>
        <w:trPr>
          <w:trHeight w:val="161"/>
        </w:trPr>
        <w:tc>
          <w:tcPr>
            <w:tcW w:w="266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period; no shares vest and</w:t>
            </w:r>
          </w:p>
        </w:tc>
      </w:tr>
      <w:tr>
        <w:trPr>
          <w:trHeight w:val="281"/>
        </w:trPr>
        <w:tc>
          <w:tcPr>
            <w:tcW w:w="2660" w:type="dxa"/>
            <w:vAlign w:val="bottom"/>
          </w:tcPr>
          <w:p>
            <w:pPr>
              <w:spacing w:after="0"/>
              <w:rPr>
                <w:sz w:val="20"/>
                <w:szCs w:val="20"/>
                <w:color w:val="auto"/>
              </w:rPr>
            </w:pPr>
            <w:r>
              <w:rPr>
                <w:rFonts w:ascii="Arial" w:cs="Arial" w:eastAsia="Arial" w:hAnsi="Arial"/>
                <w:sz w:val="18"/>
                <w:szCs w:val="18"/>
                <w:b w:val="1"/>
                <w:bCs w:val="1"/>
                <w:color w:val="auto"/>
              </w:rPr>
              <w:t>Performance-Based RSUs</w:t>
            </w:r>
          </w:p>
        </w:tc>
        <w:tc>
          <w:tcPr>
            <w:tcW w:w="2200" w:type="dxa"/>
            <w:vAlign w:val="bottom"/>
          </w:tcPr>
          <w:p>
            <w:pPr>
              <w:ind w:left="20"/>
              <w:spacing w:after="0"/>
              <w:rPr>
                <w:sz w:val="20"/>
                <w:szCs w:val="20"/>
                <w:color w:val="auto"/>
              </w:rPr>
            </w:pPr>
            <w:r>
              <w:rPr>
                <w:rFonts w:ascii="Arial" w:cs="Arial" w:eastAsia="Arial" w:hAnsi="Arial"/>
                <w:sz w:val="16"/>
                <w:szCs w:val="16"/>
                <w:color w:val="auto"/>
              </w:rPr>
              <w:t>settle before the end of year 3</w:t>
            </w:r>
          </w:p>
        </w:tc>
      </w:tr>
      <w:tr>
        <w:trPr>
          <w:trHeight w:val="122"/>
        </w:trPr>
        <w:tc>
          <w:tcPr>
            <w:tcW w:w="2660" w:type="dxa"/>
            <w:vAlign w:val="bottom"/>
          </w:tcPr>
          <w:p>
            <w:pPr>
              <w:spacing w:after="0"/>
              <w:rPr>
                <w:sz w:val="10"/>
                <w:szCs w:val="10"/>
                <w:color w:val="auto"/>
              </w:rPr>
            </w:pPr>
          </w:p>
        </w:tc>
        <w:tc>
          <w:tcPr>
            <w:tcW w:w="2200" w:type="dxa"/>
            <w:vAlign w:val="bottom"/>
            <w:tcBorders>
              <w:bottom w:val="single" w:sz="8" w:color="DBDBDB"/>
            </w:tcBorders>
          </w:tcPr>
          <w:p>
            <w:pPr>
              <w:spacing w:after="0"/>
              <w:rPr>
                <w:sz w:val="10"/>
                <w:szCs w:val="10"/>
                <w:color w:val="auto"/>
              </w:rPr>
            </w:pPr>
          </w:p>
        </w:tc>
      </w:tr>
      <w:tr>
        <w:trPr>
          <w:trHeight w:val="329"/>
        </w:trPr>
        <w:tc>
          <w:tcPr>
            <w:tcW w:w="2660" w:type="dxa"/>
            <w:vAlign w:val="bottom"/>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Measured at end of year 2</w:t>
            </w:r>
          </w:p>
        </w:tc>
      </w:tr>
      <w:tr>
        <w:trPr>
          <w:trHeight w:val="161"/>
        </w:trPr>
        <w:tc>
          <w:tcPr>
            <w:tcW w:w="266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and year 3 for operational</w:t>
            </w:r>
          </w:p>
        </w:tc>
      </w:tr>
      <w:tr>
        <w:trPr>
          <w:trHeight w:val="161"/>
        </w:trPr>
        <w:tc>
          <w:tcPr>
            <w:tcW w:w="266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goals and each day beginning</w:t>
            </w:r>
          </w:p>
        </w:tc>
      </w:tr>
      <w:tr>
        <w:trPr>
          <w:trHeight w:val="161"/>
        </w:trPr>
        <w:tc>
          <w:tcPr>
            <w:tcW w:w="266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on first day of year 2 for</w:t>
            </w:r>
          </w:p>
        </w:tc>
      </w:tr>
      <w:tr>
        <w:trPr>
          <w:trHeight w:val="214"/>
        </w:trPr>
        <w:tc>
          <w:tcPr>
            <w:tcW w:w="266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financial goal</w:t>
            </w:r>
          </w:p>
        </w:tc>
      </w:tr>
      <w:tr>
        <w:trPr>
          <w:trHeight w:val="189"/>
        </w:trPr>
        <w:tc>
          <w:tcPr>
            <w:tcW w:w="2660" w:type="dxa"/>
            <w:vAlign w:val="bottom"/>
          </w:tcPr>
          <w:p>
            <w:pPr>
              <w:spacing w:after="0"/>
              <w:rPr>
                <w:sz w:val="16"/>
                <w:szCs w:val="16"/>
                <w:color w:val="auto"/>
              </w:rPr>
            </w:pPr>
          </w:p>
        </w:tc>
        <w:tc>
          <w:tcPr>
            <w:tcW w:w="2200" w:type="dxa"/>
            <w:vAlign w:val="bottom"/>
            <w:tcBorders>
              <w:bottom w:val="single" w:sz="8" w:color="DBDBDB"/>
            </w:tcBorders>
          </w:tcPr>
          <w:p>
            <w:pPr>
              <w:spacing w:after="0"/>
              <w:rPr>
                <w:sz w:val="16"/>
                <w:szCs w:val="16"/>
                <w:color w:val="auto"/>
              </w:rPr>
            </w:pPr>
          </w:p>
        </w:tc>
      </w:tr>
      <w:tr>
        <w:trPr>
          <w:trHeight w:val="289"/>
        </w:trPr>
        <w:tc>
          <w:tcPr>
            <w:tcW w:w="2660" w:type="dxa"/>
            <w:vAlign w:val="bottom"/>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All PRSUs earned in year 2</w:t>
            </w:r>
          </w:p>
        </w:tc>
      </w:tr>
      <w:tr>
        <w:trPr>
          <w:trHeight w:val="161"/>
        </w:trPr>
        <w:tc>
          <w:tcPr>
            <w:tcW w:w="266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are banked at the end of year</w:t>
            </w:r>
          </w:p>
        </w:tc>
      </w:tr>
      <w:tr>
        <w:trPr>
          <w:trHeight w:val="161"/>
        </w:trPr>
        <w:tc>
          <w:tcPr>
            <w:tcW w:w="266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2. All PRSUs earned in year 3</w:t>
            </w:r>
          </w:p>
        </w:tc>
      </w:tr>
      <w:tr>
        <w:trPr>
          <w:trHeight w:val="161"/>
        </w:trPr>
        <w:tc>
          <w:tcPr>
            <w:tcW w:w="266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vest at the end of year 3,</w:t>
            </w:r>
          </w:p>
        </w:tc>
      </w:tr>
      <w:tr>
        <w:trPr>
          <w:trHeight w:val="161"/>
        </w:trPr>
        <w:tc>
          <w:tcPr>
            <w:tcW w:w="2660" w:type="dxa"/>
            <w:vAlign w:val="bottom"/>
          </w:tcPr>
          <w:p>
            <w:pPr>
              <w:spacing w:after="0"/>
              <w:rPr>
                <w:sz w:val="14"/>
                <w:szCs w:val="14"/>
                <w:color w:val="auto"/>
              </w:rPr>
            </w:pPr>
          </w:p>
        </w:tc>
        <w:tc>
          <w:tcPr>
            <w:tcW w:w="2200" w:type="dxa"/>
            <w:vAlign w:val="bottom"/>
          </w:tcPr>
          <w:p>
            <w:pPr>
              <w:ind w:left="20"/>
              <w:spacing w:after="0" w:line="161" w:lineRule="exact"/>
              <w:rPr>
                <w:sz w:val="20"/>
                <w:szCs w:val="20"/>
                <w:color w:val="auto"/>
              </w:rPr>
            </w:pPr>
            <w:r>
              <w:rPr>
                <w:rFonts w:ascii="Arial" w:cs="Arial" w:eastAsia="Arial" w:hAnsi="Arial"/>
                <w:sz w:val="16"/>
                <w:szCs w:val="16"/>
                <w:color w:val="auto"/>
              </w:rPr>
              <w:t>along with all shares banked</w:t>
            </w:r>
          </w:p>
        </w:tc>
      </w:tr>
      <w:tr>
        <w:trPr>
          <w:trHeight w:val="214"/>
        </w:trPr>
        <w:tc>
          <w:tcPr>
            <w:tcW w:w="266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at the end of year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-2285365</wp:posOffset>
            </wp:positionV>
            <wp:extent cx="1749425" cy="39592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49425" cy="395922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-2285365</wp:posOffset>
            </wp:positionV>
            <wp:extent cx="1749425" cy="3959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49425" cy="3959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220" w:lineRule="auto"/>
        <w:rPr>
          <w:sz w:val="20"/>
          <w:szCs w:val="20"/>
          <w:color w:val="auto"/>
        </w:rPr>
      </w:pPr>
      <w:r>
        <w:rPr>
          <w:rFonts w:ascii="Arial" w:cs="Arial" w:eastAsia="Arial" w:hAnsi="Arial"/>
          <w:sz w:val="16"/>
          <w:szCs w:val="16"/>
          <w:color w:val="auto"/>
        </w:rPr>
        <w:t>Creates direct, specific alignment with shareholders’ interests by focusing executives on long-term value creation through the achievement of key operational milestones and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1767840</wp:posOffset>
            </wp:positionV>
            <wp:extent cx="64331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331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Market data informs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113665</wp:posOffset>
            </wp:positionV>
            <wp:extent cx="16979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97990" cy="8255"/>
                    </a:xfrm>
                    <a:prstGeom prst="rect">
                      <a:avLst/>
                    </a:prstGeom>
                    <a:noFill/>
                  </pic:spPr>
                </pic:pic>
              </a:graphicData>
            </a:graphic>
          </wp:anchor>
        </w:drawing>
      </w:r>
    </w:p>
    <w:p>
      <w:pPr>
        <w:spacing w:after="0" w:line="172" w:lineRule="exact"/>
        <w:rPr>
          <w:sz w:val="20"/>
          <w:szCs w:val="20"/>
          <w:color w:val="auto"/>
        </w:rPr>
      </w:pPr>
    </w:p>
    <w:p>
      <w:pPr>
        <w:ind w:right="400"/>
        <w:spacing w:after="0" w:line="220" w:lineRule="auto"/>
        <w:rPr>
          <w:sz w:val="20"/>
          <w:szCs w:val="20"/>
          <w:color w:val="auto"/>
        </w:rPr>
      </w:pPr>
      <w:r>
        <w:rPr>
          <w:rFonts w:ascii="Arial" w:cs="Arial" w:eastAsia="Arial" w:hAnsi="Arial"/>
          <w:sz w:val="16"/>
          <w:szCs w:val="16"/>
          <w:color w:val="auto"/>
        </w:rPr>
        <w:t>Goals set by the Compensation Committee:</w:t>
      </w:r>
    </w:p>
    <w:p>
      <w:pPr>
        <w:spacing w:after="0" w:line="1" w:lineRule="exact"/>
        <w:rPr>
          <w:sz w:val="20"/>
          <w:szCs w:val="20"/>
          <w:color w:val="auto"/>
        </w:rPr>
      </w:pPr>
    </w:p>
    <w:p>
      <w:pPr>
        <w:ind w:left="640" w:right="260" w:hanging="313"/>
        <w:spacing w:after="0" w:line="210" w:lineRule="auto"/>
        <w:tabs>
          <w:tab w:leader="none" w:pos="6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HBM3E+ bits shipped or revenue-based market share</w:t>
      </w:r>
    </w:p>
    <w:p>
      <w:pPr>
        <w:ind w:left="640" w:right="140" w:hanging="313"/>
        <w:spacing w:after="0" w:line="210" w:lineRule="auto"/>
        <w:tabs>
          <w:tab w:leader="none" w:pos="6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Data center SSD bits shipped or revenue-based market share</w:t>
      </w:r>
    </w:p>
    <w:p>
      <w:pPr>
        <w:ind w:left="640" w:right="480" w:hanging="313"/>
        <w:spacing w:after="0" w:line="210" w:lineRule="auto"/>
        <w:tabs>
          <w:tab w:leader="none" w:pos="6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TSR relative to the semiconductor sector</w:t>
      </w:r>
    </w:p>
    <w:p>
      <w:pPr>
        <w:ind w:left="640" w:right="40" w:hanging="313"/>
        <w:spacing w:after="0" w:line="219" w:lineRule="auto"/>
        <w:tabs>
          <w:tab w:leader="none" w:pos="6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Additional stretch performance conditions for operational awards, subject to the aggregate 200% limit described below</w:t>
      </w:r>
    </w:p>
    <w:p>
      <w:pPr>
        <w:spacing w:after="0" w:line="1050" w:lineRule="exact"/>
        <w:rPr>
          <w:sz w:val="20"/>
          <w:szCs w:val="20"/>
          <w:color w:val="auto"/>
        </w:rPr>
      </w:pPr>
    </w:p>
    <w:p>
      <w:pPr>
        <w:sectPr>
          <w:pgSz w:w="11900" w:h="16838" w:orient="portrait"/>
          <w:cols w:equalWidth="0" w:num="3">
            <w:col w:w="5980" w:space="100"/>
            <w:col w:w="2360" w:space="140"/>
            <w:col w:w="2660"/>
          </w:cols>
          <w:pgMar w:left="320" w:top="125" w:right="339" w:bottom="146" w:gutter="0" w:footer="0" w:header="0"/>
          <w:type w:val="continuous"/>
        </w:sectPr>
      </w:pPr>
    </w:p>
    <w:p>
      <w:pPr>
        <w:spacing w:after="0" w:line="141"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2280" w:type="dxa"/>
            <w:vAlign w:val="bottom"/>
            <w:gridSpan w:val="2"/>
            <w:vMerge w:val="restart"/>
          </w:tcPr>
          <w:p>
            <w:pPr>
              <w:ind w:left="20"/>
              <w:spacing w:after="0"/>
              <w:rPr>
                <w:sz w:val="20"/>
                <w:szCs w:val="20"/>
                <w:color w:val="auto"/>
              </w:rPr>
            </w:pPr>
            <w:r>
              <w:rPr>
                <w:rFonts w:ascii="Arial" w:cs="Arial" w:eastAsia="Arial" w:hAnsi="Arial"/>
                <w:sz w:val="16"/>
                <w:szCs w:val="16"/>
                <w:color w:val="auto"/>
              </w:rPr>
              <w:t>Variable, performance-based</w:t>
            </w:r>
          </w:p>
        </w:tc>
        <w:tc>
          <w:tcPr>
            <w:tcW w:w="2500" w:type="dxa"/>
            <w:vAlign w:val="bottom"/>
            <w:gridSpan w:val="2"/>
          </w:tcPr>
          <w:p>
            <w:pPr>
              <w:ind w:left="20"/>
              <w:spacing w:after="0"/>
              <w:rPr>
                <w:sz w:val="20"/>
                <w:szCs w:val="20"/>
                <w:color w:val="auto"/>
              </w:rPr>
            </w:pPr>
            <w:r>
              <w:rPr>
                <w:rFonts w:ascii="Arial" w:cs="Arial" w:eastAsia="Arial" w:hAnsi="Arial"/>
                <w:sz w:val="16"/>
                <w:szCs w:val="16"/>
                <w:color w:val="auto"/>
              </w:rPr>
              <w:t>Provides alignment with</w:t>
            </w:r>
          </w:p>
        </w:tc>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Market data informs baseline</w:t>
            </w:r>
          </w:p>
        </w:tc>
        <w:tc>
          <w:tcPr>
            <w:tcW w:w="0" w:type="dxa"/>
            <w:vAlign w:val="bottom"/>
          </w:tcPr>
          <w:p>
            <w:pPr>
              <w:spacing w:after="0"/>
              <w:rPr>
                <w:sz w:val="1"/>
                <w:szCs w:val="1"/>
                <w:color w:val="auto"/>
              </w:rPr>
            </w:pPr>
          </w:p>
        </w:tc>
      </w:tr>
      <w:tr>
        <w:trPr>
          <w:trHeight w:val="161"/>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rPr>
              <w:t>Time-Based RSAs</w:t>
            </w:r>
          </w:p>
        </w:tc>
        <w:tc>
          <w:tcPr>
            <w:tcW w:w="2280" w:type="dxa"/>
            <w:vAlign w:val="bottom"/>
            <w:gridSpan w:val="2"/>
            <w:vMerge w:val="continue"/>
          </w:tcPr>
          <w:p>
            <w:pPr>
              <w:spacing w:after="0"/>
              <w:rPr>
                <w:sz w:val="14"/>
                <w:szCs w:val="14"/>
                <w:color w:val="auto"/>
              </w:rPr>
            </w:pPr>
          </w:p>
        </w:tc>
        <w:tc>
          <w:tcPr>
            <w:tcW w:w="25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shareholders’ interests by</w:t>
            </w: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60" w:type="dxa"/>
            <w:vAlign w:val="bottom"/>
            <w:vMerge w:val="continue"/>
          </w:tcPr>
          <w:p>
            <w:pPr>
              <w:spacing w:after="0"/>
              <w:rPr>
                <w:sz w:val="14"/>
                <w:szCs w:val="14"/>
                <w:color w:val="auto"/>
              </w:rPr>
            </w:pPr>
          </w:p>
        </w:tc>
        <w:tc>
          <w:tcPr>
            <w:tcW w:w="22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equity compensation</w:t>
            </w:r>
          </w:p>
        </w:tc>
        <w:tc>
          <w:tcPr>
            <w:tcW w:w="25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focusing executives on long-term</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Arial" w:cs="Arial" w:eastAsia="Arial" w:hAnsi="Arial"/>
                <w:sz w:val="16"/>
                <w:szCs w:val="16"/>
                <w:color w:val="auto"/>
              </w:rPr>
              <w:t>value creation</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2200" w:type="dxa"/>
            <w:vAlign w:val="bottom"/>
            <w:tcBorders>
              <w:bottom w:val="single" w:sz="8" w:color="DBDBDB"/>
            </w:tcBorders>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tcBorders>
              <w:bottom w:val="single" w:sz="8" w:color="DBDBDB"/>
            </w:tcBorders>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-135890</wp:posOffset>
            </wp:positionV>
            <wp:extent cx="1348105" cy="7937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000000"/>
                        </a:clrFrom>
                        <a:clrTo>
                          <a:srgbClr val="000000">
                            <a:alpha val="0"/>
                          </a:srgbClr>
                        </a:clrTo>
                      </a:clrChange>
                      <a:extLst>
                        <a:ext uri="{28A0092B-C50C-407E-A947-70E740481C1C}"/>
                      </a:extLst>
                    </a:blip>
                    <a:srcRect/>
                    <a:stretch>
                      <a:fillRect/>
                    </a:stretch>
                  </pic:blipFill>
                  <pic:spPr bwMode="auto">
                    <a:xfrm>
                      <a:off x="0" y="0"/>
                      <a:ext cx="1348105" cy="79375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-135890</wp:posOffset>
            </wp:positionV>
            <wp:extent cx="1348105" cy="7937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348105" cy="79375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3800"/>
        <w:spacing w:after="0"/>
        <w:tabs>
          <w:tab w:leader="none" w:pos="6060" w:val="left"/>
          <w:tab w:leader="none" w:pos="8560" w:val="left"/>
        </w:tabs>
        <w:rPr>
          <w:sz w:val="20"/>
          <w:szCs w:val="20"/>
          <w:color w:val="auto"/>
        </w:rPr>
      </w:pPr>
      <w:r>
        <w:rPr>
          <w:rFonts w:ascii="Arial" w:cs="Arial" w:eastAsia="Arial" w:hAnsi="Arial"/>
          <w:sz w:val="16"/>
          <w:szCs w:val="16"/>
          <w:color w:val="auto"/>
        </w:rPr>
        <w:t>Vests ratably over three years</w:t>
        <w:tab/>
        <w:t>Provides retention value</w:t>
      </w:r>
      <w:r>
        <w:rPr>
          <w:sz w:val="20"/>
          <w:szCs w:val="20"/>
          <w:color w:val="auto"/>
        </w:rPr>
        <w:tab/>
      </w:r>
      <w:r>
        <w:rPr>
          <w:rFonts w:ascii="Arial" w:cs="Arial" w:eastAsia="Arial" w:hAnsi="Arial"/>
          <w:sz w:val="15"/>
          <w:szCs w:val="15"/>
          <w:color w:val="auto"/>
        </w:rPr>
        <w:t>Value based on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403860</wp:posOffset>
            </wp:positionV>
            <wp:extent cx="64331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3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140"/>
        <w:spacing w:after="0" w:line="271" w:lineRule="auto"/>
        <w:rPr>
          <w:sz w:val="20"/>
          <w:szCs w:val="20"/>
          <w:color w:val="auto"/>
        </w:rPr>
      </w:pPr>
      <w:r>
        <w:rPr>
          <w:rFonts w:ascii="Arial" w:cs="Arial" w:eastAsia="Arial" w:hAnsi="Arial"/>
          <w:sz w:val="14"/>
          <w:szCs w:val="14"/>
          <w:color w:val="auto"/>
        </w:rPr>
        <w:t>The percentages shown for each of the compensation components in the table above are presented based on base salary, target annual STI award, and the annual LTI awards (at the target award values approved by the Compensation Committee) granted to our Chief Executive Officer (on the left) and averaged for all other Named Executive Officers, excluding our Chief Executive Officer (on the right). Percentages may not total 100% due to rounding.</w:t>
      </w:r>
    </w:p>
    <w:p>
      <w:pPr>
        <w:sectPr>
          <w:pgSz w:w="11900" w:h="16838" w:orient="portrait"/>
          <w:cols w:equalWidth="0" w:num="1">
            <w:col w:w="11240"/>
          </w:cols>
          <w:pgMar w:left="320" w:top="125" w:right="339" w:bottom="146" w:gutter="0" w:footer="0" w:header="0"/>
          <w:type w:val="continuous"/>
        </w:sectPr>
      </w:pPr>
    </w:p>
    <w:bookmarkStart w:id="52" w:name="page53"/>
    <w:bookmarkEnd w:id="52"/>
    <w:p>
      <w:pPr>
        <w:ind w:left="8660"/>
        <w:spacing w:after="0"/>
        <w:rPr>
          <w:sz w:val="20"/>
          <w:szCs w:val="20"/>
          <w:color w:val="auto"/>
        </w:rPr>
      </w:pPr>
      <w:r>
        <w:rPr>
          <w:sz w:val="1"/>
          <w:szCs w:val="1"/>
          <w:color w:val="auto"/>
        </w:rPr>
        <w:drawing>
          <wp:inline distT="0" distB="0" distL="0" distR="0">
            <wp:extent cx="776605" cy="16192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104775</wp:posOffset>
            </wp:positionV>
            <wp:extent cx="71583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986"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BASE SALARIES</w:t>
      </w:r>
    </w:p>
    <w:p>
      <w:pPr>
        <w:spacing w:after="0" w:line="252"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In October 2024, the Compensation Committee reviewed and determined to adjust base salary levels for all Named Executive Officers for Fiscal 2025. Based on the Company’s performance in Fiscal 2024, individual executive performance, and the assessment of compensation levels relative to market, salaries were increased, on average, 5.5% from Fiscal 2024.</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Fiscal 2024</w:t>
            </w:r>
          </w:p>
        </w:tc>
        <w:tc>
          <w:tcPr>
            <w:tcW w:w="260" w:type="dxa"/>
            <w:vAlign w:val="bottom"/>
          </w:tcPr>
          <w:p>
            <w:pPr>
              <w:spacing w:after="0"/>
              <w:rPr>
                <w:sz w:val="17"/>
                <w:szCs w:val="17"/>
                <w:color w:val="auto"/>
              </w:rPr>
            </w:pPr>
          </w:p>
        </w:tc>
        <w:tc>
          <w:tcPr>
            <w:tcW w:w="16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Fiscal 2025</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Base Salary</w:t>
            </w:r>
          </w:p>
        </w:tc>
        <w:tc>
          <w:tcPr>
            <w:tcW w:w="0" w:type="dxa"/>
            <w:vAlign w:val="bottom"/>
          </w:tcPr>
          <w:p>
            <w:pPr>
              <w:spacing w:after="0"/>
              <w:rPr>
                <w:sz w:val="1"/>
                <w:szCs w:val="1"/>
                <w:color w:val="auto"/>
              </w:rPr>
            </w:pPr>
          </w:p>
        </w:tc>
      </w:tr>
      <w:tr>
        <w:trPr>
          <w:trHeight w:val="180"/>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Executive Officer</w:t>
            </w:r>
          </w:p>
        </w:tc>
        <w:tc>
          <w:tcPr>
            <w:tcW w:w="23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780" w:type="dxa"/>
            <w:vAlign w:val="bottom"/>
          </w:tcPr>
          <w:p>
            <w:pPr>
              <w:jc w:val="center"/>
              <w:ind w:right="10"/>
              <w:spacing w:after="0" w:line="180" w:lineRule="exact"/>
              <w:rPr>
                <w:sz w:val="20"/>
                <w:szCs w:val="20"/>
                <w:color w:val="auto"/>
              </w:rPr>
            </w:pPr>
            <w:r>
              <w:rPr>
                <w:rFonts w:ascii="Arial" w:cs="Arial" w:eastAsia="Arial" w:hAnsi="Arial"/>
                <w:sz w:val="18"/>
                <w:szCs w:val="18"/>
                <w:b w:val="1"/>
                <w:bCs w:val="1"/>
                <w:color w:val="auto"/>
                <w:w w:val="99"/>
              </w:rPr>
              <w:t>% Change From</w:t>
            </w:r>
          </w:p>
        </w:tc>
        <w:tc>
          <w:tcPr>
            <w:tcW w:w="0" w:type="dxa"/>
            <w:vAlign w:val="bottom"/>
          </w:tcPr>
          <w:p>
            <w:pPr>
              <w:spacing w:after="0"/>
              <w:rPr>
                <w:sz w:val="1"/>
                <w:szCs w:val="1"/>
                <w:color w:val="auto"/>
              </w:rPr>
            </w:pPr>
          </w:p>
        </w:tc>
      </w:tr>
      <w:tr>
        <w:trPr>
          <w:trHeight w:val="228"/>
        </w:trPr>
        <w:tc>
          <w:tcPr>
            <w:tcW w:w="3560" w:type="dxa"/>
            <w:vAlign w:val="bottom"/>
            <w:tcBorders>
              <w:bottom w:val="single" w:sz="8" w:color="BD03F7"/>
            </w:tcBorders>
            <w:vMerge w:val="continue"/>
          </w:tcPr>
          <w:p>
            <w:pPr>
              <w:spacing w:after="0"/>
              <w:rPr>
                <w:sz w:val="19"/>
                <w:szCs w:val="19"/>
                <w:color w:val="auto"/>
              </w:rPr>
            </w:pPr>
          </w:p>
        </w:tc>
        <w:tc>
          <w:tcPr>
            <w:tcW w:w="2320" w:type="dxa"/>
            <w:vAlign w:val="bottom"/>
            <w:tcBorders>
              <w:bottom w:val="single" w:sz="8" w:color="BD03F7"/>
            </w:tcBorders>
          </w:tcPr>
          <w:p>
            <w:pPr>
              <w:spacing w:after="0"/>
              <w:rPr>
                <w:sz w:val="19"/>
                <w:szCs w:val="19"/>
                <w:color w:val="auto"/>
              </w:rPr>
            </w:pPr>
          </w:p>
        </w:tc>
        <w:tc>
          <w:tcPr>
            <w:tcW w:w="1520" w:type="dxa"/>
            <w:vAlign w:val="bottom"/>
            <w:tcBorders>
              <w:bottom w:val="single" w:sz="8" w:color="BD03F7"/>
            </w:tcBorders>
          </w:tcPr>
          <w:p>
            <w:pPr>
              <w:jc w:val="right"/>
              <w:ind w:right="290"/>
              <w:spacing w:after="0"/>
              <w:rPr>
                <w:sz w:val="20"/>
                <w:szCs w:val="20"/>
                <w:color w:val="auto"/>
              </w:rPr>
            </w:pPr>
            <w:r>
              <w:rPr>
                <w:rFonts w:ascii="Arial" w:cs="Arial" w:eastAsia="Arial" w:hAnsi="Arial"/>
                <w:sz w:val="18"/>
                <w:szCs w:val="18"/>
                <w:b w:val="1"/>
                <w:bCs w:val="1"/>
                <w:color w:val="auto"/>
              </w:rPr>
              <w:t>Base Salary</w:t>
            </w:r>
          </w:p>
        </w:tc>
        <w:tc>
          <w:tcPr>
            <w:tcW w:w="260" w:type="dxa"/>
            <w:vAlign w:val="bottom"/>
            <w:tcBorders>
              <w:bottom w:val="single" w:sz="8" w:color="BD03F7"/>
            </w:tcBorders>
          </w:tcPr>
          <w:p>
            <w:pPr>
              <w:spacing w:after="0"/>
              <w:rPr>
                <w:sz w:val="19"/>
                <w:szCs w:val="19"/>
                <w:color w:val="auto"/>
              </w:rPr>
            </w:pPr>
          </w:p>
        </w:tc>
        <w:tc>
          <w:tcPr>
            <w:tcW w:w="1660" w:type="dxa"/>
            <w:vAlign w:val="bottom"/>
            <w:tcBorders>
              <w:bottom w:val="single" w:sz="8" w:color="BD03F7"/>
            </w:tcBorders>
          </w:tcPr>
          <w:p>
            <w:pPr>
              <w:jc w:val="right"/>
              <w:ind w:right="430"/>
              <w:spacing w:after="0"/>
              <w:rPr>
                <w:sz w:val="20"/>
                <w:szCs w:val="20"/>
                <w:color w:val="auto"/>
              </w:rPr>
            </w:pPr>
            <w:r>
              <w:rPr>
                <w:rFonts w:ascii="Arial" w:cs="Arial" w:eastAsia="Arial" w:hAnsi="Arial"/>
                <w:sz w:val="18"/>
                <w:szCs w:val="18"/>
                <w:b w:val="1"/>
                <w:bCs w:val="1"/>
                <w:color w:val="auto"/>
              </w:rPr>
              <w:t>Base Salary</w:t>
            </w:r>
          </w:p>
        </w:tc>
        <w:tc>
          <w:tcPr>
            <w:tcW w:w="1780" w:type="dxa"/>
            <w:vAlign w:val="bottom"/>
            <w:tcBorders>
              <w:bottom w:val="single" w:sz="8" w:color="BD03F7"/>
            </w:tcBorders>
          </w:tcPr>
          <w:p>
            <w:pPr>
              <w:jc w:val="center"/>
              <w:ind w:right="50"/>
              <w:spacing w:after="0"/>
              <w:rPr>
                <w:sz w:val="20"/>
                <w:szCs w:val="20"/>
                <w:color w:val="auto"/>
              </w:rPr>
            </w:pPr>
            <w:r>
              <w:rPr>
                <w:rFonts w:ascii="Arial" w:cs="Arial" w:eastAsia="Arial" w:hAnsi="Arial"/>
                <w:sz w:val="18"/>
                <w:szCs w:val="18"/>
                <w:b w:val="1"/>
                <w:bCs w:val="1"/>
                <w:color w:val="auto"/>
                <w:w w:val="99"/>
              </w:rPr>
              <w:t>Fiscal 2024</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shd w:val="clear" w:color="auto" w:fill="F2F2F2"/>
          </w:tcPr>
          <w:p>
            <w:pPr>
              <w:spacing w:after="0"/>
              <w:rPr>
                <w:sz w:val="20"/>
                <w:szCs w:val="20"/>
                <w:color w:val="auto"/>
              </w:rPr>
            </w:pPr>
            <w:r>
              <w:rPr>
                <w:rFonts w:ascii="Arial" w:cs="Arial" w:eastAsia="Arial" w:hAnsi="Arial"/>
                <w:sz w:val="18"/>
                <w:szCs w:val="18"/>
                <w:color w:val="auto"/>
              </w:rPr>
              <w:t>Sanjay Mehrotra</w:t>
            </w:r>
          </w:p>
        </w:tc>
        <w:tc>
          <w:tcPr>
            <w:tcW w:w="23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1,418,000</w:t>
            </w:r>
          </w:p>
        </w:tc>
        <w:tc>
          <w:tcPr>
            <w:tcW w:w="26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1,450,000</w:t>
            </w:r>
          </w:p>
        </w:tc>
        <w:tc>
          <w:tcPr>
            <w:tcW w:w="17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Mark Murphy</w:t>
            </w:r>
          </w:p>
        </w:tc>
        <w:tc>
          <w:tcPr>
            <w:tcW w:w="2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775,000</w:t>
            </w:r>
          </w:p>
        </w:tc>
        <w:tc>
          <w:tcPr>
            <w:tcW w:w="260" w:type="dxa"/>
            <w:vAlign w:val="bottom"/>
          </w:tcPr>
          <w:p>
            <w:pPr>
              <w:spacing w:after="0"/>
              <w:rPr>
                <w:sz w:val="19"/>
                <w:szCs w:val="19"/>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821,500</w:t>
            </w:r>
          </w:p>
        </w:tc>
        <w:tc>
          <w:tcPr>
            <w:tcW w:w="178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8"/>
        </w:trPr>
        <w:tc>
          <w:tcPr>
            <w:tcW w:w="3560" w:type="dxa"/>
            <w:vAlign w:val="bottom"/>
            <w:shd w:val="clear" w:color="auto" w:fill="F2F2F2"/>
          </w:tcPr>
          <w:p>
            <w:pPr>
              <w:spacing w:after="0"/>
              <w:rPr>
                <w:sz w:val="20"/>
                <w:szCs w:val="20"/>
                <w:color w:val="auto"/>
              </w:rPr>
            </w:pPr>
            <w:r>
              <w:rPr>
                <w:rFonts w:ascii="Arial" w:cs="Arial" w:eastAsia="Arial" w:hAnsi="Arial"/>
                <w:sz w:val="18"/>
                <w:szCs w:val="18"/>
                <w:color w:val="auto"/>
              </w:rPr>
              <w:t>Manish Bhatia</w:t>
            </w:r>
          </w:p>
        </w:tc>
        <w:tc>
          <w:tcPr>
            <w:tcW w:w="2320" w:type="dxa"/>
            <w:vAlign w:val="bottom"/>
            <w:shd w:val="clear" w:color="auto" w:fill="F2F2F2"/>
          </w:tcPr>
          <w:p>
            <w:pPr>
              <w:spacing w:after="0"/>
              <w:rPr>
                <w:sz w:val="19"/>
                <w:szCs w:val="19"/>
                <w:color w:val="auto"/>
              </w:rPr>
            </w:pPr>
          </w:p>
        </w:tc>
        <w:tc>
          <w:tcPr>
            <w:tcW w:w="15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800,000</w:t>
            </w:r>
          </w:p>
        </w:tc>
        <w:tc>
          <w:tcPr>
            <w:tcW w:w="260" w:type="dxa"/>
            <w:vAlign w:val="bottom"/>
            <w:shd w:val="clear" w:color="auto" w:fill="F2F2F2"/>
          </w:tcPr>
          <w:p>
            <w:pPr>
              <w:spacing w:after="0"/>
              <w:rPr>
                <w:sz w:val="19"/>
                <w:szCs w:val="19"/>
                <w:color w:val="auto"/>
              </w:rPr>
            </w:pPr>
          </w:p>
        </w:tc>
        <w:tc>
          <w:tcPr>
            <w:tcW w:w="166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848,000</w:t>
            </w:r>
          </w:p>
        </w:tc>
        <w:tc>
          <w:tcPr>
            <w:tcW w:w="17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8"/>
                <w:szCs w:val="18"/>
                <w:color w:val="auto"/>
              </w:rPr>
              <w:t>Scott DeBoer</w:t>
            </w:r>
          </w:p>
        </w:tc>
        <w:tc>
          <w:tcPr>
            <w:tcW w:w="2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700,000</w:t>
            </w:r>
          </w:p>
        </w:tc>
        <w:tc>
          <w:tcPr>
            <w:tcW w:w="260" w:type="dxa"/>
            <w:vAlign w:val="bottom"/>
          </w:tcPr>
          <w:p>
            <w:pPr>
              <w:spacing w:after="0"/>
              <w:rPr>
                <w:sz w:val="19"/>
                <w:szCs w:val="19"/>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756,000</w:t>
            </w:r>
          </w:p>
        </w:tc>
        <w:tc>
          <w:tcPr>
            <w:tcW w:w="178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8"/>
        </w:trPr>
        <w:tc>
          <w:tcPr>
            <w:tcW w:w="3560" w:type="dxa"/>
            <w:vAlign w:val="bottom"/>
            <w:tcBorders>
              <w:bottom w:val="single" w:sz="8" w:color="BD03F7"/>
            </w:tcBorders>
            <w:shd w:val="clear" w:color="auto" w:fill="F2F2F2"/>
          </w:tcPr>
          <w:p>
            <w:pPr>
              <w:spacing w:after="0"/>
              <w:rPr>
                <w:sz w:val="20"/>
                <w:szCs w:val="20"/>
                <w:color w:val="auto"/>
              </w:rPr>
            </w:pPr>
            <w:r>
              <w:rPr>
                <w:rFonts w:ascii="Arial" w:cs="Arial" w:eastAsia="Arial" w:hAnsi="Arial"/>
                <w:sz w:val="18"/>
                <w:szCs w:val="18"/>
                <w:color w:val="auto"/>
              </w:rPr>
              <w:t>Sumit Sadana</w:t>
            </w:r>
          </w:p>
        </w:tc>
        <w:tc>
          <w:tcPr>
            <w:tcW w:w="2320" w:type="dxa"/>
            <w:vAlign w:val="bottom"/>
            <w:tcBorders>
              <w:bottom w:val="single" w:sz="8" w:color="BD03F7"/>
            </w:tcBorders>
            <w:shd w:val="clear" w:color="auto" w:fill="F2F2F2"/>
          </w:tcPr>
          <w:p>
            <w:pPr>
              <w:spacing w:after="0"/>
              <w:rPr>
                <w:sz w:val="19"/>
                <w:szCs w:val="19"/>
                <w:color w:val="auto"/>
              </w:rPr>
            </w:pPr>
          </w:p>
        </w:tc>
        <w:tc>
          <w:tcPr>
            <w:tcW w:w="15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825,000</w:t>
            </w:r>
          </w:p>
        </w:tc>
        <w:tc>
          <w:tcPr>
            <w:tcW w:w="260" w:type="dxa"/>
            <w:vAlign w:val="bottom"/>
            <w:tcBorders>
              <w:bottom w:val="single" w:sz="8" w:color="BD03F7"/>
            </w:tcBorders>
            <w:shd w:val="clear" w:color="auto" w:fill="F2F2F2"/>
          </w:tcPr>
          <w:p>
            <w:pPr>
              <w:spacing w:after="0"/>
              <w:rPr>
                <w:sz w:val="19"/>
                <w:szCs w:val="19"/>
                <w:color w:val="auto"/>
              </w:rPr>
            </w:pPr>
          </w:p>
        </w:tc>
        <w:tc>
          <w:tcPr>
            <w:tcW w:w="1660" w:type="dxa"/>
            <w:vAlign w:val="bottom"/>
            <w:tcBorders>
              <w:bottom w:val="single" w:sz="8" w:color="BD03F7"/>
            </w:tcBorders>
            <w:shd w:val="clear" w:color="auto" w:fill="F2F2F2"/>
          </w:tcPr>
          <w:p>
            <w:pPr>
              <w:jc w:val="right"/>
              <w:ind w:right="70"/>
              <w:spacing w:after="0"/>
              <w:rPr>
                <w:sz w:val="20"/>
                <w:szCs w:val="20"/>
                <w:color w:val="auto"/>
              </w:rPr>
            </w:pPr>
            <w:r>
              <w:rPr>
                <w:rFonts w:ascii="Arial" w:cs="Arial" w:eastAsia="Arial" w:hAnsi="Arial"/>
                <w:sz w:val="18"/>
                <w:szCs w:val="18"/>
                <w:color w:val="auto"/>
              </w:rPr>
              <w:t>866,250</w:t>
            </w:r>
          </w:p>
        </w:tc>
        <w:tc>
          <w:tcPr>
            <w:tcW w:w="17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SHORT-TERM INCENTIVES</w:t>
      </w:r>
    </w:p>
    <w:p>
      <w:pPr>
        <w:spacing w:after="0" w:line="252"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We use our STI plan to attract, retain, and reward qualified executives who are important to our success by offering the opportunity to earn cash awards for achieving performance goals set by the Compensation Committee. Due to the challenging nature of the goals set by the Compensation Committee, achievement of STI goals has historically required significant leadership and effort.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2025 Short-Term Incentive Awards</w:t>
      </w:r>
    </w:p>
    <w:p>
      <w:pPr>
        <w:spacing w:after="0" w:line="25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October 2024, the Compensation Committee established Fiscal 2025 performance goals and a short-term incentive compensation opportunity (the “Target Awards”) for each Named Executive Officer. The Compensation Committee selected the Company Performance goals outlined below based on their correlation to the creation of shareholder value and their alignment with our financial and strategic objectives. The STI award payouts were determined following the end of the Fiscal 2025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139700</wp:posOffset>
            </wp:positionV>
            <wp:extent cx="5528945" cy="30289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28945" cy="302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ind w:left="9900"/>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STI Bonus Targets</w:t>
      </w:r>
    </w:p>
    <w:p>
      <w:pPr>
        <w:spacing w:after="0" w:line="250"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 October 2024, the Compensation Committee approved increases in target incentive opportunities for all Named Executive Officers to improve the competitive positioning of target STI opportunities and total cash compensation relative to the market. Fiscal 2025 Target Awards under the STI plan and actual amounts earned for each Named Executive Officer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18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Fiscal 2024 Target</w:t>
            </w: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Fiscal 2025 Target</w:t>
            </w:r>
          </w:p>
        </w:tc>
        <w:tc>
          <w:tcPr>
            <w:tcW w:w="2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Change in Target</w:t>
            </w: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Fiscal 2025</w:t>
            </w:r>
          </w:p>
        </w:tc>
        <w:tc>
          <w:tcPr>
            <w:tcW w:w="260" w:type="dxa"/>
            <w:vAlign w:val="bottom"/>
          </w:tcPr>
          <w:p>
            <w:pPr>
              <w:spacing w:after="0"/>
              <w:rPr>
                <w:sz w:val="17"/>
                <w:szCs w:val="17"/>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Fiscal 2025</w:t>
            </w:r>
          </w:p>
        </w:tc>
        <w:tc>
          <w:tcPr>
            <w:tcW w:w="0" w:type="dxa"/>
            <w:vAlign w:val="bottom"/>
          </w:tcPr>
          <w:p>
            <w:pPr>
              <w:spacing w:after="0"/>
              <w:rPr>
                <w:sz w:val="1"/>
                <w:szCs w:val="1"/>
                <w:color w:val="auto"/>
              </w:rPr>
            </w:pPr>
          </w:p>
        </w:tc>
      </w:tr>
      <w:tr>
        <w:trPr>
          <w:trHeight w:val="175"/>
        </w:trPr>
        <w:tc>
          <w:tcPr>
            <w:tcW w:w="2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88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9"/>
              </w:rPr>
              <w:t>Award (% of Base</w:t>
            </w:r>
          </w:p>
        </w:tc>
        <w:tc>
          <w:tcPr>
            <w:tcW w:w="1820" w:type="dxa"/>
            <w:vAlign w:val="bottom"/>
          </w:tcPr>
          <w:p>
            <w:pPr>
              <w:jc w:val="center"/>
              <w:ind w:right="10"/>
              <w:spacing w:after="0" w:line="175" w:lineRule="exact"/>
              <w:rPr>
                <w:sz w:val="20"/>
                <w:szCs w:val="20"/>
                <w:color w:val="auto"/>
              </w:rPr>
            </w:pPr>
            <w:r>
              <w:rPr>
                <w:rFonts w:ascii="Arial" w:cs="Arial" w:eastAsia="Arial" w:hAnsi="Arial"/>
                <w:sz w:val="18"/>
                <w:szCs w:val="18"/>
                <w:b w:val="1"/>
                <w:bCs w:val="1"/>
                <w:color w:val="auto"/>
                <w:w w:val="99"/>
              </w:rPr>
              <w:t>Award (% of Base</w:t>
            </w:r>
          </w:p>
        </w:tc>
        <w:tc>
          <w:tcPr>
            <w:tcW w:w="2020" w:type="dxa"/>
            <w:vAlign w:val="bottom"/>
            <w:vMerge w:val="continue"/>
          </w:tcPr>
          <w:p>
            <w:pPr>
              <w:spacing w:after="0"/>
              <w:rPr>
                <w:sz w:val="15"/>
                <w:szCs w:val="15"/>
                <w:color w:val="auto"/>
              </w:rPr>
            </w:pPr>
          </w:p>
        </w:tc>
        <w:tc>
          <w:tcPr>
            <w:tcW w:w="1520" w:type="dxa"/>
            <w:vAlign w:val="bottom"/>
          </w:tcPr>
          <w:p>
            <w:pPr>
              <w:jc w:val="center"/>
              <w:ind w:right="110"/>
              <w:spacing w:after="0" w:line="175" w:lineRule="exact"/>
              <w:rPr>
                <w:sz w:val="20"/>
                <w:szCs w:val="20"/>
                <w:color w:val="auto"/>
              </w:rPr>
            </w:pPr>
            <w:r>
              <w:rPr>
                <w:rFonts w:ascii="Arial" w:cs="Arial" w:eastAsia="Arial" w:hAnsi="Arial"/>
                <w:sz w:val="18"/>
                <w:szCs w:val="18"/>
                <w:b w:val="1"/>
                <w:bCs w:val="1"/>
                <w:color w:val="auto"/>
                <w:w w:val="97"/>
              </w:rPr>
              <w:t>Target Award</w:t>
            </w:r>
          </w:p>
        </w:tc>
        <w:tc>
          <w:tcPr>
            <w:tcW w:w="260" w:type="dxa"/>
            <w:vAlign w:val="bottom"/>
          </w:tcPr>
          <w:p>
            <w:pPr>
              <w:spacing w:after="0"/>
              <w:rPr>
                <w:sz w:val="15"/>
                <w:szCs w:val="15"/>
                <w:color w:val="auto"/>
              </w:rPr>
            </w:pPr>
          </w:p>
        </w:tc>
        <w:tc>
          <w:tcPr>
            <w:tcW w:w="1480" w:type="dxa"/>
            <w:vAlign w:val="bottom"/>
          </w:tcPr>
          <w:p>
            <w:pPr>
              <w:jc w:val="center"/>
              <w:ind w:right="170"/>
              <w:spacing w:after="0" w:line="175" w:lineRule="exact"/>
              <w:rPr>
                <w:sz w:val="20"/>
                <w:szCs w:val="20"/>
                <w:color w:val="auto"/>
              </w:rPr>
            </w:pPr>
            <w:r>
              <w:rPr>
                <w:rFonts w:ascii="Arial" w:cs="Arial" w:eastAsia="Arial" w:hAnsi="Arial"/>
                <w:sz w:val="18"/>
                <w:szCs w:val="18"/>
                <w:b w:val="1"/>
                <w:bCs w:val="1"/>
                <w:color w:val="auto"/>
                <w:w w:val="98"/>
              </w:rPr>
              <w:t>Bonus Paid</w:t>
            </w:r>
          </w:p>
        </w:tc>
        <w:tc>
          <w:tcPr>
            <w:tcW w:w="0" w:type="dxa"/>
            <w:vAlign w:val="bottom"/>
          </w:tcPr>
          <w:p>
            <w:pPr>
              <w:spacing w:after="0"/>
              <w:rPr>
                <w:sz w:val="1"/>
                <w:szCs w:val="1"/>
                <w:color w:val="auto"/>
              </w:rPr>
            </w:pPr>
          </w:p>
        </w:tc>
      </w:tr>
      <w:tr>
        <w:trPr>
          <w:trHeight w:val="242"/>
        </w:trPr>
        <w:tc>
          <w:tcPr>
            <w:tcW w:w="2260" w:type="dxa"/>
            <w:vAlign w:val="bottom"/>
            <w:tcBorders>
              <w:bottom w:val="single" w:sz="8" w:color="BD03F7"/>
            </w:tcBorders>
            <w:vMerge w:val="continue"/>
          </w:tcPr>
          <w:p>
            <w:pPr>
              <w:spacing w:after="0"/>
              <w:rPr>
                <w:sz w:val="21"/>
                <w:szCs w:val="21"/>
                <w:color w:val="auto"/>
              </w:rPr>
            </w:pPr>
          </w:p>
        </w:tc>
        <w:tc>
          <w:tcPr>
            <w:tcW w:w="188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9"/>
              </w:rPr>
              <w:t>Salary)</w:t>
            </w:r>
          </w:p>
        </w:tc>
        <w:tc>
          <w:tcPr>
            <w:tcW w:w="1820" w:type="dxa"/>
            <w:vAlign w:val="bottom"/>
            <w:tcBorders>
              <w:bottom w:val="single" w:sz="8" w:color="BD03F7"/>
            </w:tcBorders>
          </w:tcPr>
          <w:p>
            <w:pPr>
              <w:jc w:val="center"/>
              <w:ind w:right="10"/>
              <w:spacing w:after="0"/>
              <w:rPr>
                <w:sz w:val="20"/>
                <w:szCs w:val="20"/>
                <w:color w:val="auto"/>
              </w:rPr>
            </w:pPr>
            <w:r>
              <w:rPr>
                <w:rFonts w:ascii="Arial" w:cs="Arial" w:eastAsia="Arial" w:hAnsi="Arial"/>
                <w:sz w:val="18"/>
                <w:szCs w:val="18"/>
                <w:b w:val="1"/>
                <w:bCs w:val="1"/>
                <w:color w:val="auto"/>
                <w:w w:val="99"/>
              </w:rPr>
              <w:t>Salary)</w:t>
            </w:r>
          </w:p>
        </w:tc>
        <w:tc>
          <w:tcPr>
            <w:tcW w:w="2020" w:type="dxa"/>
            <w:vAlign w:val="bottom"/>
            <w:tcBorders>
              <w:bottom w:val="single" w:sz="8" w:color="BD03F7"/>
            </w:tcBorders>
          </w:tcPr>
          <w:p>
            <w:pPr>
              <w:ind w:left="180"/>
              <w:spacing w:after="0"/>
              <w:rPr>
                <w:sz w:val="20"/>
                <w:szCs w:val="20"/>
                <w:color w:val="auto"/>
              </w:rPr>
            </w:pPr>
            <w:r>
              <w:rPr>
                <w:rFonts w:ascii="Arial" w:cs="Arial" w:eastAsia="Arial" w:hAnsi="Arial"/>
                <w:sz w:val="18"/>
                <w:szCs w:val="18"/>
                <w:b w:val="1"/>
                <w:bCs w:val="1"/>
                <w:color w:val="auto"/>
              </w:rPr>
              <w:t>from Fiscal 2024</w:t>
            </w:r>
          </w:p>
        </w:tc>
        <w:tc>
          <w:tcPr>
            <w:tcW w:w="1520" w:type="dxa"/>
            <w:vAlign w:val="bottom"/>
            <w:tcBorders>
              <w:bottom w:val="single" w:sz="8" w:color="BD03F7"/>
            </w:tcBorders>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BD03F7"/>
            </w:tcBorders>
          </w:tcPr>
          <w:p>
            <w:pPr>
              <w:spacing w:after="0"/>
              <w:rPr>
                <w:sz w:val="21"/>
                <w:szCs w:val="21"/>
                <w:color w:val="auto"/>
              </w:rPr>
            </w:pPr>
          </w:p>
        </w:tc>
        <w:tc>
          <w:tcPr>
            <w:tcW w:w="1480" w:type="dxa"/>
            <w:vAlign w:val="bottom"/>
            <w:tcBorders>
              <w:bottom w:val="single" w:sz="8" w:color="BD03F7"/>
            </w:tcBorders>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26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215 %</w:t>
            </w:r>
          </w:p>
        </w:tc>
        <w:tc>
          <w:tcPr>
            <w:tcW w:w="1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220 %</w:t>
            </w:r>
          </w:p>
        </w:tc>
        <w:tc>
          <w:tcPr>
            <w:tcW w:w="2020" w:type="dxa"/>
            <w:vAlign w:val="bottom"/>
            <w:shd w:val="clear" w:color="auto" w:fill="F2F2F2"/>
          </w:tcPr>
          <w:p>
            <w:pPr>
              <w:ind w:left="1320"/>
              <w:spacing w:after="0"/>
              <w:rPr>
                <w:sz w:val="20"/>
                <w:szCs w:val="20"/>
                <w:color w:val="auto"/>
              </w:rPr>
            </w:pPr>
            <w:r>
              <w:rPr>
                <w:rFonts w:ascii="Arial" w:cs="Arial" w:eastAsia="Arial" w:hAnsi="Arial"/>
                <w:sz w:val="18"/>
                <w:szCs w:val="18"/>
                <w:color w:val="auto"/>
              </w:rPr>
              <w:t>2.3 % $</w:t>
            </w:r>
          </w:p>
        </w:tc>
        <w:tc>
          <w:tcPr>
            <w:tcW w:w="15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3,190,000</w:t>
            </w:r>
          </w:p>
        </w:tc>
        <w:tc>
          <w:tcPr>
            <w:tcW w:w="26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3,894,990</w:t>
            </w:r>
          </w:p>
        </w:tc>
        <w:tc>
          <w:tcPr>
            <w:tcW w:w="0" w:type="dxa"/>
            <w:vAlign w:val="bottom"/>
          </w:tcPr>
          <w:p>
            <w:pPr>
              <w:spacing w:after="0"/>
              <w:rPr>
                <w:sz w:val="1"/>
                <w:szCs w:val="1"/>
                <w:color w:val="auto"/>
              </w:rPr>
            </w:pPr>
          </w:p>
        </w:tc>
      </w:tr>
      <w:tr>
        <w:trPr>
          <w:trHeight w:val="247"/>
        </w:trPr>
        <w:tc>
          <w:tcPr>
            <w:tcW w:w="226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880" w:type="dxa"/>
            <w:vAlign w:val="bottom"/>
          </w:tcPr>
          <w:p>
            <w:pPr>
              <w:jc w:val="right"/>
              <w:spacing w:after="0"/>
              <w:rPr>
                <w:sz w:val="20"/>
                <w:szCs w:val="20"/>
                <w:color w:val="auto"/>
              </w:rPr>
            </w:pPr>
            <w:r>
              <w:rPr>
                <w:rFonts w:ascii="Arial" w:cs="Arial" w:eastAsia="Arial" w:hAnsi="Arial"/>
                <w:sz w:val="18"/>
                <w:szCs w:val="18"/>
                <w:color w:val="auto"/>
              </w:rPr>
              <w:t>125 %</w:t>
            </w:r>
          </w:p>
        </w:tc>
        <w:tc>
          <w:tcPr>
            <w:tcW w:w="1820" w:type="dxa"/>
            <w:vAlign w:val="bottom"/>
          </w:tcPr>
          <w:p>
            <w:pPr>
              <w:jc w:val="right"/>
              <w:spacing w:after="0"/>
              <w:rPr>
                <w:sz w:val="20"/>
                <w:szCs w:val="20"/>
                <w:color w:val="auto"/>
              </w:rPr>
            </w:pPr>
            <w:r>
              <w:rPr>
                <w:rFonts w:ascii="Arial" w:cs="Arial" w:eastAsia="Arial" w:hAnsi="Arial"/>
                <w:sz w:val="18"/>
                <w:szCs w:val="18"/>
                <w:color w:val="auto"/>
              </w:rPr>
              <w:t>130 %</w:t>
            </w:r>
          </w:p>
        </w:tc>
        <w:tc>
          <w:tcPr>
            <w:tcW w:w="2020" w:type="dxa"/>
            <w:vAlign w:val="bottom"/>
          </w:tcPr>
          <w:p>
            <w:pPr>
              <w:ind w:left="1320"/>
              <w:spacing w:after="0"/>
              <w:rPr>
                <w:sz w:val="20"/>
                <w:szCs w:val="20"/>
                <w:color w:val="auto"/>
              </w:rPr>
            </w:pPr>
            <w:r>
              <w:rPr>
                <w:rFonts w:ascii="Arial" w:cs="Arial" w:eastAsia="Arial" w:hAnsi="Arial"/>
                <w:sz w:val="18"/>
                <w:szCs w:val="18"/>
                <w:color w:val="auto"/>
              </w:rPr>
              <w:t>4.0 %</w:t>
            </w:r>
          </w:p>
        </w:tc>
        <w:tc>
          <w:tcPr>
            <w:tcW w:w="1520" w:type="dxa"/>
            <w:vAlign w:val="bottom"/>
          </w:tcPr>
          <w:p>
            <w:pPr>
              <w:jc w:val="right"/>
              <w:spacing w:after="0"/>
              <w:rPr>
                <w:sz w:val="20"/>
                <w:szCs w:val="20"/>
                <w:color w:val="auto"/>
              </w:rPr>
            </w:pPr>
            <w:r>
              <w:rPr>
                <w:rFonts w:ascii="Arial" w:cs="Arial" w:eastAsia="Arial" w:hAnsi="Arial"/>
                <w:sz w:val="18"/>
                <w:szCs w:val="18"/>
                <w:color w:val="auto"/>
              </w:rPr>
              <w:t>1,067,950</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1,185,425</w:t>
            </w:r>
          </w:p>
        </w:tc>
        <w:tc>
          <w:tcPr>
            <w:tcW w:w="0" w:type="dxa"/>
            <w:vAlign w:val="bottom"/>
          </w:tcPr>
          <w:p>
            <w:pPr>
              <w:spacing w:after="0"/>
              <w:rPr>
                <w:sz w:val="1"/>
                <w:szCs w:val="1"/>
                <w:color w:val="auto"/>
              </w:rPr>
            </w:pPr>
          </w:p>
        </w:tc>
      </w:tr>
      <w:tr>
        <w:trPr>
          <w:trHeight w:val="264"/>
        </w:trPr>
        <w:tc>
          <w:tcPr>
            <w:tcW w:w="226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125 %</w:t>
            </w:r>
          </w:p>
        </w:tc>
        <w:tc>
          <w:tcPr>
            <w:tcW w:w="1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135 %</w:t>
            </w:r>
          </w:p>
        </w:tc>
        <w:tc>
          <w:tcPr>
            <w:tcW w:w="2020" w:type="dxa"/>
            <w:vAlign w:val="bottom"/>
            <w:shd w:val="clear" w:color="auto" w:fill="F2F2F2"/>
          </w:tcPr>
          <w:p>
            <w:pPr>
              <w:ind w:left="1320"/>
              <w:spacing w:after="0"/>
              <w:rPr>
                <w:sz w:val="20"/>
                <w:szCs w:val="20"/>
                <w:color w:val="auto"/>
              </w:rPr>
            </w:pPr>
            <w:r>
              <w:rPr>
                <w:rFonts w:ascii="Arial" w:cs="Arial" w:eastAsia="Arial" w:hAnsi="Arial"/>
                <w:sz w:val="18"/>
                <w:szCs w:val="18"/>
                <w:color w:val="auto"/>
              </w:rPr>
              <w:t>8.0 %</w:t>
            </w:r>
          </w:p>
        </w:tc>
        <w:tc>
          <w:tcPr>
            <w:tcW w:w="15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1,144,800</w:t>
            </w:r>
          </w:p>
        </w:tc>
        <w:tc>
          <w:tcPr>
            <w:tcW w:w="260" w:type="dxa"/>
            <w:vAlign w:val="bottom"/>
            <w:shd w:val="clear" w:color="auto" w:fill="F2F2F2"/>
          </w:tcPr>
          <w:p>
            <w:pPr>
              <w:spacing w:after="0"/>
              <w:rPr>
                <w:sz w:val="22"/>
                <w:szCs w:val="22"/>
                <w:color w:val="auto"/>
              </w:rPr>
            </w:pPr>
          </w:p>
        </w:tc>
        <w:tc>
          <w:tcPr>
            <w:tcW w:w="1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1,397,801</w:t>
            </w:r>
          </w:p>
        </w:tc>
        <w:tc>
          <w:tcPr>
            <w:tcW w:w="0" w:type="dxa"/>
            <w:vAlign w:val="bottom"/>
          </w:tcPr>
          <w:p>
            <w:pPr>
              <w:spacing w:after="0"/>
              <w:rPr>
                <w:sz w:val="1"/>
                <w:szCs w:val="1"/>
                <w:color w:val="auto"/>
              </w:rPr>
            </w:pPr>
          </w:p>
        </w:tc>
      </w:tr>
      <w:tr>
        <w:trPr>
          <w:trHeight w:val="247"/>
        </w:trPr>
        <w:tc>
          <w:tcPr>
            <w:tcW w:w="226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880" w:type="dxa"/>
            <w:vAlign w:val="bottom"/>
          </w:tcPr>
          <w:p>
            <w:pPr>
              <w:jc w:val="right"/>
              <w:spacing w:after="0"/>
              <w:rPr>
                <w:sz w:val="20"/>
                <w:szCs w:val="20"/>
                <w:color w:val="auto"/>
              </w:rPr>
            </w:pPr>
            <w:r>
              <w:rPr>
                <w:rFonts w:ascii="Arial" w:cs="Arial" w:eastAsia="Arial" w:hAnsi="Arial"/>
                <w:sz w:val="18"/>
                <w:szCs w:val="18"/>
                <w:color w:val="auto"/>
              </w:rPr>
              <w:t>120 %</w:t>
            </w:r>
          </w:p>
        </w:tc>
        <w:tc>
          <w:tcPr>
            <w:tcW w:w="1820" w:type="dxa"/>
            <w:vAlign w:val="bottom"/>
          </w:tcPr>
          <w:p>
            <w:pPr>
              <w:jc w:val="right"/>
              <w:spacing w:after="0"/>
              <w:rPr>
                <w:sz w:val="20"/>
                <w:szCs w:val="20"/>
                <w:color w:val="auto"/>
              </w:rPr>
            </w:pPr>
            <w:r>
              <w:rPr>
                <w:rFonts w:ascii="Arial" w:cs="Arial" w:eastAsia="Arial" w:hAnsi="Arial"/>
                <w:sz w:val="18"/>
                <w:szCs w:val="18"/>
                <w:color w:val="auto"/>
              </w:rPr>
              <w:t>130 %</w:t>
            </w:r>
          </w:p>
        </w:tc>
        <w:tc>
          <w:tcPr>
            <w:tcW w:w="2020" w:type="dxa"/>
            <w:vAlign w:val="bottom"/>
          </w:tcPr>
          <w:p>
            <w:pPr>
              <w:ind w:left="1320"/>
              <w:spacing w:after="0"/>
              <w:rPr>
                <w:sz w:val="20"/>
                <w:szCs w:val="20"/>
                <w:color w:val="auto"/>
              </w:rPr>
            </w:pPr>
            <w:r>
              <w:rPr>
                <w:rFonts w:ascii="Arial" w:cs="Arial" w:eastAsia="Arial" w:hAnsi="Arial"/>
                <w:sz w:val="18"/>
                <w:szCs w:val="18"/>
                <w:color w:val="auto"/>
              </w:rPr>
              <w:t>8.3 %</w:t>
            </w:r>
          </w:p>
        </w:tc>
        <w:tc>
          <w:tcPr>
            <w:tcW w:w="1520" w:type="dxa"/>
            <w:vAlign w:val="bottom"/>
          </w:tcPr>
          <w:p>
            <w:pPr>
              <w:jc w:val="right"/>
              <w:spacing w:after="0"/>
              <w:rPr>
                <w:sz w:val="20"/>
                <w:szCs w:val="20"/>
                <w:color w:val="auto"/>
              </w:rPr>
            </w:pPr>
            <w:r>
              <w:rPr>
                <w:rFonts w:ascii="Arial" w:cs="Arial" w:eastAsia="Arial" w:hAnsi="Arial"/>
                <w:sz w:val="18"/>
                <w:szCs w:val="18"/>
                <w:color w:val="auto"/>
              </w:rPr>
              <w:t>982,800</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1,199,999</w:t>
            </w:r>
          </w:p>
        </w:tc>
        <w:tc>
          <w:tcPr>
            <w:tcW w:w="0" w:type="dxa"/>
            <w:vAlign w:val="bottom"/>
          </w:tcPr>
          <w:p>
            <w:pPr>
              <w:spacing w:after="0"/>
              <w:rPr>
                <w:sz w:val="1"/>
                <w:szCs w:val="1"/>
                <w:color w:val="auto"/>
              </w:rPr>
            </w:pPr>
          </w:p>
        </w:tc>
      </w:tr>
      <w:tr>
        <w:trPr>
          <w:trHeight w:val="257"/>
        </w:trPr>
        <w:tc>
          <w:tcPr>
            <w:tcW w:w="226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8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125 %</w:t>
            </w:r>
          </w:p>
        </w:tc>
        <w:tc>
          <w:tcPr>
            <w:tcW w:w="18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135 %</w:t>
            </w:r>
          </w:p>
        </w:tc>
        <w:tc>
          <w:tcPr>
            <w:tcW w:w="2020" w:type="dxa"/>
            <w:vAlign w:val="bottom"/>
            <w:tcBorders>
              <w:bottom w:val="single" w:sz="8" w:color="BD03F7"/>
            </w:tcBorders>
            <w:shd w:val="clear" w:color="auto" w:fill="F2F2F2"/>
          </w:tcPr>
          <w:p>
            <w:pPr>
              <w:ind w:left="1320"/>
              <w:spacing w:after="0"/>
              <w:rPr>
                <w:sz w:val="20"/>
                <w:szCs w:val="20"/>
                <w:color w:val="auto"/>
              </w:rPr>
            </w:pPr>
            <w:r>
              <w:rPr>
                <w:rFonts w:ascii="Arial" w:cs="Arial" w:eastAsia="Arial" w:hAnsi="Arial"/>
                <w:sz w:val="18"/>
                <w:szCs w:val="18"/>
                <w:color w:val="auto"/>
              </w:rPr>
              <w:t>8.0 %</w:t>
            </w:r>
          </w:p>
        </w:tc>
        <w:tc>
          <w:tcPr>
            <w:tcW w:w="15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1,169,438</w:t>
            </w:r>
          </w:p>
        </w:tc>
        <w:tc>
          <w:tcPr>
            <w:tcW w:w="260" w:type="dxa"/>
            <w:vAlign w:val="bottom"/>
            <w:tcBorders>
              <w:bottom w:val="single" w:sz="8" w:color="BD03F7"/>
            </w:tcBorders>
            <w:shd w:val="clear" w:color="auto" w:fill="F2F2F2"/>
          </w:tcPr>
          <w:p>
            <w:pPr>
              <w:spacing w:after="0"/>
              <w:rPr>
                <w:sz w:val="22"/>
                <w:szCs w:val="22"/>
                <w:color w:val="auto"/>
              </w:rPr>
            </w:pPr>
          </w:p>
        </w:tc>
        <w:tc>
          <w:tcPr>
            <w:tcW w:w="14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1,427,883</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Profitability and Strategic Performance Goals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chose the profitability and strategic goals and weightings outlined above based on the following criteria:</w:t>
      </w:r>
    </w:p>
    <w:p>
      <w:pPr>
        <w:spacing w:after="0" w:line="250" w:lineRule="exact"/>
        <w:rPr>
          <w:sz w:val="20"/>
          <w:szCs w:val="20"/>
          <w:color w:val="auto"/>
        </w:rPr>
      </w:pPr>
    </w:p>
    <w:p>
      <w:pPr>
        <w:ind w:left="640" w:hanging="310"/>
        <w:spacing w:after="0"/>
        <w:tabs>
          <w:tab w:leader="none" w:pos="640" w:val="left"/>
        </w:tabs>
        <w:numPr>
          <w:ilvl w:val="0"/>
          <w:numId w:val="58"/>
        </w:numPr>
        <w:rPr>
          <w:rFonts w:ascii="Arial" w:cs="Arial" w:eastAsia="Arial" w:hAnsi="Arial"/>
          <w:sz w:val="18"/>
          <w:szCs w:val="18"/>
          <w:color w:val="BD03F7"/>
        </w:rPr>
      </w:pPr>
      <w:r>
        <w:rPr>
          <w:rFonts w:ascii="Arial" w:cs="Arial" w:eastAsia="Arial" w:hAnsi="Arial"/>
          <w:sz w:val="18"/>
          <w:szCs w:val="18"/>
          <w:color w:val="auto"/>
        </w:rPr>
        <w:t>Criticality in driving the Company’s near- and long-term performance to increase shareholder value</w:t>
      </w:r>
    </w:p>
    <w:p>
      <w:pPr>
        <w:spacing w:after="0" w:line="249" w:lineRule="exact"/>
        <w:rPr>
          <w:rFonts w:ascii="Arial" w:cs="Arial" w:eastAsia="Arial" w:hAnsi="Arial"/>
          <w:sz w:val="18"/>
          <w:szCs w:val="18"/>
          <w:color w:val="BD03F7"/>
        </w:rPr>
      </w:pPr>
    </w:p>
    <w:p>
      <w:pPr>
        <w:ind w:left="640" w:hanging="310"/>
        <w:spacing w:after="0"/>
        <w:tabs>
          <w:tab w:leader="none" w:pos="640" w:val="left"/>
        </w:tabs>
        <w:numPr>
          <w:ilvl w:val="0"/>
          <w:numId w:val="58"/>
        </w:numPr>
        <w:rPr>
          <w:rFonts w:ascii="Arial" w:cs="Arial" w:eastAsia="Arial" w:hAnsi="Arial"/>
          <w:sz w:val="18"/>
          <w:szCs w:val="18"/>
          <w:color w:val="BD03F7"/>
        </w:rPr>
      </w:pPr>
      <w:r>
        <w:rPr>
          <w:rFonts w:ascii="Arial" w:cs="Arial" w:eastAsia="Arial" w:hAnsi="Arial"/>
          <w:sz w:val="18"/>
          <w:szCs w:val="18"/>
          <w:color w:val="auto"/>
        </w:rPr>
        <w:t>To motivate stretch financial performance achievement beyond the Company’s annual business plan for Fiscal 2025</w:t>
      </w:r>
    </w:p>
    <w:p>
      <w:pPr>
        <w:spacing w:after="0" w:line="249" w:lineRule="exact"/>
        <w:rPr>
          <w:rFonts w:ascii="Arial" w:cs="Arial" w:eastAsia="Arial" w:hAnsi="Arial"/>
          <w:sz w:val="18"/>
          <w:szCs w:val="18"/>
          <w:color w:val="BD03F7"/>
        </w:rPr>
      </w:pPr>
    </w:p>
    <w:p>
      <w:pPr>
        <w:ind w:left="660" w:right="640" w:hanging="330"/>
        <w:spacing w:after="0" w:line="285" w:lineRule="auto"/>
        <w:tabs>
          <w:tab w:leader="none" w:pos="655" w:val="left"/>
        </w:tabs>
        <w:numPr>
          <w:ilvl w:val="0"/>
          <w:numId w:val="58"/>
        </w:numPr>
        <w:rPr>
          <w:rFonts w:ascii="Arial" w:cs="Arial" w:eastAsia="Arial" w:hAnsi="Arial"/>
          <w:sz w:val="18"/>
          <w:szCs w:val="18"/>
          <w:color w:val="BD03F7"/>
        </w:rPr>
      </w:pPr>
      <w:r>
        <w:rPr>
          <w:rFonts w:ascii="Arial" w:cs="Arial" w:eastAsia="Arial" w:hAnsi="Arial"/>
          <w:sz w:val="18"/>
          <w:szCs w:val="18"/>
          <w:color w:val="auto"/>
        </w:rPr>
        <w:t>Focus on sustainability and human capital, which delivers business value, is an expectation of our customers and benefits our communities, team members, and other stakeholders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Profitability Goals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established profitability goals (50% weighting) consisting of adjusted non-GAAP net income or non-GAAP</w:t>
      </w:r>
    </w:p>
    <w:p>
      <w:pPr>
        <w:spacing w:after="0" w:line="1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operating margin metrics. It viewed these goals to be highly rigorous at the time they were set, with payout targets based on our Fiscal 2025 operating plan. Achieving the threshold under either goal was considered substantially uncertain. Given the volatile nature of our industry, the</w:t>
      </w:r>
    </w:p>
    <w:p>
      <w:pPr>
        <w:ind w:right="220"/>
        <w:spacing w:after="0" w:line="241" w:lineRule="auto"/>
        <w:rPr>
          <w:sz w:val="20"/>
          <w:szCs w:val="20"/>
          <w:color w:val="auto"/>
        </w:rPr>
      </w:pPr>
      <w:r>
        <w:rPr>
          <w:rFonts w:ascii="Arial" w:cs="Arial" w:eastAsia="Arial" w:hAnsi="Arial"/>
          <w:sz w:val="18"/>
          <w:szCs w:val="18"/>
          <w:color w:val="auto"/>
        </w:rPr>
        <w:t>intent of this dual goal design was to provide substantial motivation to the Named Executive Officers at the outset of Fiscal 2025, notwithstanding a challenging and uncertain business climate, which had the potential to create unpredictable changes after the goals were set.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360" w:type="dxa"/>
            <w:vAlign w:val="bottom"/>
          </w:tcPr>
          <w:p>
            <w:pPr>
              <w:ind w:left="20"/>
              <w:spacing w:after="0"/>
              <w:rPr>
                <w:sz w:val="20"/>
                <w:szCs w:val="20"/>
                <w:color w:val="auto"/>
              </w:rPr>
            </w:pPr>
            <w:r>
              <w:rPr>
                <w:rFonts w:ascii="Arial" w:cs="Arial" w:eastAsia="Arial" w:hAnsi="Arial"/>
                <w:sz w:val="18"/>
                <w:szCs w:val="18"/>
                <w:b w:val="1"/>
                <w:bCs w:val="1"/>
                <w:color w:val="BD03F7"/>
              </w:rPr>
              <w:t>Profitability Goals</w:t>
            </w:r>
          </w:p>
        </w:tc>
        <w:tc>
          <w:tcPr>
            <w:tcW w:w="1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Target</w:t>
            </w:r>
          </w:p>
        </w:tc>
        <w:tc>
          <w:tcPr>
            <w:tcW w:w="1420" w:type="dxa"/>
            <w:vAlign w:val="bottom"/>
          </w:tcPr>
          <w:p>
            <w:pPr>
              <w:spacing w:after="0"/>
              <w:rPr>
                <w:sz w:val="21"/>
                <w:szCs w:val="21"/>
                <w:color w:val="auto"/>
              </w:rPr>
            </w:pPr>
          </w:p>
        </w:tc>
        <w:tc>
          <w:tcPr>
            <w:tcW w:w="148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8"/>
              </w:rPr>
              <w:t>Maximum</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2025 Actual</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3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rPr>
              <w:t>0.5x</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0.9x</w:t>
            </w:r>
          </w:p>
        </w:tc>
        <w:tc>
          <w:tcPr>
            <w:tcW w:w="1460" w:type="dxa"/>
            <w:vAlign w:val="bottom"/>
            <w:vMerge w:val="continue"/>
          </w:tcPr>
          <w:p>
            <w:pPr>
              <w:spacing w:after="0"/>
              <w:rPr>
                <w:sz w:val="15"/>
                <w:szCs w:val="15"/>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1.50x</w:t>
            </w:r>
          </w:p>
        </w:tc>
        <w:tc>
          <w:tcPr>
            <w:tcW w:w="14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60" w:type="dxa"/>
            <w:vAlign w:val="bottom"/>
            <w:tcBorders>
              <w:bottom w:val="single" w:sz="8" w:color="BD03F7"/>
            </w:tcBorders>
          </w:tcPr>
          <w:p>
            <w:pPr>
              <w:spacing w:after="0"/>
              <w:rPr>
                <w:sz w:val="21"/>
                <w:szCs w:val="21"/>
                <w:color w:val="auto"/>
              </w:rPr>
            </w:pPr>
          </w:p>
        </w:tc>
        <w:tc>
          <w:tcPr>
            <w:tcW w:w="1300" w:type="dxa"/>
            <w:vAlign w:val="bottom"/>
            <w:tcBorders>
              <w:bottom w:val="single" w:sz="8" w:color="BD03F7"/>
            </w:tcBorders>
            <w:vMerge w:val="continue"/>
          </w:tcPr>
          <w:p>
            <w:pPr>
              <w:spacing w:after="0"/>
              <w:rPr>
                <w:sz w:val="21"/>
                <w:szCs w:val="21"/>
                <w:color w:val="auto"/>
              </w:rPr>
            </w:pPr>
          </w:p>
        </w:tc>
        <w:tc>
          <w:tcPr>
            <w:tcW w:w="1500" w:type="dxa"/>
            <w:vAlign w:val="bottom"/>
            <w:tcBorders>
              <w:bottom w:val="single" w:sz="8" w:color="BD03F7"/>
            </w:tcBorders>
            <w:vMerge w:val="continue"/>
          </w:tcPr>
          <w:p>
            <w:pPr>
              <w:spacing w:after="0"/>
              <w:rPr>
                <w:sz w:val="21"/>
                <w:szCs w:val="21"/>
                <w:color w:val="auto"/>
              </w:rPr>
            </w:pPr>
          </w:p>
        </w:tc>
        <w:tc>
          <w:tcPr>
            <w:tcW w:w="14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rPr>
              <w:t>1.00x</w:t>
            </w:r>
          </w:p>
        </w:tc>
        <w:tc>
          <w:tcPr>
            <w:tcW w:w="1420" w:type="dxa"/>
            <w:vAlign w:val="bottom"/>
            <w:tcBorders>
              <w:bottom w:val="single" w:sz="8" w:color="BD03F7"/>
            </w:tcBorders>
            <w:vMerge w:val="continue"/>
          </w:tcPr>
          <w:p>
            <w:pPr>
              <w:spacing w:after="0"/>
              <w:rPr>
                <w:sz w:val="21"/>
                <w:szCs w:val="21"/>
                <w:color w:val="auto"/>
              </w:rPr>
            </w:pPr>
          </w:p>
        </w:tc>
        <w:tc>
          <w:tcPr>
            <w:tcW w:w="1480" w:type="dxa"/>
            <w:vAlign w:val="bottom"/>
            <w:tcBorders>
              <w:bottom w:val="single" w:sz="8" w:color="BD03F7"/>
            </w:tcBorders>
          </w:tcPr>
          <w:p>
            <w:pPr>
              <w:jc w:val="center"/>
              <w:ind w:left="50"/>
              <w:spacing w:after="0"/>
              <w:rPr>
                <w:sz w:val="20"/>
                <w:szCs w:val="20"/>
                <w:color w:val="auto"/>
              </w:rPr>
            </w:pPr>
            <w:r>
              <w:rPr>
                <w:rFonts w:ascii="Arial" w:cs="Arial" w:eastAsia="Arial" w:hAnsi="Arial"/>
                <w:sz w:val="18"/>
                <w:szCs w:val="18"/>
                <w:b w:val="1"/>
                <w:bCs w:val="1"/>
                <w:color w:val="auto"/>
              </w:rPr>
              <w:t>2.00x</w:t>
            </w:r>
          </w:p>
        </w:tc>
        <w:tc>
          <w:tcPr>
            <w:tcW w:w="154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9"/>
              </w:rPr>
              <w:t>Performance</w:t>
            </w:r>
          </w:p>
        </w:tc>
        <w:tc>
          <w:tcPr>
            <w:tcW w:w="0" w:type="dxa"/>
            <w:vAlign w:val="bottom"/>
          </w:tcPr>
          <w:p>
            <w:pPr>
              <w:spacing w:after="0"/>
              <w:rPr>
                <w:sz w:val="1"/>
                <w:szCs w:val="1"/>
                <w:color w:val="auto"/>
              </w:rPr>
            </w:pPr>
          </w:p>
        </w:tc>
      </w:tr>
      <w:tr>
        <w:trPr>
          <w:trHeight w:val="168"/>
        </w:trPr>
        <w:tc>
          <w:tcPr>
            <w:tcW w:w="2360" w:type="dxa"/>
            <w:vAlign w:val="bottom"/>
            <w:shd w:val="clear" w:color="auto" w:fill="F9F9F9"/>
          </w:tcPr>
          <w:p>
            <w:pPr>
              <w:ind w:left="20"/>
              <w:spacing w:after="0" w:line="168" w:lineRule="exact"/>
              <w:rPr>
                <w:sz w:val="20"/>
                <w:szCs w:val="20"/>
                <w:color w:val="auto"/>
              </w:rPr>
            </w:pPr>
            <w:r>
              <w:rPr>
                <w:rFonts w:ascii="Arial" w:cs="Arial" w:eastAsia="Arial" w:hAnsi="Arial"/>
                <w:sz w:val="18"/>
                <w:szCs w:val="18"/>
                <w:color w:val="auto"/>
              </w:rPr>
              <w:t>Adjusted Non-GAAP Net</w:t>
            </w:r>
          </w:p>
        </w:tc>
        <w:tc>
          <w:tcPr>
            <w:tcW w:w="1300" w:type="dxa"/>
            <w:vAlign w:val="bottom"/>
            <w:vMerge w:val="restart"/>
            <w:shd w:val="clear" w:color="auto" w:fill="F9F9F9"/>
          </w:tcPr>
          <w:p>
            <w:pPr>
              <w:jc w:val="center"/>
              <w:ind w:right="50"/>
              <w:spacing w:after="0"/>
              <w:rPr>
                <w:sz w:val="20"/>
                <w:szCs w:val="20"/>
                <w:color w:val="auto"/>
              </w:rPr>
            </w:pPr>
            <w:r>
              <w:rPr>
                <w:rFonts w:ascii="Arial" w:cs="Arial" w:eastAsia="Arial" w:hAnsi="Arial"/>
                <w:sz w:val="18"/>
                <w:szCs w:val="18"/>
                <w:color w:val="auto"/>
                <w:w w:val="97"/>
              </w:rPr>
              <w:t>$5.90</w:t>
            </w:r>
          </w:p>
        </w:tc>
        <w:tc>
          <w:tcPr>
            <w:tcW w:w="1500" w:type="dxa"/>
            <w:vAlign w:val="bottom"/>
            <w:vMerge w:val="restart"/>
            <w:shd w:val="clear" w:color="auto" w:fill="F9F9F9"/>
          </w:tcPr>
          <w:p>
            <w:pPr>
              <w:jc w:val="center"/>
              <w:spacing w:after="0"/>
              <w:rPr>
                <w:sz w:val="20"/>
                <w:szCs w:val="20"/>
                <w:color w:val="auto"/>
              </w:rPr>
            </w:pPr>
            <w:r>
              <w:rPr>
                <w:rFonts w:ascii="Arial" w:cs="Arial" w:eastAsia="Arial" w:hAnsi="Arial"/>
                <w:sz w:val="18"/>
                <w:szCs w:val="18"/>
                <w:color w:val="auto"/>
                <w:w w:val="98"/>
              </w:rPr>
              <w:t>$10.30</w:t>
            </w:r>
          </w:p>
        </w:tc>
        <w:tc>
          <w:tcPr>
            <w:tcW w:w="1460" w:type="dxa"/>
            <w:vAlign w:val="bottom"/>
            <w:vMerge w:val="restart"/>
            <w:shd w:val="clear" w:color="auto" w:fill="F9F9F9"/>
          </w:tcPr>
          <w:p>
            <w:pPr>
              <w:jc w:val="center"/>
              <w:spacing w:after="0"/>
              <w:rPr>
                <w:sz w:val="20"/>
                <w:szCs w:val="20"/>
                <w:color w:val="auto"/>
              </w:rPr>
            </w:pPr>
            <w:r>
              <w:rPr>
                <w:rFonts w:ascii="Arial" w:cs="Arial" w:eastAsia="Arial" w:hAnsi="Arial"/>
                <w:sz w:val="18"/>
                <w:szCs w:val="18"/>
                <w:color w:val="auto"/>
                <w:w w:val="98"/>
              </w:rPr>
              <w:t>$11.70</w:t>
            </w:r>
          </w:p>
        </w:tc>
        <w:tc>
          <w:tcPr>
            <w:tcW w:w="1420" w:type="dxa"/>
            <w:vAlign w:val="bottom"/>
            <w:vMerge w:val="restart"/>
            <w:shd w:val="clear" w:color="auto" w:fill="F9F9F9"/>
          </w:tcPr>
          <w:p>
            <w:pPr>
              <w:jc w:val="center"/>
              <w:spacing w:after="0"/>
              <w:rPr>
                <w:sz w:val="20"/>
                <w:szCs w:val="20"/>
                <w:color w:val="auto"/>
              </w:rPr>
            </w:pPr>
            <w:r>
              <w:rPr>
                <w:rFonts w:ascii="Arial" w:cs="Arial" w:eastAsia="Arial" w:hAnsi="Arial"/>
                <w:sz w:val="18"/>
                <w:szCs w:val="18"/>
                <w:color w:val="auto"/>
                <w:w w:val="98"/>
              </w:rPr>
              <w:t>$14.30</w:t>
            </w:r>
          </w:p>
        </w:tc>
        <w:tc>
          <w:tcPr>
            <w:tcW w:w="1480" w:type="dxa"/>
            <w:vAlign w:val="bottom"/>
            <w:vMerge w:val="restart"/>
            <w:shd w:val="clear" w:color="auto" w:fill="F9F9F9"/>
          </w:tcPr>
          <w:p>
            <w:pPr>
              <w:jc w:val="center"/>
              <w:ind w:left="50"/>
              <w:spacing w:after="0"/>
              <w:rPr>
                <w:sz w:val="20"/>
                <w:szCs w:val="20"/>
                <w:color w:val="auto"/>
              </w:rPr>
            </w:pPr>
            <w:r>
              <w:rPr>
                <w:rFonts w:ascii="Arial" w:cs="Arial" w:eastAsia="Arial" w:hAnsi="Arial"/>
                <w:sz w:val="18"/>
                <w:szCs w:val="18"/>
                <w:color w:val="auto"/>
                <w:w w:val="98"/>
              </w:rPr>
              <w:t>$16.80</w:t>
            </w:r>
          </w:p>
        </w:tc>
        <w:tc>
          <w:tcPr>
            <w:tcW w:w="1540" w:type="dxa"/>
            <w:vAlign w:val="bottom"/>
            <w:vMerge w:val="restart"/>
            <w:shd w:val="clear" w:color="auto" w:fill="F9F9F9"/>
          </w:tcPr>
          <w:p>
            <w:pPr>
              <w:jc w:val="right"/>
              <w:ind w:right="4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152"/>
        </w:trPr>
        <w:tc>
          <w:tcPr>
            <w:tcW w:w="2360" w:type="dxa"/>
            <w:vAlign w:val="bottom"/>
            <w:vMerge w:val="restart"/>
            <w:shd w:val="clear" w:color="auto" w:fill="F9F9F9"/>
          </w:tcPr>
          <w:p>
            <w:pPr>
              <w:ind w:left="20"/>
              <w:spacing w:after="0"/>
              <w:rPr>
                <w:sz w:val="20"/>
                <w:szCs w:val="20"/>
                <w:color w:val="auto"/>
              </w:rPr>
            </w:pPr>
            <w:r>
              <w:rPr>
                <w:rFonts w:ascii="Arial" w:cs="Arial" w:eastAsia="Arial" w:hAnsi="Arial"/>
                <w:sz w:val="18"/>
                <w:szCs w:val="18"/>
                <w:color w:val="auto"/>
              </w:rPr>
              <w:t>Income (in billions)(1)</w:t>
            </w:r>
          </w:p>
        </w:tc>
        <w:tc>
          <w:tcPr>
            <w:tcW w:w="1300" w:type="dxa"/>
            <w:vAlign w:val="bottom"/>
            <w:vMerge w:val="continue"/>
            <w:shd w:val="clear" w:color="auto" w:fill="F9F9F9"/>
          </w:tcPr>
          <w:p>
            <w:pPr>
              <w:spacing w:after="0"/>
              <w:rPr>
                <w:sz w:val="13"/>
                <w:szCs w:val="13"/>
                <w:color w:val="auto"/>
              </w:rPr>
            </w:pPr>
          </w:p>
        </w:tc>
        <w:tc>
          <w:tcPr>
            <w:tcW w:w="1500" w:type="dxa"/>
            <w:vAlign w:val="bottom"/>
            <w:vMerge w:val="continue"/>
            <w:shd w:val="clear" w:color="auto" w:fill="F9F9F9"/>
          </w:tcPr>
          <w:p>
            <w:pPr>
              <w:spacing w:after="0"/>
              <w:rPr>
                <w:sz w:val="13"/>
                <w:szCs w:val="13"/>
                <w:color w:val="auto"/>
              </w:rPr>
            </w:pPr>
          </w:p>
        </w:tc>
        <w:tc>
          <w:tcPr>
            <w:tcW w:w="1460" w:type="dxa"/>
            <w:vAlign w:val="bottom"/>
            <w:vMerge w:val="continue"/>
            <w:shd w:val="clear" w:color="auto" w:fill="F9F9F9"/>
          </w:tcPr>
          <w:p>
            <w:pPr>
              <w:spacing w:after="0"/>
              <w:rPr>
                <w:sz w:val="13"/>
                <w:szCs w:val="13"/>
                <w:color w:val="auto"/>
              </w:rPr>
            </w:pPr>
          </w:p>
        </w:tc>
        <w:tc>
          <w:tcPr>
            <w:tcW w:w="1420" w:type="dxa"/>
            <w:vAlign w:val="bottom"/>
            <w:vMerge w:val="continue"/>
            <w:shd w:val="clear" w:color="auto" w:fill="F9F9F9"/>
          </w:tcPr>
          <w:p>
            <w:pPr>
              <w:spacing w:after="0"/>
              <w:rPr>
                <w:sz w:val="13"/>
                <w:szCs w:val="13"/>
                <w:color w:val="auto"/>
              </w:rPr>
            </w:pPr>
          </w:p>
        </w:tc>
        <w:tc>
          <w:tcPr>
            <w:tcW w:w="1480" w:type="dxa"/>
            <w:vAlign w:val="bottom"/>
            <w:vMerge w:val="continue"/>
            <w:shd w:val="clear" w:color="auto" w:fill="F9F9F9"/>
          </w:tcPr>
          <w:p>
            <w:pPr>
              <w:spacing w:after="0"/>
              <w:rPr>
                <w:sz w:val="13"/>
                <w:szCs w:val="13"/>
                <w:color w:val="auto"/>
              </w:rPr>
            </w:pPr>
          </w:p>
        </w:tc>
        <w:tc>
          <w:tcPr>
            <w:tcW w:w="1540" w:type="dxa"/>
            <w:vAlign w:val="bottom"/>
            <w:vMerge w:val="continue"/>
            <w:shd w:val="clear" w:color="auto" w:fill="F9F9F9"/>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60" w:type="dxa"/>
            <w:vAlign w:val="bottom"/>
            <w:vMerge w:val="continue"/>
            <w:shd w:val="clear" w:color="auto" w:fill="F9F9F9"/>
          </w:tcPr>
          <w:p>
            <w:pPr>
              <w:spacing w:after="0"/>
              <w:rPr>
                <w:sz w:val="7"/>
                <w:szCs w:val="7"/>
                <w:color w:val="auto"/>
              </w:rPr>
            </w:pPr>
          </w:p>
        </w:tc>
        <w:tc>
          <w:tcPr>
            <w:tcW w:w="1300" w:type="dxa"/>
            <w:vAlign w:val="bottom"/>
            <w:shd w:val="clear" w:color="auto" w:fill="F9F9F9"/>
          </w:tcPr>
          <w:p>
            <w:pPr>
              <w:spacing w:after="0"/>
              <w:rPr>
                <w:sz w:val="7"/>
                <w:szCs w:val="7"/>
                <w:color w:val="auto"/>
              </w:rPr>
            </w:pPr>
          </w:p>
        </w:tc>
        <w:tc>
          <w:tcPr>
            <w:tcW w:w="1500" w:type="dxa"/>
            <w:vAlign w:val="bottom"/>
            <w:shd w:val="clear" w:color="auto" w:fill="F9F9F9"/>
          </w:tcPr>
          <w:p>
            <w:pPr>
              <w:spacing w:after="0"/>
              <w:rPr>
                <w:sz w:val="7"/>
                <w:szCs w:val="7"/>
                <w:color w:val="auto"/>
              </w:rPr>
            </w:pPr>
          </w:p>
        </w:tc>
        <w:tc>
          <w:tcPr>
            <w:tcW w:w="1460" w:type="dxa"/>
            <w:vAlign w:val="bottom"/>
            <w:shd w:val="clear" w:color="auto" w:fill="F9F9F9"/>
          </w:tcPr>
          <w:p>
            <w:pPr>
              <w:spacing w:after="0"/>
              <w:rPr>
                <w:sz w:val="7"/>
                <w:szCs w:val="7"/>
                <w:color w:val="auto"/>
              </w:rPr>
            </w:pPr>
          </w:p>
        </w:tc>
        <w:tc>
          <w:tcPr>
            <w:tcW w:w="1420" w:type="dxa"/>
            <w:vAlign w:val="bottom"/>
            <w:shd w:val="clear" w:color="auto" w:fill="F9F9F9"/>
          </w:tcPr>
          <w:p>
            <w:pPr>
              <w:spacing w:after="0"/>
              <w:rPr>
                <w:sz w:val="7"/>
                <w:szCs w:val="7"/>
                <w:color w:val="auto"/>
              </w:rPr>
            </w:pPr>
          </w:p>
        </w:tc>
        <w:tc>
          <w:tcPr>
            <w:tcW w:w="1480" w:type="dxa"/>
            <w:vAlign w:val="bottom"/>
            <w:shd w:val="clear" w:color="auto" w:fill="F9F9F9"/>
          </w:tcPr>
          <w:p>
            <w:pPr>
              <w:spacing w:after="0"/>
              <w:rPr>
                <w:sz w:val="7"/>
                <w:szCs w:val="7"/>
                <w:color w:val="auto"/>
              </w:rPr>
            </w:pPr>
          </w:p>
        </w:tc>
        <w:tc>
          <w:tcPr>
            <w:tcW w:w="1540" w:type="dxa"/>
            <w:vAlign w:val="bottom"/>
            <w:shd w:val="clear" w:color="auto" w:fill="F9F9F9"/>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Non-GAAP Operating</w:t>
            </w:r>
          </w:p>
        </w:tc>
        <w:tc>
          <w:tcPr>
            <w:tcW w:w="1300" w:type="dxa"/>
            <w:vAlign w:val="bottom"/>
          </w:tcPr>
          <w:p>
            <w:pPr>
              <w:ind w:left="480"/>
              <w:spacing w:after="0"/>
              <w:rPr>
                <w:sz w:val="20"/>
                <w:szCs w:val="20"/>
                <w:color w:val="auto"/>
              </w:rPr>
            </w:pPr>
            <w:r>
              <w:rPr>
                <w:rFonts w:ascii="Arial" w:cs="Arial" w:eastAsia="Arial" w:hAnsi="Arial"/>
                <w:sz w:val="18"/>
                <w:szCs w:val="18"/>
                <w:color w:val="auto"/>
              </w:rPr>
              <w:t>Or</w:t>
            </w:r>
          </w:p>
        </w:tc>
        <w:tc>
          <w:tcPr>
            <w:tcW w:w="1500" w:type="dxa"/>
            <w:vAlign w:val="bottom"/>
          </w:tcPr>
          <w:p>
            <w:pPr>
              <w:ind w:left="660"/>
              <w:spacing w:after="0"/>
              <w:rPr>
                <w:sz w:val="20"/>
                <w:szCs w:val="20"/>
                <w:color w:val="auto"/>
              </w:rPr>
            </w:pPr>
            <w:r>
              <w:rPr>
                <w:rFonts w:ascii="Arial" w:cs="Arial" w:eastAsia="Arial" w:hAnsi="Arial"/>
                <w:sz w:val="18"/>
                <w:szCs w:val="18"/>
                <w:color w:val="auto"/>
              </w:rPr>
              <w:t>Or</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Or</w:t>
            </w:r>
          </w:p>
        </w:tc>
        <w:tc>
          <w:tcPr>
            <w:tcW w:w="1420" w:type="dxa"/>
            <w:vAlign w:val="bottom"/>
          </w:tcPr>
          <w:p>
            <w:pPr>
              <w:ind w:left="660"/>
              <w:spacing w:after="0"/>
              <w:rPr>
                <w:sz w:val="20"/>
                <w:szCs w:val="20"/>
                <w:color w:val="auto"/>
              </w:rPr>
            </w:pPr>
            <w:r>
              <w:rPr>
                <w:rFonts w:ascii="Arial" w:cs="Arial" w:eastAsia="Arial" w:hAnsi="Arial"/>
                <w:sz w:val="18"/>
                <w:szCs w:val="18"/>
                <w:color w:val="auto"/>
              </w:rPr>
              <w:t>Or</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9"/>
              </w:rPr>
              <w:t>Or</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360" w:type="dxa"/>
            <w:vAlign w:val="bottom"/>
            <w:vMerge w:val="continue"/>
          </w:tcPr>
          <w:p>
            <w:pPr>
              <w:spacing w:after="0"/>
              <w:rPr>
                <w:sz w:val="14"/>
                <w:szCs w:val="14"/>
                <w:color w:val="auto"/>
              </w:rPr>
            </w:pPr>
          </w:p>
        </w:tc>
        <w:tc>
          <w:tcPr>
            <w:tcW w:w="1300" w:type="dxa"/>
            <w:vAlign w:val="bottom"/>
            <w:vMerge w:val="restart"/>
          </w:tcPr>
          <w:p>
            <w:pPr>
              <w:jc w:val="center"/>
              <w:ind w:right="50"/>
              <w:spacing w:after="0"/>
              <w:rPr>
                <w:sz w:val="20"/>
                <w:szCs w:val="20"/>
                <w:color w:val="auto"/>
              </w:rPr>
            </w:pPr>
            <w:r>
              <w:rPr>
                <w:rFonts w:ascii="Arial" w:cs="Arial" w:eastAsia="Arial" w:hAnsi="Arial"/>
                <w:sz w:val="18"/>
                <w:szCs w:val="18"/>
                <w:color w:val="auto"/>
                <w:w w:val="99"/>
              </w:rPr>
              <w:t>18%</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9"/>
              </w:rPr>
              <w:t>28%</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30%</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4"/>
              </w:rPr>
              <w:t>32%</w:t>
            </w:r>
          </w:p>
        </w:tc>
        <w:tc>
          <w:tcPr>
            <w:tcW w:w="148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34%</w:t>
            </w:r>
          </w:p>
        </w:tc>
        <w:tc>
          <w:tcPr>
            <w:tcW w:w="1540" w:type="dxa"/>
            <w:vAlign w:val="bottom"/>
            <w:vMerge w:val="restart"/>
          </w:tcPr>
          <w:p>
            <w:pPr>
              <w:jc w:val="right"/>
              <w:ind w:right="4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52"/>
        </w:trPr>
        <w:tc>
          <w:tcPr>
            <w:tcW w:w="2360" w:type="dxa"/>
            <w:vAlign w:val="bottom"/>
            <w:vMerge w:val="restart"/>
          </w:tcPr>
          <w:p>
            <w:pPr>
              <w:ind w:left="20"/>
              <w:spacing w:after="0" w:line="180" w:lineRule="exact"/>
              <w:rPr>
                <w:sz w:val="20"/>
                <w:szCs w:val="20"/>
                <w:color w:val="auto"/>
              </w:rPr>
            </w:pPr>
            <w:r>
              <w:rPr>
                <w:rFonts w:ascii="Arial" w:cs="Arial" w:eastAsia="Arial" w:hAnsi="Arial"/>
                <w:sz w:val="18"/>
                <w:szCs w:val="18"/>
                <w:color w:val="auto"/>
              </w:rPr>
              <w:t>Margin(2)</w:t>
            </w:r>
          </w:p>
        </w:tc>
        <w:tc>
          <w:tcPr>
            <w:tcW w:w="13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360" w:type="dxa"/>
            <w:vAlign w:val="bottom"/>
            <w:vMerge w:val="continue"/>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-224155</wp:posOffset>
            </wp:positionV>
            <wp:extent cx="7021830" cy="2647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21830" cy="26479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0218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21830" cy="8255"/>
                    </a:xfrm>
                    <a:prstGeom prst="rect">
                      <a:avLst/>
                    </a:prstGeom>
                    <a:noFill/>
                  </pic:spPr>
                </pic:pic>
              </a:graphicData>
            </a:graphic>
          </wp:anchor>
        </w:drawing>
      </w:r>
    </w:p>
    <w:p>
      <w:pPr>
        <w:ind w:right="140"/>
        <w:spacing w:after="0" w:line="262" w:lineRule="auto"/>
        <w:rPr>
          <w:sz w:val="20"/>
          <w:szCs w:val="20"/>
          <w:color w:val="auto"/>
        </w:rPr>
      </w:pPr>
      <w:r>
        <w:rPr>
          <w:rFonts w:ascii="Arial" w:cs="Arial" w:eastAsia="Arial" w:hAnsi="Arial"/>
          <w:sz w:val="14"/>
          <w:szCs w:val="14"/>
          <w:color w:val="auto"/>
        </w:rPr>
        <w:t>The Company’s adjusted non-GAAP net income is calculated as the Company’s reported Fiscal 2025 non-GAAP net income minus stock compensation expense (including Employee Stock Purchase Plan), plus short-term incentive expense (including taxes and net of inventory impacts). Short-term incentive expense includes expense from all the Company’s STI programs. Any change to U.S. tax law or financing costs necessary to sustain minimum liquidity levels approved by the Finance Committee were not accounted for in the annual business plan and associated profitability goal targets, and would have been removed from adjusted non-GAAP net income as part of the achievement calculation.</w:t>
      </w:r>
    </w:p>
    <w:p>
      <w:pPr>
        <w:spacing w:after="0" w:line="371" w:lineRule="exact"/>
        <w:rPr>
          <w:sz w:val="20"/>
          <w:szCs w:val="20"/>
          <w:color w:val="auto"/>
        </w:rPr>
      </w:pPr>
    </w:p>
    <w:p>
      <w:pPr>
        <w:ind w:right="300" w:firstLine="7"/>
        <w:spacing w:after="0" w:line="283" w:lineRule="auto"/>
        <w:tabs>
          <w:tab w:leader="none" w:pos="215"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Company’s non-GAAP operating margin is calculated as the Company’s reported Fiscal 2025 non-GAAP operating income divided by the Company’s reported Fiscal 2025 revenue, expressed as a percentage.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780"/>
        <w:spacing w:after="0"/>
        <w:rPr>
          <w:sz w:val="20"/>
          <w:szCs w:val="20"/>
          <w:color w:val="auto"/>
        </w:rPr>
      </w:pPr>
      <w:r>
        <w:rPr>
          <w:sz w:val="1"/>
          <w:szCs w:val="1"/>
          <w:color w:val="auto"/>
        </w:rPr>
        <w:drawing>
          <wp:inline distT="0" distB="0" distL="0" distR="0">
            <wp:extent cx="776605" cy="16192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1583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40"/>
        <w:spacing w:after="0" w:line="245" w:lineRule="auto"/>
        <w:rPr>
          <w:sz w:val="20"/>
          <w:szCs w:val="20"/>
          <w:color w:val="auto"/>
        </w:rPr>
      </w:pPr>
      <w:r>
        <w:rPr>
          <w:rFonts w:ascii="Arial" w:cs="Arial" w:eastAsia="Arial" w:hAnsi="Arial"/>
          <w:sz w:val="18"/>
          <w:szCs w:val="18"/>
          <w:color w:val="auto"/>
        </w:rPr>
        <w:t>Linear interpolation is applied between each adjusted non-GAAP net income and non-GAAP operating margin target. Profitability goal achievement is based on the higher of adjusted non-GAAP net income or non-GAAP operating margin percent achievement. There is no increase to payout if both of the profitability goals are achieved.</w:t>
      </w:r>
    </w:p>
    <w:p>
      <w:pPr>
        <w:spacing w:after="0" w:line="2" w:lineRule="exact"/>
        <w:rPr>
          <w:sz w:val="20"/>
          <w:szCs w:val="20"/>
          <w:color w:val="auto"/>
        </w:rPr>
      </w:pPr>
    </w:p>
    <w:p>
      <w:pPr>
        <w:ind w:right="700"/>
        <w:spacing w:after="0" w:line="248" w:lineRule="auto"/>
        <w:rPr>
          <w:sz w:val="20"/>
          <w:szCs w:val="20"/>
          <w:color w:val="auto"/>
        </w:rPr>
      </w:pPr>
      <w:r>
        <w:rPr>
          <w:rFonts w:ascii="Arial" w:cs="Arial" w:eastAsia="Arial" w:hAnsi="Arial"/>
          <w:sz w:val="18"/>
          <w:szCs w:val="18"/>
          <w:color w:val="auto"/>
        </w:rPr>
        <w:t>Despite a year of record revenue, the Fiscal 2025 profitability goal achieved below target at 95%, which was based on the non-GAAP operating margin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an individual performance multiplier for Messrs. Mehrotra, Bhatia, DeBoer and Sadana at 1.10 in recognition of their successful efforts in their respective areas. Mr. Mehrotra delivered a record revenue year with gross margins of nearly 40% and played a critical role in strengthening Micron’s strategic relationships with key stakeholders. Mr. Bhatia delivered on critical operational metrics and milestones including HBM3E yield and output, product qualification and leading node yields. Dr. DeBoer delivered on our technology roadmap, including HBM4 and data center SSDs. Mr. Sadana delivered on key bit shipment and revenue metrics including from HBM3E+, high-growth and more stable end markets and leading node DRAM and NAND shipments.</w:t>
      </w:r>
    </w:p>
    <w:p>
      <w:pPr>
        <w:spacing w:after="0" w:line="223"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For Fiscal 2026, the Compensation Committee approved a further enhancement to the profitability goal structure, such that actual payout above target requires achievement of both the adjusted non-GAAP net income and non-GAAP operating margin goals.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Goals</w:t>
      </w:r>
    </w:p>
    <w:p>
      <w:pPr>
        <w:spacing w:after="0" w:line="234" w:lineRule="exact"/>
        <w:rPr>
          <w:sz w:val="20"/>
          <w:szCs w:val="20"/>
          <w:color w:val="auto"/>
        </w:rPr>
      </w:pPr>
    </w:p>
    <w:p>
      <w:pPr>
        <w:ind w:right="280"/>
        <w:spacing w:after="0" w:line="250" w:lineRule="auto"/>
        <w:rPr>
          <w:sz w:val="20"/>
          <w:szCs w:val="20"/>
          <w:color w:val="auto"/>
        </w:rPr>
      </w:pPr>
      <w:r>
        <w:rPr>
          <w:rFonts w:ascii="Arial" w:cs="Arial" w:eastAsia="Arial" w:hAnsi="Arial"/>
          <w:sz w:val="17"/>
          <w:szCs w:val="17"/>
          <w:color w:val="auto"/>
        </w:rPr>
        <w:t>The five strategic goal categories below are weighted equally and together account for 50% of the overall STI plan achievement weighting. Our strategic goals involve highly confidential, competitively sensitive information, including forward-looking targets and product-specific</w:t>
      </w:r>
    </w:p>
    <w:p>
      <w:pPr>
        <w:ind w:right="200"/>
        <w:spacing w:after="0" w:line="236" w:lineRule="auto"/>
        <w:rPr>
          <w:sz w:val="20"/>
          <w:szCs w:val="20"/>
          <w:color w:val="auto"/>
        </w:rPr>
      </w:pPr>
      <w:r>
        <w:rPr>
          <w:rFonts w:ascii="Arial" w:cs="Arial" w:eastAsia="Arial" w:hAnsi="Arial"/>
          <w:sz w:val="18"/>
          <w:szCs w:val="18"/>
          <w:color w:val="auto"/>
        </w:rPr>
        <w:t>strategies that if disclosed could cause irreparable competitive harm by providing competitors with insight into our internal processes, know-how, products and business initiatives, particularly as many of our goals build on multi-year achievements in order to execute on our overall business strategies. Revealing such information, including targets in key strategic focus areas, would allow our major competitors, many of whom are not traded on U.S. exchanges and are not disclosing strategic goals and metrics, to leverage it to their competitive advantage, to our detriment and to the detriment of our shareholders. However, we understand shareholders' desire for additional detail regarding our strategic goals and have provided visibility into the strategic goal components and resulting performance, while balancing these competitive concerns.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ind w:left="9900"/>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80" w:type="dxa"/>
            <w:vAlign w:val="bottom"/>
            <w:gridSpan w:val="2"/>
          </w:tcPr>
          <w:p>
            <w:pPr>
              <w:ind w:left="20"/>
              <w:spacing w:after="0"/>
              <w:rPr>
                <w:sz w:val="20"/>
                <w:szCs w:val="20"/>
                <w:color w:val="auto"/>
              </w:rPr>
            </w:pPr>
            <w:r>
              <w:rPr>
                <w:rFonts w:ascii="Arial" w:cs="Arial" w:eastAsia="Arial" w:hAnsi="Arial"/>
                <w:sz w:val="18"/>
                <w:szCs w:val="18"/>
                <w:b w:val="1"/>
                <w:bCs w:val="1"/>
                <w:color w:val="BD03F7"/>
              </w:rPr>
              <w:t>Strategic Goals</w:t>
            </w:r>
          </w:p>
        </w:tc>
        <w:tc>
          <w:tcPr>
            <w:tcW w:w="35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Category</w:t>
            </w:r>
          </w:p>
        </w:tc>
        <w:tc>
          <w:tcPr>
            <w:tcW w:w="3560" w:type="dxa"/>
            <w:vAlign w:val="bottom"/>
            <w:tcBorders>
              <w:bottom w:val="single" w:sz="8" w:color="BD03F7"/>
            </w:tcBorders>
          </w:tcPr>
          <w:p>
            <w:pPr>
              <w:ind w:left="160"/>
              <w:spacing w:after="0"/>
              <w:rPr>
                <w:sz w:val="20"/>
                <w:szCs w:val="20"/>
                <w:color w:val="auto"/>
              </w:rPr>
            </w:pPr>
            <w:r>
              <w:rPr>
                <w:rFonts w:ascii="Arial" w:cs="Arial" w:eastAsia="Arial" w:hAnsi="Arial"/>
                <w:sz w:val="18"/>
                <w:szCs w:val="18"/>
                <w:b w:val="1"/>
                <w:bCs w:val="1"/>
                <w:color w:val="auto"/>
              </w:rPr>
              <w:t>Fiscal 2025 Goals</w:t>
            </w:r>
          </w:p>
        </w:tc>
        <w:tc>
          <w:tcPr>
            <w:tcW w:w="302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Achievement</w:t>
            </w:r>
          </w:p>
        </w:tc>
        <w:tc>
          <w:tcPr>
            <w:tcW w:w="1780" w:type="dxa"/>
            <w:vAlign w:val="bottom"/>
            <w:tcBorders>
              <w:bottom w:val="single" w:sz="8" w:color="BD03F7"/>
            </w:tcBorders>
          </w:tcPr>
          <w:p>
            <w:pPr>
              <w:jc w:val="right"/>
              <w:ind w:right="210"/>
              <w:spacing w:after="0"/>
              <w:rPr>
                <w:sz w:val="20"/>
                <w:szCs w:val="20"/>
                <w:color w:val="auto"/>
              </w:rPr>
            </w:pPr>
            <w:r>
              <w:rPr>
                <w:rFonts w:ascii="Arial" w:cs="Arial" w:eastAsia="Arial" w:hAnsi="Arial"/>
                <w:sz w:val="18"/>
                <w:szCs w:val="18"/>
                <w:b w:val="1"/>
                <w:bCs w:val="1"/>
                <w:color w:val="auto"/>
              </w:rPr>
              <w:t>% Achievement</w:t>
            </w:r>
          </w:p>
        </w:tc>
      </w:tr>
      <w:tr>
        <w:trPr>
          <w:trHeight w:val="168"/>
        </w:trPr>
        <w:tc>
          <w:tcPr>
            <w:tcW w:w="160" w:type="dxa"/>
            <w:vAlign w:val="bottom"/>
            <w:shd w:val="clear" w:color="auto" w:fill="FFE64B"/>
          </w:tcPr>
          <w:p>
            <w:pPr>
              <w:spacing w:after="0"/>
              <w:rPr>
                <w:sz w:val="14"/>
                <w:szCs w:val="14"/>
                <w:color w:val="auto"/>
              </w:rPr>
            </w:pPr>
          </w:p>
        </w:tc>
        <w:tc>
          <w:tcPr>
            <w:tcW w:w="2720" w:type="dxa"/>
            <w:vAlign w:val="bottom"/>
            <w:shd w:val="clear" w:color="auto" w:fill="F2F2F2"/>
          </w:tcPr>
          <w:p>
            <w:pPr>
              <w:ind w:left="20"/>
              <w:spacing w:after="0" w:line="168" w:lineRule="exact"/>
              <w:rPr>
                <w:sz w:val="20"/>
                <w:szCs w:val="20"/>
                <w:color w:val="auto"/>
              </w:rPr>
            </w:pPr>
            <w:r>
              <w:rPr>
                <w:rFonts w:ascii="Arial" w:cs="Arial" w:eastAsia="Arial" w:hAnsi="Arial"/>
                <w:sz w:val="18"/>
                <w:szCs w:val="18"/>
                <w:b w:val="1"/>
                <w:bCs w:val="1"/>
                <w:color w:val="auto"/>
              </w:rPr>
              <w:t>Technology and Products</w:t>
            </w:r>
          </w:p>
        </w:tc>
        <w:tc>
          <w:tcPr>
            <w:tcW w:w="3560" w:type="dxa"/>
            <w:vAlign w:val="bottom"/>
            <w:shd w:val="clear" w:color="auto" w:fill="F2F2F2"/>
          </w:tcPr>
          <w:p>
            <w:pPr>
              <w:ind w:left="160"/>
              <w:spacing w:after="0" w:line="168" w:lineRule="exact"/>
              <w:rPr>
                <w:sz w:val="20"/>
                <w:szCs w:val="20"/>
                <w:color w:val="auto"/>
              </w:rPr>
            </w:pPr>
            <w:r>
              <w:rPr>
                <w:rFonts w:ascii="Arial" w:cs="Arial" w:eastAsia="Arial" w:hAnsi="Arial"/>
                <w:sz w:val="18"/>
                <w:szCs w:val="18"/>
                <w:color w:val="auto"/>
              </w:rPr>
              <w:t>Goals focused on delivery of leading-edge</w:t>
            </w:r>
          </w:p>
        </w:tc>
        <w:tc>
          <w:tcPr>
            <w:tcW w:w="3020" w:type="dxa"/>
            <w:vAlign w:val="bottom"/>
            <w:shd w:val="clear" w:color="auto" w:fill="F2F2F2"/>
          </w:tcPr>
          <w:p>
            <w:pPr>
              <w:ind w:left="20"/>
              <w:spacing w:after="0" w:line="168" w:lineRule="exact"/>
              <w:rPr>
                <w:sz w:val="20"/>
                <w:szCs w:val="20"/>
                <w:color w:val="auto"/>
              </w:rPr>
            </w:pPr>
            <w:r>
              <w:rPr>
                <w:rFonts w:ascii="Arial" w:cs="Arial" w:eastAsia="Arial" w:hAnsi="Arial"/>
                <w:sz w:val="18"/>
                <w:szCs w:val="18"/>
                <w:color w:val="auto"/>
              </w:rPr>
              <w:t>Leading-edge technology and key</w:t>
            </w:r>
          </w:p>
        </w:tc>
        <w:tc>
          <w:tcPr>
            <w:tcW w:w="1780" w:type="dxa"/>
            <w:vAlign w:val="bottom"/>
            <w:shd w:val="clear" w:color="auto" w:fill="F2F2F2"/>
          </w:tcPr>
          <w:p>
            <w:pPr>
              <w:jc w:val="right"/>
              <w:ind w:right="510"/>
              <w:spacing w:after="0" w:line="168" w:lineRule="exact"/>
              <w:rPr>
                <w:sz w:val="20"/>
                <w:szCs w:val="20"/>
                <w:color w:val="auto"/>
              </w:rPr>
            </w:pPr>
            <w:r>
              <w:rPr>
                <w:rFonts w:ascii="Arial" w:cs="Arial" w:eastAsia="Arial" w:hAnsi="Arial"/>
                <w:sz w:val="18"/>
                <w:szCs w:val="18"/>
                <w:color w:val="auto"/>
              </w:rPr>
              <w:t>100%</w:t>
            </w:r>
          </w:p>
        </w:tc>
      </w:tr>
      <w:tr>
        <w:trPr>
          <w:trHeight w:val="183"/>
        </w:trPr>
        <w:tc>
          <w:tcPr>
            <w:tcW w:w="160" w:type="dxa"/>
            <w:vAlign w:val="bottom"/>
            <w:shd w:val="clear" w:color="auto" w:fill="FFE64B"/>
          </w:tcPr>
          <w:p>
            <w:pPr>
              <w:spacing w:after="0"/>
              <w:rPr>
                <w:sz w:val="15"/>
                <w:szCs w:val="15"/>
                <w:color w:val="auto"/>
              </w:rPr>
            </w:pPr>
          </w:p>
        </w:tc>
        <w:tc>
          <w:tcPr>
            <w:tcW w:w="272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Execute key enablers of our</w:t>
            </w:r>
          </w:p>
        </w:tc>
        <w:tc>
          <w:tcPr>
            <w:tcW w:w="3560" w:type="dxa"/>
            <w:vAlign w:val="bottom"/>
            <w:shd w:val="clear" w:color="auto" w:fill="F2F2F2"/>
          </w:tcPr>
          <w:p>
            <w:pPr>
              <w:ind w:left="160"/>
              <w:spacing w:after="0" w:line="182" w:lineRule="exact"/>
              <w:rPr>
                <w:sz w:val="20"/>
                <w:szCs w:val="20"/>
                <w:color w:val="auto"/>
              </w:rPr>
            </w:pPr>
            <w:r>
              <w:rPr>
                <w:rFonts w:ascii="Arial" w:cs="Arial" w:eastAsia="Arial" w:hAnsi="Arial"/>
                <w:sz w:val="18"/>
                <w:szCs w:val="18"/>
                <w:color w:val="auto"/>
              </w:rPr>
              <w:t>technology and key market segment (data</w:t>
            </w:r>
          </w:p>
        </w:tc>
        <w:tc>
          <w:tcPr>
            <w:tcW w:w="302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market segment product milestones</w:t>
            </w:r>
          </w:p>
        </w:tc>
        <w:tc>
          <w:tcPr>
            <w:tcW w:w="1780" w:type="dxa"/>
            <w:vAlign w:val="bottom"/>
            <w:shd w:val="clear" w:color="auto" w:fill="F2F2F2"/>
          </w:tcPr>
          <w:p>
            <w:pPr>
              <w:spacing w:after="0"/>
              <w:rPr>
                <w:sz w:val="15"/>
                <w:szCs w:val="15"/>
                <w:color w:val="auto"/>
              </w:rPr>
            </w:pPr>
          </w:p>
        </w:tc>
      </w:tr>
      <w:tr>
        <w:trPr>
          <w:trHeight w:val="180"/>
        </w:trPr>
        <w:tc>
          <w:tcPr>
            <w:tcW w:w="160" w:type="dxa"/>
            <w:vAlign w:val="bottom"/>
            <w:shd w:val="clear" w:color="auto" w:fill="FFE64B"/>
          </w:tcPr>
          <w:p>
            <w:pPr>
              <w:spacing w:after="0"/>
              <w:rPr>
                <w:sz w:val="15"/>
                <w:szCs w:val="15"/>
                <w:color w:val="auto"/>
              </w:rPr>
            </w:pPr>
          </w:p>
        </w:tc>
        <w:tc>
          <w:tcPr>
            <w:tcW w:w="2720" w:type="dxa"/>
            <w:vAlign w:val="bottom"/>
            <w:shd w:val="clear" w:color="auto" w:fill="F2F2F2"/>
          </w:tcPr>
          <w:p>
            <w:pPr>
              <w:ind w:left="20"/>
              <w:spacing w:after="0" w:line="180" w:lineRule="exact"/>
              <w:rPr>
                <w:sz w:val="20"/>
                <w:szCs w:val="20"/>
                <w:color w:val="auto"/>
              </w:rPr>
            </w:pPr>
            <w:r>
              <w:rPr>
                <w:rFonts w:ascii="Arial" w:cs="Arial" w:eastAsia="Arial" w:hAnsi="Arial"/>
                <w:sz w:val="18"/>
                <w:szCs w:val="18"/>
                <w:color w:val="auto"/>
              </w:rPr>
              <w:t>technology and products for the</w:t>
            </w:r>
          </w:p>
        </w:tc>
        <w:tc>
          <w:tcPr>
            <w:tcW w:w="3560" w:type="dxa"/>
            <w:vAlign w:val="bottom"/>
            <w:shd w:val="clear" w:color="auto" w:fill="F2F2F2"/>
          </w:tcPr>
          <w:p>
            <w:pPr>
              <w:ind w:left="160"/>
              <w:spacing w:after="0" w:line="180" w:lineRule="exact"/>
              <w:rPr>
                <w:sz w:val="20"/>
                <w:szCs w:val="20"/>
                <w:color w:val="auto"/>
              </w:rPr>
            </w:pPr>
            <w:r>
              <w:rPr>
                <w:rFonts w:ascii="Arial" w:cs="Arial" w:eastAsia="Arial" w:hAnsi="Arial"/>
                <w:sz w:val="18"/>
                <w:szCs w:val="18"/>
                <w:color w:val="auto"/>
              </w:rPr>
              <w:t>center, client, mobile, automotive) product</w:t>
            </w:r>
          </w:p>
        </w:tc>
        <w:tc>
          <w:tcPr>
            <w:tcW w:w="3020" w:type="dxa"/>
            <w:vAlign w:val="bottom"/>
            <w:shd w:val="clear" w:color="auto" w:fill="F2F2F2"/>
          </w:tcPr>
          <w:p>
            <w:pPr>
              <w:ind w:left="20"/>
              <w:spacing w:after="0" w:line="180" w:lineRule="exact"/>
              <w:rPr>
                <w:sz w:val="20"/>
                <w:szCs w:val="20"/>
                <w:color w:val="auto"/>
              </w:rPr>
            </w:pPr>
            <w:r>
              <w:rPr>
                <w:rFonts w:ascii="Arial" w:cs="Arial" w:eastAsia="Arial" w:hAnsi="Arial"/>
                <w:sz w:val="18"/>
                <w:szCs w:val="18"/>
                <w:color w:val="auto"/>
              </w:rPr>
              <w:t>largely accomplished at or before</w:t>
            </w:r>
          </w:p>
        </w:tc>
        <w:tc>
          <w:tcPr>
            <w:tcW w:w="1780" w:type="dxa"/>
            <w:vAlign w:val="bottom"/>
            <w:shd w:val="clear" w:color="auto" w:fill="F2F2F2"/>
          </w:tcPr>
          <w:p>
            <w:pPr>
              <w:spacing w:after="0"/>
              <w:rPr>
                <w:sz w:val="15"/>
                <w:szCs w:val="15"/>
                <w:color w:val="auto"/>
              </w:rPr>
            </w:pPr>
          </w:p>
        </w:tc>
      </w:tr>
      <w:tr>
        <w:trPr>
          <w:trHeight w:val="175"/>
        </w:trPr>
        <w:tc>
          <w:tcPr>
            <w:tcW w:w="160" w:type="dxa"/>
            <w:vAlign w:val="bottom"/>
            <w:shd w:val="clear" w:color="auto" w:fill="FFE64B"/>
          </w:tcPr>
          <w:p>
            <w:pPr>
              <w:spacing w:after="0"/>
              <w:rPr>
                <w:sz w:val="15"/>
                <w:szCs w:val="15"/>
                <w:color w:val="auto"/>
              </w:rPr>
            </w:pPr>
          </w:p>
        </w:tc>
        <w:tc>
          <w:tcPr>
            <w:tcW w:w="272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current fiscal year, as well as</w:t>
            </w:r>
          </w:p>
        </w:tc>
        <w:tc>
          <w:tcPr>
            <w:tcW w:w="3560" w:type="dxa"/>
            <w:vAlign w:val="bottom"/>
            <w:shd w:val="clear" w:color="auto" w:fill="F2F2F2"/>
          </w:tcPr>
          <w:p>
            <w:pPr>
              <w:ind w:left="160"/>
              <w:spacing w:after="0" w:line="175" w:lineRule="exact"/>
              <w:rPr>
                <w:sz w:val="20"/>
                <w:szCs w:val="20"/>
                <w:color w:val="auto"/>
              </w:rPr>
            </w:pPr>
            <w:r>
              <w:rPr>
                <w:rFonts w:ascii="Arial" w:cs="Arial" w:eastAsia="Arial" w:hAnsi="Arial"/>
                <w:sz w:val="18"/>
                <w:szCs w:val="18"/>
                <w:color w:val="auto"/>
              </w:rPr>
              <w:t>milestones across:</w:t>
            </w:r>
          </w:p>
        </w:tc>
        <w:tc>
          <w:tcPr>
            <w:tcW w:w="302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targets and additional stretch</w:t>
            </w:r>
          </w:p>
        </w:tc>
        <w:tc>
          <w:tcPr>
            <w:tcW w:w="1780" w:type="dxa"/>
            <w:vAlign w:val="bottom"/>
            <w:shd w:val="clear" w:color="auto" w:fill="F2F2F2"/>
          </w:tcPr>
          <w:p>
            <w:pPr>
              <w:spacing w:after="0"/>
              <w:rPr>
                <w:sz w:val="15"/>
                <w:szCs w:val="15"/>
                <w:color w:val="auto"/>
              </w:rPr>
            </w:pPr>
          </w:p>
        </w:tc>
      </w:tr>
      <w:tr>
        <w:trPr>
          <w:trHeight w:val="183"/>
        </w:trPr>
        <w:tc>
          <w:tcPr>
            <w:tcW w:w="160" w:type="dxa"/>
            <w:vAlign w:val="bottom"/>
            <w:shd w:val="clear" w:color="auto" w:fill="FFE64B"/>
          </w:tcPr>
          <w:p>
            <w:pPr>
              <w:spacing w:after="0"/>
              <w:rPr>
                <w:sz w:val="15"/>
                <w:szCs w:val="15"/>
                <w:color w:val="auto"/>
              </w:rPr>
            </w:pPr>
          </w:p>
        </w:tc>
        <w:tc>
          <w:tcPr>
            <w:tcW w:w="272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elements focused on supporting</w:t>
            </w:r>
          </w:p>
        </w:tc>
        <w:tc>
          <w:tcPr>
            <w:tcW w:w="3560" w:type="dxa"/>
            <w:vAlign w:val="bottom"/>
            <w:shd w:val="clear" w:color="auto" w:fill="F2F2F2"/>
          </w:tcPr>
          <w:p>
            <w:pPr>
              <w:ind w:left="500"/>
              <w:spacing w:after="0" w:line="182" w:lineRule="exact"/>
              <w:rPr>
                <w:sz w:val="20"/>
                <w:szCs w:val="20"/>
                <w:color w:val="auto"/>
              </w:rPr>
            </w:pPr>
            <w:r>
              <w:rPr>
                <w:rFonts w:ascii="Arial" w:cs="Arial" w:eastAsia="Arial" w:hAnsi="Arial"/>
                <w:sz w:val="18"/>
                <w:szCs w:val="18"/>
                <w:color w:val="auto"/>
              </w:rPr>
              <w:t>▪   DRAM (including HBM4)</w:t>
            </w:r>
          </w:p>
        </w:tc>
        <w:tc>
          <w:tcPr>
            <w:tcW w:w="302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performance condition achieved.</w:t>
            </w:r>
          </w:p>
        </w:tc>
        <w:tc>
          <w:tcPr>
            <w:tcW w:w="1780" w:type="dxa"/>
            <w:vAlign w:val="bottom"/>
            <w:shd w:val="clear" w:color="auto" w:fill="F2F2F2"/>
          </w:tcPr>
          <w:p>
            <w:pPr>
              <w:spacing w:after="0"/>
              <w:rPr>
                <w:sz w:val="15"/>
                <w:szCs w:val="15"/>
                <w:color w:val="auto"/>
              </w:rPr>
            </w:pPr>
          </w:p>
        </w:tc>
      </w:tr>
      <w:tr>
        <w:trPr>
          <w:trHeight w:val="180"/>
        </w:trPr>
        <w:tc>
          <w:tcPr>
            <w:tcW w:w="160" w:type="dxa"/>
            <w:vAlign w:val="bottom"/>
            <w:shd w:val="clear" w:color="auto" w:fill="FFE64B"/>
          </w:tcPr>
          <w:p>
            <w:pPr>
              <w:spacing w:after="0"/>
              <w:rPr>
                <w:sz w:val="15"/>
                <w:szCs w:val="15"/>
                <w:color w:val="auto"/>
              </w:rPr>
            </w:pPr>
          </w:p>
        </w:tc>
        <w:tc>
          <w:tcPr>
            <w:tcW w:w="2720" w:type="dxa"/>
            <w:vAlign w:val="bottom"/>
            <w:shd w:val="clear" w:color="auto" w:fill="F2F2F2"/>
          </w:tcPr>
          <w:p>
            <w:pPr>
              <w:ind w:left="20"/>
              <w:spacing w:after="0" w:line="180" w:lineRule="exact"/>
              <w:rPr>
                <w:sz w:val="20"/>
                <w:szCs w:val="20"/>
                <w:color w:val="auto"/>
              </w:rPr>
            </w:pPr>
            <w:r>
              <w:rPr>
                <w:rFonts w:ascii="Arial" w:cs="Arial" w:eastAsia="Arial" w:hAnsi="Arial"/>
                <w:sz w:val="18"/>
                <w:szCs w:val="18"/>
                <w:color w:val="auto"/>
              </w:rPr>
              <w:t>our longer-term technology and</w:t>
            </w:r>
          </w:p>
        </w:tc>
        <w:tc>
          <w:tcPr>
            <w:tcW w:w="3560" w:type="dxa"/>
            <w:vAlign w:val="bottom"/>
            <w:shd w:val="clear" w:color="auto" w:fill="F2F2F2"/>
          </w:tcPr>
          <w:p>
            <w:pPr>
              <w:ind w:left="500"/>
              <w:spacing w:after="0" w:line="180" w:lineRule="exact"/>
              <w:rPr>
                <w:sz w:val="20"/>
                <w:szCs w:val="20"/>
                <w:color w:val="auto"/>
              </w:rPr>
            </w:pPr>
            <w:r>
              <w:rPr>
                <w:rFonts w:ascii="Arial" w:cs="Arial" w:eastAsia="Arial" w:hAnsi="Arial"/>
                <w:sz w:val="18"/>
                <w:szCs w:val="18"/>
                <w:color w:val="auto"/>
              </w:rPr>
              <w:t>▪   NAND (including data center</w:t>
            </w:r>
          </w:p>
        </w:tc>
        <w:tc>
          <w:tcPr>
            <w:tcW w:w="3020" w:type="dxa"/>
            <w:vAlign w:val="bottom"/>
            <w:shd w:val="clear" w:color="auto" w:fill="F2F2F2"/>
          </w:tcPr>
          <w:p>
            <w:pPr>
              <w:spacing w:after="0"/>
              <w:rPr>
                <w:sz w:val="15"/>
                <w:szCs w:val="15"/>
                <w:color w:val="auto"/>
              </w:rPr>
            </w:pPr>
          </w:p>
        </w:tc>
        <w:tc>
          <w:tcPr>
            <w:tcW w:w="1780" w:type="dxa"/>
            <w:vAlign w:val="bottom"/>
            <w:shd w:val="clear" w:color="auto" w:fill="F2F2F2"/>
          </w:tcPr>
          <w:p>
            <w:pPr>
              <w:spacing w:after="0"/>
              <w:rPr>
                <w:sz w:val="15"/>
                <w:szCs w:val="15"/>
                <w:color w:val="auto"/>
              </w:rPr>
            </w:pPr>
          </w:p>
        </w:tc>
      </w:tr>
      <w:tr>
        <w:trPr>
          <w:trHeight w:val="175"/>
        </w:trPr>
        <w:tc>
          <w:tcPr>
            <w:tcW w:w="160" w:type="dxa"/>
            <w:vAlign w:val="bottom"/>
            <w:shd w:val="clear" w:color="auto" w:fill="FFE64B"/>
          </w:tcPr>
          <w:p>
            <w:pPr>
              <w:spacing w:after="0"/>
              <w:rPr>
                <w:sz w:val="15"/>
                <w:szCs w:val="15"/>
                <w:color w:val="auto"/>
              </w:rPr>
            </w:pPr>
          </w:p>
        </w:tc>
        <w:tc>
          <w:tcPr>
            <w:tcW w:w="272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product competitiveness and</w:t>
            </w:r>
          </w:p>
        </w:tc>
        <w:tc>
          <w:tcPr>
            <w:tcW w:w="3560" w:type="dxa"/>
            <w:vAlign w:val="bottom"/>
            <w:shd w:val="clear" w:color="auto" w:fill="F2F2F2"/>
          </w:tcPr>
          <w:p>
            <w:pPr>
              <w:ind w:left="820"/>
              <w:spacing w:after="0" w:line="175" w:lineRule="exact"/>
              <w:rPr>
                <w:sz w:val="20"/>
                <w:szCs w:val="20"/>
                <w:color w:val="auto"/>
              </w:rPr>
            </w:pPr>
            <w:r>
              <w:rPr>
                <w:rFonts w:ascii="Arial" w:cs="Arial" w:eastAsia="Arial" w:hAnsi="Arial"/>
                <w:sz w:val="18"/>
                <w:szCs w:val="18"/>
                <w:color w:val="auto"/>
              </w:rPr>
              <w:t>SSDs)</w:t>
            </w:r>
          </w:p>
        </w:tc>
        <w:tc>
          <w:tcPr>
            <w:tcW w:w="3020" w:type="dxa"/>
            <w:vAlign w:val="bottom"/>
            <w:shd w:val="clear" w:color="auto" w:fill="F2F2F2"/>
          </w:tcPr>
          <w:p>
            <w:pPr>
              <w:spacing w:after="0"/>
              <w:rPr>
                <w:sz w:val="15"/>
                <w:szCs w:val="15"/>
                <w:color w:val="auto"/>
              </w:rPr>
            </w:pPr>
          </w:p>
        </w:tc>
        <w:tc>
          <w:tcPr>
            <w:tcW w:w="1780" w:type="dxa"/>
            <w:vAlign w:val="bottom"/>
            <w:shd w:val="clear" w:color="auto" w:fill="F2F2F2"/>
          </w:tcPr>
          <w:p>
            <w:pPr>
              <w:spacing w:after="0"/>
              <w:rPr>
                <w:sz w:val="15"/>
                <w:szCs w:val="15"/>
                <w:color w:val="auto"/>
              </w:rPr>
            </w:pPr>
          </w:p>
        </w:tc>
      </w:tr>
      <w:tr>
        <w:trPr>
          <w:trHeight w:val="183"/>
        </w:trPr>
        <w:tc>
          <w:tcPr>
            <w:tcW w:w="160" w:type="dxa"/>
            <w:vAlign w:val="bottom"/>
            <w:shd w:val="clear" w:color="auto" w:fill="FFE64B"/>
          </w:tcPr>
          <w:p>
            <w:pPr>
              <w:spacing w:after="0"/>
              <w:rPr>
                <w:sz w:val="15"/>
                <w:szCs w:val="15"/>
                <w:color w:val="auto"/>
              </w:rPr>
            </w:pPr>
          </w:p>
        </w:tc>
        <w:tc>
          <w:tcPr>
            <w:tcW w:w="272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business results.</w:t>
            </w:r>
          </w:p>
        </w:tc>
        <w:tc>
          <w:tcPr>
            <w:tcW w:w="3560" w:type="dxa"/>
            <w:vAlign w:val="bottom"/>
            <w:shd w:val="clear" w:color="auto" w:fill="F2F2F2"/>
          </w:tcPr>
          <w:p>
            <w:pPr>
              <w:ind w:left="500"/>
              <w:spacing w:after="0" w:line="182" w:lineRule="exact"/>
              <w:rPr>
                <w:sz w:val="20"/>
                <w:szCs w:val="20"/>
                <w:color w:val="auto"/>
              </w:rPr>
            </w:pPr>
            <w:r>
              <w:rPr>
                <w:rFonts w:ascii="Arial" w:cs="Arial" w:eastAsia="Arial" w:hAnsi="Arial"/>
                <w:sz w:val="18"/>
                <w:szCs w:val="18"/>
                <w:color w:val="auto"/>
              </w:rPr>
              <w:t>▪   Goals focused on deployment of</w:t>
            </w:r>
          </w:p>
        </w:tc>
        <w:tc>
          <w:tcPr>
            <w:tcW w:w="3020" w:type="dxa"/>
            <w:vAlign w:val="bottom"/>
            <w:shd w:val="clear" w:color="auto" w:fill="F2F2F2"/>
          </w:tcPr>
          <w:p>
            <w:pPr>
              <w:spacing w:after="0"/>
              <w:rPr>
                <w:sz w:val="15"/>
                <w:szCs w:val="15"/>
                <w:color w:val="auto"/>
              </w:rPr>
            </w:pPr>
          </w:p>
        </w:tc>
        <w:tc>
          <w:tcPr>
            <w:tcW w:w="1780" w:type="dxa"/>
            <w:vAlign w:val="bottom"/>
            <w:shd w:val="clear" w:color="auto" w:fill="F2F2F2"/>
          </w:tcPr>
          <w:p>
            <w:pPr>
              <w:spacing w:after="0"/>
              <w:rPr>
                <w:sz w:val="15"/>
                <w:szCs w:val="15"/>
                <w:color w:val="auto"/>
              </w:rPr>
            </w:pPr>
          </w:p>
        </w:tc>
      </w:tr>
      <w:tr>
        <w:trPr>
          <w:trHeight w:val="180"/>
        </w:trPr>
        <w:tc>
          <w:tcPr>
            <w:tcW w:w="160" w:type="dxa"/>
            <w:vAlign w:val="bottom"/>
            <w:shd w:val="clear" w:color="auto" w:fill="FFE64B"/>
          </w:tcPr>
          <w:p>
            <w:pPr>
              <w:spacing w:after="0"/>
              <w:rPr>
                <w:sz w:val="15"/>
                <w:szCs w:val="15"/>
                <w:color w:val="auto"/>
              </w:rPr>
            </w:pPr>
          </w:p>
        </w:tc>
        <w:tc>
          <w:tcPr>
            <w:tcW w:w="2720" w:type="dxa"/>
            <w:vAlign w:val="bottom"/>
            <w:shd w:val="clear" w:color="auto" w:fill="F2F2F2"/>
          </w:tcPr>
          <w:p>
            <w:pPr>
              <w:spacing w:after="0"/>
              <w:rPr>
                <w:sz w:val="15"/>
                <w:szCs w:val="15"/>
                <w:color w:val="auto"/>
              </w:rPr>
            </w:pPr>
          </w:p>
        </w:tc>
        <w:tc>
          <w:tcPr>
            <w:tcW w:w="3560" w:type="dxa"/>
            <w:vAlign w:val="bottom"/>
            <w:shd w:val="clear" w:color="auto" w:fill="F2F2F2"/>
          </w:tcPr>
          <w:p>
            <w:pPr>
              <w:ind w:left="820"/>
              <w:spacing w:after="0" w:line="180" w:lineRule="exact"/>
              <w:rPr>
                <w:sz w:val="20"/>
                <w:szCs w:val="20"/>
                <w:color w:val="auto"/>
              </w:rPr>
            </w:pPr>
            <w:r>
              <w:rPr>
                <w:rFonts w:ascii="Arial" w:cs="Arial" w:eastAsia="Arial" w:hAnsi="Arial"/>
                <w:sz w:val="18"/>
                <w:szCs w:val="18"/>
                <w:color w:val="auto"/>
              </w:rPr>
              <w:t>AI-based efficiency tools to</w:t>
            </w:r>
          </w:p>
        </w:tc>
        <w:tc>
          <w:tcPr>
            <w:tcW w:w="3020" w:type="dxa"/>
            <w:vAlign w:val="bottom"/>
            <w:shd w:val="clear" w:color="auto" w:fill="F2F2F2"/>
          </w:tcPr>
          <w:p>
            <w:pPr>
              <w:spacing w:after="0"/>
              <w:rPr>
                <w:sz w:val="15"/>
                <w:szCs w:val="15"/>
                <w:color w:val="auto"/>
              </w:rPr>
            </w:pPr>
          </w:p>
        </w:tc>
        <w:tc>
          <w:tcPr>
            <w:tcW w:w="1780" w:type="dxa"/>
            <w:vAlign w:val="bottom"/>
            <w:shd w:val="clear" w:color="auto" w:fill="F2F2F2"/>
          </w:tcPr>
          <w:p>
            <w:pPr>
              <w:spacing w:after="0"/>
              <w:rPr>
                <w:sz w:val="15"/>
                <w:szCs w:val="15"/>
                <w:color w:val="auto"/>
              </w:rPr>
            </w:pPr>
          </w:p>
        </w:tc>
      </w:tr>
      <w:tr>
        <w:trPr>
          <w:trHeight w:val="175"/>
        </w:trPr>
        <w:tc>
          <w:tcPr>
            <w:tcW w:w="160" w:type="dxa"/>
            <w:vAlign w:val="bottom"/>
            <w:shd w:val="clear" w:color="auto" w:fill="FFE64B"/>
          </w:tcPr>
          <w:p>
            <w:pPr>
              <w:spacing w:after="0"/>
              <w:rPr>
                <w:sz w:val="15"/>
                <w:szCs w:val="15"/>
                <w:color w:val="auto"/>
              </w:rPr>
            </w:pPr>
          </w:p>
        </w:tc>
        <w:tc>
          <w:tcPr>
            <w:tcW w:w="2720" w:type="dxa"/>
            <w:vAlign w:val="bottom"/>
            <w:shd w:val="clear" w:color="auto" w:fill="F2F2F2"/>
          </w:tcPr>
          <w:p>
            <w:pPr>
              <w:spacing w:after="0"/>
              <w:rPr>
                <w:sz w:val="15"/>
                <w:szCs w:val="15"/>
                <w:color w:val="auto"/>
              </w:rPr>
            </w:pPr>
          </w:p>
        </w:tc>
        <w:tc>
          <w:tcPr>
            <w:tcW w:w="3560" w:type="dxa"/>
            <w:vAlign w:val="bottom"/>
            <w:shd w:val="clear" w:color="auto" w:fill="F2F2F2"/>
          </w:tcPr>
          <w:p>
            <w:pPr>
              <w:ind w:left="820"/>
              <w:spacing w:after="0" w:line="175" w:lineRule="exact"/>
              <w:rPr>
                <w:sz w:val="20"/>
                <w:szCs w:val="20"/>
                <w:color w:val="auto"/>
              </w:rPr>
            </w:pPr>
            <w:r>
              <w:rPr>
                <w:rFonts w:ascii="Arial" w:cs="Arial" w:eastAsia="Arial" w:hAnsi="Arial"/>
                <w:sz w:val="18"/>
                <w:szCs w:val="18"/>
                <w:color w:val="auto"/>
                <w:w w:val="99"/>
              </w:rPr>
              <w:t>improve product development and</w:t>
            </w:r>
          </w:p>
        </w:tc>
        <w:tc>
          <w:tcPr>
            <w:tcW w:w="3020" w:type="dxa"/>
            <w:vAlign w:val="bottom"/>
            <w:shd w:val="clear" w:color="auto" w:fill="F2F2F2"/>
          </w:tcPr>
          <w:p>
            <w:pPr>
              <w:spacing w:after="0"/>
              <w:rPr>
                <w:sz w:val="15"/>
                <w:szCs w:val="15"/>
                <w:color w:val="auto"/>
              </w:rPr>
            </w:pPr>
          </w:p>
        </w:tc>
        <w:tc>
          <w:tcPr>
            <w:tcW w:w="1780" w:type="dxa"/>
            <w:vAlign w:val="bottom"/>
            <w:shd w:val="clear" w:color="auto" w:fill="F2F2F2"/>
          </w:tcPr>
          <w:p>
            <w:pPr>
              <w:spacing w:after="0"/>
              <w:rPr>
                <w:sz w:val="15"/>
                <w:szCs w:val="15"/>
                <w:color w:val="auto"/>
              </w:rPr>
            </w:pPr>
          </w:p>
        </w:tc>
      </w:tr>
      <w:tr>
        <w:trPr>
          <w:trHeight w:val="242"/>
        </w:trPr>
        <w:tc>
          <w:tcPr>
            <w:tcW w:w="160" w:type="dxa"/>
            <w:vAlign w:val="bottom"/>
            <w:shd w:val="clear" w:color="auto" w:fill="FFE64B"/>
          </w:tcPr>
          <w:p>
            <w:pPr>
              <w:spacing w:after="0"/>
              <w:rPr>
                <w:sz w:val="21"/>
                <w:szCs w:val="21"/>
                <w:color w:val="auto"/>
              </w:rPr>
            </w:pPr>
          </w:p>
        </w:tc>
        <w:tc>
          <w:tcPr>
            <w:tcW w:w="2720" w:type="dxa"/>
            <w:vAlign w:val="bottom"/>
            <w:shd w:val="clear" w:color="auto" w:fill="F2F2F2"/>
          </w:tcPr>
          <w:p>
            <w:pPr>
              <w:spacing w:after="0"/>
              <w:rPr>
                <w:sz w:val="21"/>
                <w:szCs w:val="21"/>
                <w:color w:val="auto"/>
              </w:rPr>
            </w:pPr>
          </w:p>
        </w:tc>
        <w:tc>
          <w:tcPr>
            <w:tcW w:w="3560" w:type="dxa"/>
            <w:vAlign w:val="bottom"/>
            <w:shd w:val="clear" w:color="auto" w:fill="F2F2F2"/>
          </w:tcPr>
          <w:p>
            <w:pPr>
              <w:ind w:left="820"/>
              <w:spacing w:after="0"/>
              <w:rPr>
                <w:sz w:val="20"/>
                <w:szCs w:val="20"/>
                <w:color w:val="auto"/>
              </w:rPr>
            </w:pPr>
            <w:r>
              <w:rPr>
                <w:rFonts w:ascii="Arial" w:cs="Arial" w:eastAsia="Arial" w:hAnsi="Arial"/>
                <w:sz w:val="18"/>
                <w:szCs w:val="18"/>
                <w:color w:val="auto"/>
              </w:rPr>
              <w:t>early manufacturing enablement</w:t>
            </w:r>
          </w:p>
        </w:tc>
        <w:tc>
          <w:tcPr>
            <w:tcW w:w="3020" w:type="dxa"/>
            <w:vAlign w:val="bottom"/>
            <w:shd w:val="clear" w:color="auto" w:fill="F2F2F2"/>
          </w:tcPr>
          <w:p>
            <w:pPr>
              <w:spacing w:after="0"/>
              <w:rPr>
                <w:sz w:val="21"/>
                <w:szCs w:val="21"/>
                <w:color w:val="auto"/>
              </w:rPr>
            </w:pPr>
          </w:p>
        </w:tc>
        <w:tc>
          <w:tcPr>
            <w:tcW w:w="1780" w:type="dxa"/>
            <w:vAlign w:val="bottom"/>
            <w:shd w:val="clear" w:color="auto" w:fill="F2F2F2"/>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02235" cy="15100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235" cy="151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180"/>
        <w:spacing w:after="0" w:line="217" w:lineRule="auto"/>
        <w:rPr>
          <w:sz w:val="20"/>
          <w:szCs w:val="20"/>
          <w:color w:val="auto"/>
        </w:rPr>
      </w:pPr>
      <w:r>
        <w:rPr>
          <w:rFonts w:ascii="Arial" w:cs="Arial" w:eastAsia="Arial" w:hAnsi="Arial"/>
          <w:sz w:val="18"/>
          <w:szCs w:val="18"/>
          <w:b w:val="1"/>
          <w:bCs w:val="1"/>
          <w:color w:val="auto"/>
        </w:rPr>
        <w:t>Cost and Efficiency</w:t>
      </w:r>
    </w:p>
    <w:p>
      <w:pPr>
        <w:ind w:left="180"/>
        <w:spacing w:after="0" w:line="218" w:lineRule="auto"/>
        <w:rPr>
          <w:sz w:val="20"/>
          <w:szCs w:val="20"/>
          <w:color w:val="auto"/>
        </w:rPr>
      </w:pPr>
      <w:r>
        <w:rPr>
          <w:rFonts w:ascii="Arial" w:cs="Arial" w:eastAsia="Arial" w:hAnsi="Arial"/>
          <w:sz w:val="18"/>
          <w:szCs w:val="18"/>
          <w:color w:val="auto"/>
        </w:rPr>
        <w:t>Increase cost competitiveness by</w:t>
      </w:r>
    </w:p>
    <w:p>
      <w:pPr>
        <w:jc w:val="both"/>
        <w:ind w:left="180"/>
        <w:spacing w:after="0" w:line="219" w:lineRule="auto"/>
        <w:rPr>
          <w:sz w:val="20"/>
          <w:szCs w:val="20"/>
          <w:color w:val="auto"/>
        </w:rPr>
      </w:pPr>
      <w:r>
        <w:rPr>
          <w:rFonts w:ascii="Arial" w:cs="Arial" w:eastAsia="Arial" w:hAnsi="Arial"/>
          <w:sz w:val="17"/>
          <w:szCs w:val="17"/>
          <w:color w:val="auto"/>
        </w:rPr>
        <w:t>driving efficiency across frontend, assembly and test, procurement, supply chain, and enterprise</w:t>
      </w:r>
    </w:p>
    <w:p>
      <w:pPr>
        <w:spacing w:after="0" w:line="2" w:lineRule="exact"/>
        <w:rPr>
          <w:sz w:val="20"/>
          <w:szCs w:val="20"/>
          <w:color w:val="auto"/>
        </w:rPr>
      </w:pPr>
    </w:p>
    <w:p>
      <w:pPr>
        <w:jc w:val="both"/>
        <w:ind w:left="180" w:right="20"/>
        <w:spacing w:after="0" w:line="244" w:lineRule="auto"/>
        <w:rPr>
          <w:sz w:val="20"/>
          <w:szCs w:val="20"/>
          <w:color w:val="auto"/>
        </w:rPr>
      </w:pPr>
      <w:r>
        <w:rPr>
          <w:rFonts w:ascii="Arial" w:cs="Arial" w:eastAsia="Arial" w:hAnsi="Arial"/>
          <w:sz w:val="17"/>
          <w:szCs w:val="17"/>
          <w:color w:val="auto"/>
        </w:rPr>
        <w:t>systems. Advance manufacturing expansion projects.</w:t>
      </w:r>
    </w:p>
    <w:p>
      <w:pPr>
        <w:spacing w:after="0" w:line="20" w:lineRule="exact"/>
        <w:rPr>
          <w:sz w:val="20"/>
          <w:szCs w:val="20"/>
          <w:color w:val="auto"/>
        </w:rPr>
      </w:pPr>
      <w:r>
        <w:rPr>
          <w:sz w:val="20"/>
          <w:szCs w:val="20"/>
          <w:color w:val="auto"/>
        </w:rPr>
        <w:br w:type="column"/>
      </w:r>
    </w:p>
    <w:p>
      <w:pPr>
        <w:ind w:right="340"/>
        <w:spacing w:after="0" w:line="230" w:lineRule="auto"/>
        <w:rPr>
          <w:sz w:val="20"/>
          <w:szCs w:val="20"/>
          <w:color w:val="auto"/>
        </w:rPr>
      </w:pPr>
      <w:r>
        <w:rPr>
          <w:rFonts w:ascii="Arial" w:cs="Arial" w:eastAsia="Arial" w:hAnsi="Arial"/>
          <w:sz w:val="17"/>
          <w:szCs w:val="17"/>
          <w:color w:val="auto"/>
        </w:rPr>
        <w:t>Goals focused on delivery of critical operational metrics and milestones</w:t>
      </w:r>
    </w:p>
    <w:p>
      <w:pPr>
        <w:spacing w:after="0" w:line="203" w:lineRule="auto"/>
        <w:rPr>
          <w:sz w:val="20"/>
          <w:szCs w:val="20"/>
          <w:color w:val="auto"/>
        </w:rPr>
      </w:pPr>
      <w:r>
        <w:rPr>
          <w:rFonts w:ascii="Arial" w:cs="Arial" w:eastAsia="Arial" w:hAnsi="Arial"/>
          <w:sz w:val="18"/>
          <w:szCs w:val="18"/>
          <w:color w:val="auto"/>
        </w:rPr>
        <w:t>including:</w:t>
      </w:r>
    </w:p>
    <w:p>
      <w:pPr>
        <w:ind w:left="660" w:right="140" w:hanging="329"/>
        <w:spacing w:after="0" w:line="210" w:lineRule="auto"/>
        <w:tabs>
          <w:tab w:leader="none" w:pos="6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HBM3E 12H cumulative yield, output, and quality</w:t>
      </w:r>
    </w:p>
    <w:p>
      <w:pPr>
        <w:ind w:left="660" w:right="560" w:hanging="329"/>
        <w:spacing w:after="0" w:line="214" w:lineRule="auto"/>
        <w:tabs>
          <w:tab w:leader="none" w:pos="656" w:val="left"/>
        </w:tabs>
        <w:numPr>
          <w:ilvl w:val="0"/>
          <w:numId w:val="60"/>
        </w:numPr>
        <w:rPr>
          <w:rFonts w:ascii="Arial" w:cs="Arial" w:eastAsia="Arial" w:hAnsi="Arial"/>
          <w:sz w:val="17"/>
          <w:szCs w:val="17"/>
          <w:color w:val="auto"/>
        </w:rPr>
      </w:pPr>
      <w:r>
        <w:rPr>
          <w:rFonts w:ascii="Arial" w:cs="Arial" w:eastAsia="Arial" w:hAnsi="Arial"/>
          <w:sz w:val="17"/>
          <w:szCs w:val="17"/>
          <w:color w:val="auto"/>
        </w:rPr>
        <w:t>Differentiated product qualifications and quality</w:t>
      </w:r>
    </w:p>
    <w:p>
      <w:pPr>
        <w:ind w:left="660" w:hanging="329"/>
        <w:spacing w:after="0" w:line="210" w:lineRule="auto"/>
        <w:tabs>
          <w:tab w:leader="none" w:pos="6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DRAM and NAND leading node cumulative yields</w:t>
      </w:r>
    </w:p>
    <w:p>
      <w:pPr>
        <w:ind w:left="660" w:right="260" w:hanging="329"/>
        <w:spacing w:after="0" w:line="210" w:lineRule="auto"/>
        <w:tabs>
          <w:tab w:leader="none" w:pos="6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Construction milestones and metrics</w:t>
      </w:r>
    </w:p>
    <w:p>
      <w:pPr>
        <w:ind w:left="660" w:right="220" w:hanging="329"/>
        <w:spacing w:after="0" w:line="225" w:lineRule="auto"/>
        <w:tabs>
          <w:tab w:leader="none" w:pos="6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Smart Manufacturing and AI-based solutions (“SMAI”)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3220" w:type="dxa"/>
            <w:vAlign w:val="bottom"/>
          </w:tcPr>
          <w:p>
            <w:pPr>
              <w:spacing w:after="0" w:line="188" w:lineRule="exact"/>
              <w:rPr>
                <w:sz w:val="20"/>
                <w:szCs w:val="20"/>
                <w:color w:val="auto"/>
              </w:rPr>
            </w:pPr>
            <w:r>
              <w:rPr>
                <w:rFonts w:ascii="Arial" w:cs="Arial" w:eastAsia="Arial" w:hAnsi="Arial"/>
                <w:sz w:val="18"/>
                <w:szCs w:val="18"/>
                <w:color w:val="auto"/>
              </w:rPr>
              <w:t>Goals for critical operational yield,</w:t>
            </w:r>
          </w:p>
        </w:tc>
        <w:tc>
          <w:tcPr>
            <w:tcW w:w="960" w:type="dxa"/>
            <w:vAlign w:val="bottom"/>
          </w:tcPr>
          <w:p>
            <w:pPr>
              <w:jc w:val="right"/>
              <w:spacing w:after="0" w:line="188" w:lineRule="exact"/>
              <w:rPr>
                <w:sz w:val="20"/>
                <w:szCs w:val="20"/>
                <w:color w:val="auto"/>
              </w:rPr>
            </w:pPr>
            <w:r>
              <w:rPr>
                <w:rFonts w:ascii="Arial" w:cs="Arial" w:eastAsia="Arial" w:hAnsi="Arial"/>
                <w:sz w:val="18"/>
                <w:szCs w:val="18"/>
                <w:color w:val="auto"/>
              </w:rPr>
              <w:t>148%</w:t>
            </w:r>
          </w:p>
        </w:tc>
      </w:tr>
    </w:tbl>
    <w:p>
      <w:pPr>
        <w:spacing w:after="0" w:line="218" w:lineRule="auto"/>
        <w:rPr>
          <w:sz w:val="20"/>
          <w:szCs w:val="20"/>
          <w:color w:val="auto"/>
        </w:rPr>
      </w:pPr>
      <w:r>
        <w:rPr>
          <w:rFonts w:ascii="Arial" w:cs="Arial" w:eastAsia="Arial" w:hAnsi="Arial"/>
          <w:sz w:val="18"/>
          <w:szCs w:val="18"/>
          <w:color w:val="auto"/>
        </w:rPr>
        <w:t>qualification, HBM quality, and SMAI</w:t>
      </w:r>
    </w:p>
    <w:p>
      <w:pPr>
        <w:spacing w:after="0" w:line="202" w:lineRule="auto"/>
        <w:rPr>
          <w:sz w:val="20"/>
          <w:szCs w:val="20"/>
          <w:color w:val="auto"/>
        </w:rPr>
      </w:pPr>
      <w:r>
        <w:rPr>
          <w:rFonts w:ascii="Arial" w:cs="Arial" w:eastAsia="Arial" w:hAnsi="Arial"/>
          <w:sz w:val="18"/>
          <w:szCs w:val="18"/>
          <w:color w:val="auto"/>
        </w:rPr>
        <w:t>metrics and milestones were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exceeded.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Manufacturing expansion construction</w:t>
      </w:r>
    </w:p>
    <w:p>
      <w:pPr>
        <w:jc w:val="both"/>
        <w:ind w:right="1680"/>
        <w:spacing w:after="0" w:line="219" w:lineRule="auto"/>
        <w:rPr>
          <w:sz w:val="20"/>
          <w:szCs w:val="20"/>
          <w:color w:val="auto"/>
        </w:rPr>
      </w:pPr>
      <w:r>
        <w:rPr>
          <w:rFonts w:ascii="Arial" w:cs="Arial" w:eastAsia="Arial" w:hAnsi="Arial"/>
          <w:sz w:val="17"/>
          <w:szCs w:val="17"/>
          <w:color w:val="auto"/>
        </w:rPr>
        <w:t>projects continue to progress, with first wafer output from our new high-volume manufacturing fab in Idaho (ID1)</w:t>
      </w:r>
    </w:p>
    <w:p>
      <w:pPr>
        <w:spacing w:after="0" w:line="2" w:lineRule="exact"/>
        <w:rPr>
          <w:sz w:val="20"/>
          <w:szCs w:val="20"/>
          <w:color w:val="auto"/>
        </w:rPr>
      </w:pPr>
    </w:p>
    <w:p>
      <w:pPr>
        <w:ind w:right="1720"/>
        <w:spacing w:after="0" w:line="228" w:lineRule="auto"/>
        <w:rPr>
          <w:sz w:val="20"/>
          <w:szCs w:val="20"/>
          <w:color w:val="auto"/>
        </w:rPr>
      </w:pPr>
      <w:r>
        <w:rPr>
          <w:rFonts w:ascii="Arial" w:cs="Arial" w:eastAsia="Arial" w:hAnsi="Arial"/>
          <w:sz w:val="18"/>
          <w:szCs w:val="18"/>
          <w:color w:val="auto"/>
        </w:rPr>
        <w:t>expected to begin in the second half of calendar 2027.</w:t>
      </w:r>
    </w:p>
    <w:p>
      <w:pPr>
        <w:spacing w:after="0" w:line="291" w:lineRule="exact"/>
        <w:rPr>
          <w:sz w:val="20"/>
          <w:szCs w:val="20"/>
          <w:color w:val="auto"/>
        </w:rPr>
      </w:pPr>
    </w:p>
    <w:p>
      <w:pPr>
        <w:sectPr>
          <w:pgSz w:w="11900" w:h="16838" w:orient="portrait"/>
          <w:cols w:equalWidth="0" w:num="3">
            <w:col w:w="2840" w:space="200"/>
            <w:col w:w="3160" w:space="260"/>
            <w:col w:w="47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160" w:type="dxa"/>
            <w:vAlign w:val="bottom"/>
            <w:shd w:val="clear" w:color="auto" w:fill="40AEFF"/>
          </w:tcPr>
          <w:p>
            <w:pPr>
              <w:spacing w:after="0"/>
              <w:rPr>
                <w:sz w:val="15"/>
                <w:szCs w:val="15"/>
                <w:color w:val="auto"/>
              </w:rPr>
            </w:pPr>
          </w:p>
        </w:tc>
        <w:tc>
          <w:tcPr>
            <w:tcW w:w="2840" w:type="dxa"/>
            <w:vAlign w:val="bottom"/>
            <w:shd w:val="clear" w:color="auto" w:fill="F2F2F2"/>
          </w:tcPr>
          <w:p>
            <w:pPr>
              <w:ind w:left="20"/>
              <w:spacing w:after="0" w:line="177" w:lineRule="exact"/>
              <w:rPr>
                <w:sz w:val="20"/>
                <w:szCs w:val="20"/>
                <w:color w:val="auto"/>
              </w:rPr>
            </w:pPr>
            <w:r>
              <w:rPr>
                <w:rFonts w:ascii="Arial" w:cs="Arial" w:eastAsia="Arial" w:hAnsi="Arial"/>
                <w:sz w:val="18"/>
                <w:szCs w:val="18"/>
                <w:b w:val="1"/>
                <w:bCs w:val="1"/>
                <w:color w:val="auto"/>
              </w:rPr>
              <w:t>Customer</w:t>
            </w:r>
          </w:p>
        </w:tc>
        <w:tc>
          <w:tcPr>
            <w:tcW w:w="3420" w:type="dxa"/>
            <w:vAlign w:val="bottom"/>
            <w:shd w:val="clear" w:color="auto" w:fill="F2F2F2"/>
          </w:tcPr>
          <w:p>
            <w:pPr>
              <w:ind w:left="40"/>
              <w:spacing w:after="0" w:line="177" w:lineRule="exact"/>
              <w:rPr>
                <w:sz w:val="20"/>
                <w:szCs w:val="20"/>
                <w:color w:val="auto"/>
              </w:rPr>
            </w:pPr>
            <w:r>
              <w:rPr>
                <w:rFonts w:ascii="Arial" w:cs="Arial" w:eastAsia="Arial" w:hAnsi="Arial"/>
                <w:sz w:val="18"/>
                <w:szCs w:val="18"/>
                <w:color w:val="auto"/>
              </w:rPr>
              <w:t>Goals focused on customer-related</w:t>
            </w:r>
          </w:p>
        </w:tc>
        <w:tc>
          <w:tcPr>
            <w:tcW w:w="3460" w:type="dxa"/>
            <w:vAlign w:val="bottom"/>
            <w:shd w:val="clear" w:color="auto" w:fill="F2F2F2"/>
          </w:tcPr>
          <w:p>
            <w:pPr>
              <w:ind w:left="40"/>
              <w:spacing w:after="0" w:line="177" w:lineRule="exact"/>
              <w:rPr>
                <w:sz w:val="20"/>
                <w:szCs w:val="20"/>
                <w:color w:val="auto"/>
              </w:rPr>
            </w:pPr>
            <w:r>
              <w:rPr>
                <w:rFonts w:ascii="Arial" w:cs="Arial" w:eastAsia="Arial" w:hAnsi="Arial"/>
                <w:sz w:val="18"/>
                <w:szCs w:val="18"/>
                <w:color w:val="auto"/>
              </w:rPr>
              <w:t>Goals for customer business review</w:t>
            </w:r>
          </w:p>
        </w:tc>
        <w:tc>
          <w:tcPr>
            <w:tcW w:w="1360" w:type="dxa"/>
            <w:vAlign w:val="bottom"/>
            <w:shd w:val="clear" w:color="auto" w:fill="F2F2F2"/>
          </w:tcPr>
          <w:p>
            <w:pPr>
              <w:jc w:val="right"/>
              <w:ind w:right="550"/>
              <w:spacing w:after="0" w:line="177" w:lineRule="exact"/>
              <w:rPr>
                <w:sz w:val="20"/>
                <w:szCs w:val="20"/>
                <w:color w:val="auto"/>
              </w:rPr>
            </w:pPr>
            <w:r>
              <w:rPr>
                <w:rFonts w:ascii="Arial" w:cs="Arial" w:eastAsia="Arial" w:hAnsi="Arial"/>
                <w:sz w:val="18"/>
                <w:szCs w:val="18"/>
                <w:color w:val="auto"/>
              </w:rPr>
              <w:t>83%</w:t>
            </w:r>
          </w:p>
        </w:tc>
      </w:tr>
      <w:tr>
        <w:trPr>
          <w:trHeight w:val="183"/>
        </w:trPr>
        <w:tc>
          <w:tcPr>
            <w:tcW w:w="160" w:type="dxa"/>
            <w:vAlign w:val="bottom"/>
            <w:shd w:val="clear" w:color="auto" w:fill="40AEFF"/>
          </w:tcPr>
          <w:p>
            <w:pPr>
              <w:spacing w:after="0"/>
              <w:rPr>
                <w:sz w:val="15"/>
                <w:szCs w:val="15"/>
                <w:color w:val="auto"/>
              </w:rPr>
            </w:pPr>
          </w:p>
        </w:tc>
        <w:tc>
          <w:tcPr>
            <w:tcW w:w="6260" w:type="dxa"/>
            <w:vAlign w:val="bottom"/>
            <w:gridSpan w:val="2"/>
            <w:shd w:val="clear" w:color="auto" w:fill="F2F2F2"/>
          </w:tcPr>
          <w:p>
            <w:pPr>
              <w:ind w:left="20"/>
              <w:spacing w:after="0" w:line="182" w:lineRule="exact"/>
              <w:rPr>
                <w:sz w:val="20"/>
                <w:szCs w:val="20"/>
                <w:color w:val="auto"/>
              </w:rPr>
            </w:pPr>
            <w:r>
              <w:rPr>
                <w:rFonts w:ascii="Arial" w:cs="Arial" w:eastAsia="Arial" w:hAnsi="Arial"/>
                <w:sz w:val="18"/>
                <w:szCs w:val="18"/>
                <w:color w:val="auto"/>
              </w:rPr>
              <w:t>Improve our customers’ experience metrics, including:</w:t>
            </w:r>
          </w:p>
        </w:tc>
        <w:tc>
          <w:tcPr>
            <w:tcW w:w="3460" w:type="dxa"/>
            <w:vAlign w:val="bottom"/>
            <w:shd w:val="clear" w:color="auto" w:fill="F2F2F2"/>
          </w:tcPr>
          <w:p>
            <w:pPr>
              <w:ind w:left="40"/>
              <w:spacing w:after="0" w:line="182" w:lineRule="exact"/>
              <w:rPr>
                <w:sz w:val="20"/>
                <w:szCs w:val="20"/>
                <w:color w:val="auto"/>
              </w:rPr>
            </w:pPr>
            <w:r>
              <w:rPr>
                <w:rFonts w:ascii="Arial" w:cs="Arial" w:eastAsia="Arial" w:hAnsi="Arial"/>
                <w:sz w:val="18"/>
                <w:szCs w:val="18"/>
                <w:color w:val="auto"/>
              </w:rPr>
              <w:t>scores in technology, service, and</w:t>
            </w:r>
          </w:p>
        </w:tc>
        <w:tc>
          <w:tcPr>
            <w:tcW w:w="1360" w:type="dxa"/>
            <w:vAlign w:val="bottom"/>
            <w:shd w:val="clear" w:color="auto" w:fill="F2F2F2"/>
          </w:tcPr>
          <w:p>
            <w:pPr>
              <w:spacing w:after="0"/>
              <w:rPr>
                <w:sz w:val="15"/>
                <w:szCs w:val="15"/>
                <w:color w:val="auto"/>
              </w:rPr>
            </w:pPr>
          </w:p>
        </w:tc>
      </w:tr>
      <w:tr>
        <w:trPr>
          <w:trHeight w:val="180"/>
        </w:trPr>
        <w:tc>
          <w:tcPr>
            <w:tcW w:w="160" w:type="dxa"/>
            <w:vAlign w:val="bottom"/>
            <w:shd w:val="clear" w:color="auto" w:fill="40AEFF"/>
          </w:tcPr>
          <w:p>
            <w:pPr>
              <w:spacing w:after="0"/>
              <w:rPr>
                <w:sz w:val="15"/>
                <w:szCs w:val="15"/>
                <w:color w:val="auto"/>
              </w:rPr>
            </w:pPr>
          </w:p>
        </w:tc>
        <w:tc>
          <w:tcPr>
            <w:tcW w:w="2840" w:type="dxa"/>
            <w:vAlign w:val="bottom"/>
            <w:shd w:val="clear" w:color="auto" w:fill="F2F2F2"/>
          </w:tcPr>
          <w:p>
            <w:pPr>
              <w:ind w:left="20"/>
              <w:spacing w:after="0" w:line="180" w:lineRule="exact"/>
              <w:rPr>
                <w:sz w:val="20"/>
                <w:szCs w:val="20"/>
                <w:color w:val="auto"/>
              </w:rPr>
            </w:pPr>
            <w:r>
              <w:rPr>
                <w:rFonts w:ascii="Arial" w:cs="Arial" w:eastAsia="Arial" w:hAnsi="Arial"/>
                <w:sz w:val="18"/>
                <w:szCs w:val="18"/>
                <w:color w:val="auto"/>
              </w:rPr>
              <w:t>and satisfaction, and further</w:t>
            </w:r>
          </w:p>
        </w:tc>
        <w:tc>
          <w:tcPr>
            <w:tcW w:w="3420" w:type="dxa"/>
            <w:vAlign w:val="bottom"/>
            <w:shd w:val="clear" w:color="auto" w:fill="F2F2F2"/>
          </w:tcPr>
          <w:p>
            <w:pPr>
              <w:ind w:left="380"/>
              <w:spacing w:after="0" w:line="180" w:lineRule="exact"/>
              <w:rPr>
                <w:sz w:val="20"/>
                <w:szCs w:val="20"/>
                <w:color w:val="auto"/>
              </w:rPr>
            </w:pPr>
            <w:r>
              <w:rPr>
                <w:rFonts w:ascii="Arial" w:cs="Arial" w:eastAsia="Arial" w:hAnsi="Arial"/>
                <w:sz w:val="18"/>
                <w:szCs w:val="18"/>
                <w:color w:val="auto"/>
              </w:rPr>
              <w:t>▪   Customer business review scores</w:t>
            </w:r>
          </w:p>
        </w:tc>
        <w:tc>
          <w:tcPr>
            <w:tcW w:w="3460" w:type="dxa"/>
            <w:vAlign w:val="bottom"/>
            <w:shd w:val="clear" w:color="auto" w:fill="F2F2F2"/>
          </w:tcPr>
          <w:p>
            <w:pPr>
              <w:ind w:left="40"/>
              <w:spacing w:after="0" w:line="180" w:lineRule="exact"/>
              <w:rPr>
                <w:sz w:val="20"/>
                <w:szCs w:val="20"/>
                <w:color w:val="auto"/>
              </w:rPr>
            </w:pPr>
            <w:r>
              <w:rPr>
                <w:rFonts w:ascii="Arial" w:cs="Arial" w:eastAsia="Arial" w:hAnsi="Arial"/>
                <w:sz w:val="18"/>
                <w:szCs w:val="18"/>
                <w:color w:val="auto"/>
              </w:rPr>
              <w:t>sustainability, along with our quality</w:t>
            </w:r>
          </w:p>
        </w:tc>
        <w:tc>
          <w:tcPr>
            <w:tcW w:w="1360" w:type="dxa"/>
            <w:vAlign w:val="bottom"/>
            <w:shd w:val="clear" w:color="auto" w:fill="F2F2F2"/>
          </w:tcPr>
          <w:p>
            <w:pPr>
              <w:spacing w:after="0"/>
              <w:rPr>
                <w:sz w:val="15"/>
                <w:szCs w:val="15"/>
                <w:color w:val="auto"/>
              </w:rPr>
            </w:pPr>
          </w:p>
        </w:tc>
      </w:tr>
      <w:tr>
        <w:trPr>
          <w:trHeight w:val="175"/>
        </w:trPr>
        <w:tc>
          <w:tcPr>
            <w:tcW w:w="160" w:type="dxa"/>
            <w:vAlign w:val="bottom"/>
            <w:shd w:val="clear" w:color="auto" w:fill="40AEFF"/>
          </w:tcPr>
          <w:p>
            <w:pPr>
              <w:spacing w:after="0"/>
              <w:rPr>
                <w:sz w:val="15"/>
                <w:szCs w:val="15"/>
                <w:color w:val="auto"/>
              </w:rPr>
            </w:pPr>
          </w:p>
        </w:tc>
        <w:tc>
          <w:tcPr>
            <w:tcW w:w="284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differentiate Micron from our</w:t>
            </w:r>
          </w:p>
        </w:tc>
        <w:tc>
          <w:tcPr>
            <w:tcW w:w="3420" w:type="dxa"/>
            <w:vAlign w:val="bottom"/>
            <w:shd w:val="clear" w:color="auto" w:fill="F2F2F2"/>
          </w:tcPr>
          <w:p>
            <w:pPr>
              <w:ind w:left="700"/>
              <w:spacing w:after="0" w:line="175" w:lineRule="exact"/>
              <w:rPr>
                <w:sz w:val="20"/>
                <w:szCs w:val="20"/>
                <w:color w:val="auto"/>
              </w:rPr>
            </w:pPr>
            <w:r>
              <w:rPr>
                <w:rFonts w:ascii="Arial" w:cs="Arial" w:eastAsia="Arial" w:hAnsi="Arial"/>
                <w:sz w:val="18"/>
                <w:szCs w:val="18"/>
                <w:color w:val="auto"/>
              </w:rPr>
              <w:t>across the categories of</w:t>
            </w:r>
          </w:p>
        </w:tc>
        <w:tc>
          <w:tcPr>
            <w:tcW w:w="3460" w:type="dxa"/>
            <w:vAlign w:val="bottom"/>
            <w:shd w:val="clear" w:color="auto" w:fill="F2F2F2"/>
          </w:tcPr>
          <w:p>
            <w:pPr>
              <w:ind w:left="40"/>
              <w:spacing w:after="0" w:line="175" w:lineRule="exact"/>
              <w:rPr>
                <w:sz w:val="20"/>
                <w:szCs w:val="20"/>
                <w:color w:val="auto"/>
              </w:rPr>
            </w:pPr>
            <w:r>
              <w:rPr>
                <w:rFonts w:ascii="Arial" w:cs="Arial" w:eastAsia="Arial" w:hAnsi="Arial"/>
                <w:sz w:val="18"/>
                <w:szCs w:val="18"/>
                <w:color w:val="auto"/>
              </w:rPr>
              <w:t>ranking objectives, were exceeded. We</w:t>
            </w:r>
          </w:p>
        </w:tc>
        <w:tc>
          <w:tcPr>
            <w:tcW w:w="1360" w:type="dxa"/>
            <w:vAlign w:val="bottom"/>
            <w:shd w:val="clear" w:color="auto" w:fill="F2F2F2"/>
          </w:tcPr>
          <w:p>
            <w:pPr>
              <w:spacing w:after="0"/>
              <w:rPr>
                <w:sz w:val="15"/>
                <w:szCs w:val="15"/>
                <w:color w:val="auto"/>
              </w:rPr>
            </w:pPr>
          </w:p>
        </w:tc>
      </w:tr>
      <w:tr>
        <w:trPr>
          <w:trHeight w:val="183"/>
        </w:trPr>
        <w:tc>
          <w:tcPr>
            <w:tcW w:w="160" w:type="dxa"/>
            <w:vAlign w:val="bottom"/>
            <w:shd w:val="clear" w:color="auto" w:fill="40AEFF"/>
          </w:tcPr>
          <w:p>
            <w:pPr>
              <w:spacing w:after="0"/>
              <w:rPr>
                <w:sz w:val="15"/>
                <w:szCs w:val="15"/>
                <w:color w:val="auto"/>
              </w:rPr>
            </w:pPr>
          </w:p>
        </w:tc>
        <w:tc>
          <w:tcPr>
            <w:tcW w:w="284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competitors through strengthened</w:t>
            </w:r>
          </w:p>
        </w:tc>
        <w:tc>
          <w:tcPr>
            <w:tcW w:w="3420" w:type="dxa"/>
            <w:vAlign w:val="bottom"/>
            <w:shd w:val="clear" w:color="auto" w:fill="F2F2F2"/>
          </w:tcPr>
          <w:p>
            <w:pPr>
              <w:ind w:left="700"/>
              <w:spacing w:after="0" w:line="182" w:lineRule="exact"/>
              <w:rPr>
                <w:sz w:val="20"/>
                <w:szCs w:val="20"/>
                <w:color w:val="auto"/>
              </w:rPr>
            </w:pPr>
            <w:r>
              <w:rPr>
                <w:rFonts w:ascii="Arial" w:cs="Arial" w:eastAsia="Arial" w:hAnsi="Arial"/>
                <w:sz w:val="18"/>
                <w:szCs w:val="18"/>
                <w:color w:val="auto"/>
              </w:rPr>
              <w:t>technology, service and</w:t>
            </w:r>
          </w:p>
        </w:tc>
        <w:tc>
          <w:tcPr>
            <w:tcW w:w="3460" w:type="dxa"/>
            <w:vAlign w:val="bottom"/>
            <w:shd w:val="clear" w:color="auto" w:fill="F2F2F2"/>
          </w:tcPr>
          <w:p>
            <w:pPr>
              <w:ind w:left="40"/>
              <w:spacing w:after="0" w:line="182" w:lineRule="exact"/>
              <w:rPr>
                <w:sz w:val="20"/>
                <w:szCs w:val="20"/>
                <w:color w:val="auto"/>
              </w:rPr>
            </w:pPr>
            <w:r>
              <w:rPr>
                <w:rFonts w:ascii="Arial" w:cs="Arial" w:eastAsia="Arial" w:hAnsi="Arial"/>
                <w:sz w:val="18"/>
                <w:szCs w:val="18"/>
                <w:color w:val="auto"/>
              </w:rPr>
              <w:t>met our targeted inventory levels by</w:t>
            </w:r>
          </w:p>
        </w:tc>
        <w:tc>
          <w:tcPr>
            <w:tcW w:w="1360" w:type="dxa"/>
            <w:vAlign w:val="bottom"/>
            <w:shd w:val="clear" w:color="auto" w:fill="F2F2F2"/>
          </w:tcPr>
          <w:p>
            <w:pPr>
              <w:spacing w:after="0"/>
              <w:rPr>
                <w:sz w:val="15"/>
                <w:szCs w:val="15"/>
                <w:color w:val="auto"/>
              </w:rPr>
            </w:pPr>
          </w:p>
        </w:tc>
      </w:tr>
      <w:tr>
        <w:trPr>
          <w:trHeight w:val="180"/>
        </w:trPr>
        <w:tc>
          <w:tcPr>
            <w:tcW w:w="160" w:type="dxa"/>
            <w:vAlign w:val="bottom"/>
            <w:shd w:val="clear" w:color="auto" w:fill="40AEFF"/>
          </w:tcPr>
          <w:p>
            <w:pPr>
              <w:spacing w:after="0"/>
              <w:rPr>
                <w:sz w:val="15"/>
                <w:szCs w:val="15"/>
                <w:color w:val="auto"/>
              </w:rPr>
            </w:pPr>
          </w:p>
        </w:tc>
        <w:tc>
          <w:tcPr>
            <w:tcW w:w="2840" w:type="dxa"/>
            <w:vAlign w:val="bottom"/>
            <w:shd w:val="clear" w:color="auto" w:fill="F2F2F2"/>
          </w:tcPr>
          <w:p>
            <w:pPr>
              <w:ind w:left="20"/>
              <w:spacing w:after="0" w:line="180" w:lineRule="exact"/>
              <w:rPr>
                <w:sz w:val="20"/>
                <w:szCs w:val="20"/>
                <w:color w:val="auto"/>
              </w:rPr>
            </w:pPr>
            <w:r>
              <w:rPr>
                <w:rFonts w:ascii="Arial" w:cs="Arial" w:eastAsia="Arial" w:hAnsi="Arial"/>
                <w:sz w:val="18"/>
                <w:szCs w:val="18"/>
                <w:color w:val="auto"/>
              </w:rPr>
              <w:t>partnerships, technology and</w:t>
            </w:r>
          </w:p>
        </w:tc>
        <w:tc>
          <w:tcPr>
            <w:tcW w:w="3420" w:type="dxa"/>
            <w:vAlign w:val="bottom"/>
            <w:shd w:val="clear" w:color="auto" w:fill="F2F2F2"/>
          </w:tcPr>
          <w:p>
            <w:pPr>
              <w:ind w:left="700"/>
              <w:spacing w:after="0" w:line="180" w:lineRule="exact"/>
              <w:rPr>
                <w:sz w:val="20"/>
                <w:szCs w:val="20"/>
                <w:color w:val="auto"/>
              </w:rPr>
            </w:pPr>
            <w:r>
              <w:rPr>
                <w:rFonts w:ascii="Arial" w:cs="Arial" w:eastAsia="Arial" w:hAnsi="Arial"/>
                <w:sz w:val="18"/>
                <w:szCs w:val="18"/>
                <w:color w:val="auto"/>
              </w:rPr>
              <w:t>sustainability</w:t>
            </w:r>
          </w:p>
        </w:tc>
        <w:tc>
          <w:tcPr>
            <w:tcW w:w="3460" w:type="dxa"/>
            <w:vAlign w:val="bottom"/>
            <w:shd w:val="clear" w:color="auto" w:fill="F2F2F2"/>
          </w:tcPr>
          <w:p>
            <w:pPr>
              <w:ind w:left="40"/>
              <w:spacing w:after="0" w:line="180" w:lineRule="exact"/>
              <w:rPr>
                <w:sz w:val="20"/>
                <w:szCs w:val="20"/>
                <w:color w:val="auto"/>
              </w:rPr>
            </w:pPr>
            <w:r>
              <w:rPr>
                <w:rFonts w:ascii="Arial" w:cs="Arial" w:eastAsia="Arial" w:hAnsi="Arial"/>
                <w:sz w:val="18"/>
                <w:szCs w:val="18"/>
                <w:color w:val="auto"/>
              </w:rPr>
              <w:t>fiscal year-end.</w:t>
            </w:r>
          </w:p>
        </w:tc>
        <w:tc>
          <w:tcPr>
            <w:tcW w:w="1360" w:type="dxa"/>
            <w:vAlign w:val="bottom"/>
            <w:shd w:val="clear" w:color="auto" w:fill="F2F2F2"/>
          </w:tcPr>
          <w:p>
            <w:pPr>
              <w:spacing w:after="0"/>
              <w:rPr>
                <w:sz w:val="15"/>
                <w:szCs w:val="15"/>
                <w:color w:val="auto"/>
              </w:rPr>
            </w:pPr>
          </w:p>
        </w:tc>
      </w:tr>
      <w:tr>
        <w:trPr>
          <w:trHeight w:val="175"/>
        </w:trPr>
        <w:tc>
          <w:tcPr>
            <w:tcW w:w="160" w:type="dxa"/>
            <w:vAlign w:val="bottom"/>
            <w:shd w:val="clear" w:color="auto" w:fill="40AEFF"/>
          </w:tcPr>
          <w:p>
            <w:pPr>
              <w:spacing w:after="0"/>
              <w:rPr>
                <w:sz w:val="15"/>
                <w:szCs w:val="15"/>
                <w:color w:val="auto"/>
              </w:rPr>
            </w:pPr>
          </w:p>
        </w:tc>
        <w:tc>
          <w:tcPr>
            <w:tcW w:w="2840" w:type="dxa"/>
            <w:vAlign w:val="bottom"/>
            <w:shd w:val="clear" w:color="auto" w:fill="F2F2F2"/>
          </w:tcPr>
          <w:p>
            <w:pPr>
              <w:ind w:left="20"/>
              <w:spacing w:after="0" w:line="175" w:lineRule="exact"/>
              <w:rPr>
                <w:sz w:val="20"/>
                <w:szCs w:val="20"/>
                <w:color w:val="auto"/>
              </w:rPr>
            </w:pPr>
            <w:r>
              <w:rPr>
                <w:rFonts w:ascii="Arial" w:cs="Arial" w:eastAsia="Arial" w:hAnsi="Arial"/>
                <w:sz w:val="18"/>
                <w:szCs w:val="18"/>
                <w:color w:val="auto"/>
              </w:rPr>
              <w:t>product competitiveness, supply</w:t>
            </w:r>
          </w:p>
        </w:tc>
        <w:tc>
          <w:tcPr>
            <w:tcW w:w="3420" w:type="dxa"/>
            <w:vAlign w:val="bottom"/>
            <w:shd w:val="clear" w:color="auto" w:fill="F2F2F2"/>
          </w:tcPr>
          <w:p>
            <w:pPr>
              <w:ind w:left="380"/>
              <w:spacing w:after="0" w:line="175" w:lineRule="exact"/>
              <w:rPr>
                <w:sz w:val="20"/>
                <w:szCs w:val="20"/>
                <w:color w:val="auto"/>
              </w:rPr>
            </w:pPr>
            <w:r>
              <w:rPr>
                <w:rFonts w:ascii="Arial" w:cs="Arial" w:eastAsia="Arial" w:hAnsi="Arial"/>
                <w:sz w:val="18"/>
                <w:szCs w:val="18"/>
                <w:color w:val="auto"/>
              </w:rPr>
              <w:t>▪   Customer quality and customer</w:t>
            </w:r>
          </w:p>
        </w:tc>
        <w:tc>
          <w:tcPr>
            <w:tcW w:w="3460" w:type="dxa"/>
            <w:vAlign w:val="bottom"/>
            <w:shd w:val="clear" w:color="auto" w:fill="F2F2F2"/>
          </w:tcPr>
          <w:p>
            <w:pPr>
              <w:spacing w:after="0"/>
              <w:rPr>
                <w:sz w:val="15"/>
                <w:szCs w:val="15"/>
                <w:color w:val="auto"/>
              </w:rPr>
            </w:pPr>
          </w:p>
        </w:tc>
        <w:tc>
          <w:tcPr>
            <w:tcW w:w="1360" w:type="dxa"/>
            <w:vAlign w:val="bottom"/>
            <w:shd w:val="clear" w:color="auto" w:fill="F2F2F2"/>
          </w:tcPr>
          <w:p>
            <w:pPr>
              <w:spacing w:after="0"/>
              <w:rPr>
                <w:sz w:val="15"/>
                <w:szCs w:val="15"/>
                <w:color w:val="auto"/>
              </w:rPr>
            </w:pPr>
          </w:p>
        </w:tc>
      </w:tr>
      <w:tr>
        <w:trPr>
          <w:trHeight w:val="183"/>
        </w:trPr>
        <w:tc>
          <w:tcPr>
            <w:tcW w:w="160" w:type="dxa"/>
            <w:vAlign w:val="bottom"/>
            <w:shd w:val="clear" w:color="auto" w:fill="40AEFF"/>
          </w:tcPr>
          <w:p>
            <w:pPr>
              <w:spacing w:after="0"/>
              <w:rPr>
                <w:sz w:val="15"/>
                <w:szCs w:val="15"/>
                <w:color w:val="auto"/>
              </w:rPr>
            </w:pPr>
          </w:p>
        </w:tc>
        <w:tc>
          <w:tcPr>
            <w:tcW w:w="284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continuity, sustainability and</w:t>
            </w:r>
          </w:p>
        </w:tc>
        <w:tc>
          <w:tcPr>
            <w:tcW w:w="3420" w:type="dxa"/>
            <w:vAlign w:val="bottom"/>
            <w:shd w:val="clear" w:color="auto" w:fill="F2F2F2"/>
          </w:tcPr>
          <w:p>
            <w:pPr>
              <w:ind w:left="700"/>
              <w:spacing w:after="0" w:line="182" w:lineRule="exact"/>
              <w:rPr>
                <w:sz w:val="20"/>
                <w:szCs w:val="20"/>
                <w:color w:val="auto"/>
              </w:rPr>
            </w:pPr>
            <w:r>
              <w:rPr>
                <w:rFonts w:ascii="Arial" w:cs="Arial" w:eastAsia="Arial" w:hAnsi="Arial"/>
                <w:sz w:val="18"/>
                <w:szCs w:val="18"/>
                <w:color w:val="auto"/>
              </w:rPr>
              <w:t>delivery performance ranking</w:t>
            </w:r>
          </w:p>
        </w:tc>
        <w:tc>
          <w:tcPr>
            <w:tcW w:w="3460" w:type="dxa"/>
            <w:vAlign w:val="bottom"/>
            <w:shd w:val="clear" w:color="auto" w:fill="F2F2F2"/>
          </w:tcPr>
          <w:p>
            <w:pPr>
              <w:spacing w:after="0"/>
              <w:rPr>
                <w:sz w:val="15"/>
                <w:szCs w:val="15"/>
                <w:color w:val="auto"/>
              </w:rPr>
            </w:pPr>
          </w:p>
        </w:tc>
        <w:tc>
          <w:tcPr>
            <w:tcW w:w="1360" w:type="dxa"/>
            <w:vAlign w:val="bottom"/>
            <w:shd w:val="clear" w:color="auto" w:fill="F2F2F2"/>
          </w:tcPr>
          <w:p>
            <w:pPr>
              <w:spacing w:after="0"/>
              <w:rPr>
                <w:sz w:val="15"/>
                <w:szCs w:val="15"/>
                <w:color w:val="auto"/>
              </w:rPr>
            </w:pPr>
          </w:p>
        </w:tc>
      </w:tr>
      <w:tr>
        <w:trPr>
          <w:trHeight w:val="180"/>
        </w:trPr>
        <w:tc>
          <w:tcPr>
            <w:tcW w:w="160" w:type="dxa"/>
            <w:vAlign w:val="bottom"/>
            <w:shd w:val="clear" w:color="auto" w:fill="40AEFF"/>
          </w:tcPr>
          <w:p>
            <w:pPr>
              <w:spacing w:after="0"/>
              <w:rPr>
                <w:sz w:val="15"/>
                <w:szCs w:val="15"/>
                <w:color w:val="auto"/>
              </w:rPr>
            </w:pPr>
          </w:p>
        </w:tc>
        <w:tc>
          <w:tcPr>
            <w:tcW w:w="2840" w:type="dxa"/>
            <w:vAlign w:val="bottom"/>
            <w:shd w:val="clear" w:color="auto" w:fill="F2F2F2"/>
          </w:tcPr>
          <w:p>
            <w:pPr>
              <w:ind w:left="20"/>
              <w:spacing w:after="0" w:line="180" w:lineRule="exact"/>
              <w:rPr>
                <w:sz w:val="20"/>
                <w:szCs w:val="20"/>
                <w:color w:val="auto"/>
              </w:rPr>
            </w:pPr>
            <w:r>
              <w:rPr>
                <w:rFonts w:ascii="Arial" w:cs="Arial" w:eastAsia="Arial" w:hAnsi="Arial"/>
                <w:sz w:val="18"/>
                <w:szCs w:val="18"/>
                <w:color w:val="auto"/>
              </w:rPr>
              <w:t>product quality and service.</w:t>
            </w:r>
          </w:p>
        </w:tc>
        <w:tc>
          <w:tcPr>
            <w:tcW w:w="3420" w:type="dxa"/>
            <w:vAlign w:val="bottom"/>
            <w:shd w:val="clear" w:color="auto" w:fill="F2F2F2"/>
          </w:tcPr>
          <w:p>
            <w:pPr>
              <w:ind w:left="700"/>
              <w:spacing w:after="0" w:line="180" w:lineRule="exact"/>
              <w:rPr>
                <w:sz w:val="20"/>
                <w:szCs w:val="20"/>
                <w:color w:val="auto"/>
              </w:rPr>
            </w:pPr>
            <w:r>
              <w:rPr>
                <w:rFonts w:ascii="Arial" w:cs="Arial" w:eastAsia="Arial" w:hAnsi="Arial"/>
                <w:sz w:val="18"/>
                <w:szCs w:val="18"/>
                <w:color w:val="auto"/>
              </w:rPr>
              <w:t>relative to our customers’ other</w:t>
            </w:r>
          </w:p>
        </w:tc>
        <w:tc>
          <w:tcPr>
            <w:tcW w:w="3460" w:type="dxa"/>
            <w:vAlign w:val="bottom"/>
            <w:shd w:val="clear" w:color="auto" w:fill="F2F2F2"/>
          </w:tcPr>
          <w:p>
            <w:pPr>
              <w:spacing w:after="0"/>
              <w:rPr>
                <w:sz w:val="15"/>
                <w:szCs w:val="15"/>
                <w:color w:val="auto"/>
              </w:rPr>
            </w:pPr>
          </w:p>
        </w:tc>
        <w:tc>
          <w:tcPr>
            <w:tcW w:w="1360" w:type="dxa"/>
            <w:vAlign w:val="bottom"/>
            <w:shd w:val="clear" w:color="auto" w:fill="F2F2F2"/>
          </w:tcPr>
          <w:p>
            <w:pPr>
              <w:spacing w:after="0"/>
              <w:rPr>
                <w:sz w:val="15"/>
                <w:szCs w:val="15"/>
                <w:color w:val="auto"/>
              </w:rPr>
            </w:pPr>
          </w:p>
        </w:tc>
      </w:tr>
      <w:tr>
        <w:trPr>
          <w:trHeight w:val="175"/>
        </w:trPr>
        <w:tc>
          <w:tcPr>
            <w:tcW w:w="160" w:type="dxa"/>
            <w:vAlign w:val="bottom"/>
            <w:shd w:val="clear" w:color="auto" w:fill="40AEFF"/>
          </w:tcPr>
          <w:p>
            <w:pPr>
              <w:spacing w:after="0"/>
              <w:rPr>
                <w:sz w:val="15"/>
                <w:szCs w:val="15"/>
                <w:color w:val="auto"/>
              </w:rPr>
            </w:pPr>
          </w:p>
        </w:tc>
        <w:tc>
          <w:tcPr>
            <w:tcW w:w="2840" w:type="dxa"/>
            <w:vAlign w:val="bottom"/>
            <w:shd w:val="clear" w:color="auto" w:fill="F2F2F2"/>
          </w:tcPr>
          <w:p>
            <w:pPr>
              <w:spacing w:after="0"/>
              <w:rPr>
                <w:sz w:val="15"/>
                <w:szCs w:val="15"/>
                <w:color w:val="auto"/>
              </w:rPr>
            </w:pPr>
          </w:p>
        </w:tc>
        <w:tc>
          <w:tcPr>
            <w:tcW w:w="3420" w:type="dxa"/>
            <w:vAlign w:val="bottom"/>
            <w:shd w:val="clear" w:color="auto" w:fill="F2F2F2"/>
          </w:tcPr>
          <w:p>
            <w:pPr>
              <w:ind w:left="700"/>
              <w:spacing w:after="0" w:line="175" w:lineRule="exact"/>
              <w:rPr>
                <w:sz w:val="20"/>
                <w:szCs w:val="20"/>
                <w:color w:val="auto"/>
              </w:rPr>
            </w:pPr>
            <w:r>
              <w:rPr>
                <w:rFonts w:ascii="Arial" w:cs="Arial" w:eastAsia="Arial" w:hAnsi="Arial"/>
                <w:sz w:val="18"/>
                <w:szCs w:val="18"/>
                <w:color w:val="auto"/>
              </w:rPr>
              <w:t>suppliers</w:t>
            </w:r>
          </w:p>
        </w:tc>
        <w:tc>
          <w:tcPr>
            <w:tcW w:w="3460" w:type="dxa"/>
            <w:vAlign w:val="bottom"/>
            <w:shd w:val="clear" w:color="auto" w:fill="F2F2F2"/>
          </w:tcPr>
          <w:p>
            <w:pPr>
              <w:spacing w:after="0"/>
              <w:rPr>
                <w:sz w:val="15"/>
                <w:szCs w:val="15"/>
                <w:color w:val="auto"/>
              </w:rPr>
            </w:pPr>
          </w:p>
        </w:tc>
        <w:tc>
          <w:tcPr>
            <w:tcW w:w="1360" w:type="dxa"/>
            <w:vAlign w:val="bottom"/>
            <w:shd w:val="clear" w:color="auto" w:fill="F2F2F2"/>
          </w:tcPr>
          <w:p>
            <w:pPr>
              <w:spacing w:after="0"/>
              <w:rPr>
                <w:sz w:val="15"/>
                <w:szCs w:val="15"/>
                <w:color w:val="auto"/>
              </w:rPr>
            </w:pPr>
          </w:p>
        </w:tc>
      </w:tr>
      <w:tr>
        <w:trPr>
          <w:trHeight w:val="238"/>
        </w:trPr>
        <w:tc>
          <w:tcPr>
            <w:tcW w:w="160" w:type="dxa"/>
            <w:vAlign w:val="bottom"/>
            <w:shd w:val="clear" w:color="auto" w:fill="40AEFF"/>
          </w:tcPr>
          <w:p>
            <w:pPr>
              <w:spacing w:after="0"/>
              <w:rPr>
                <w:sz w:val="20"/>
                <w:szCs w:val="20"/>
                <w:color w:val="auto"/>
              </w:rPr>
            </w:pPr>
          </w:p>
        </w:tc>
        <w:tc>
          <w:tcPr>
            <w:tcW w:w="2840" w:type="dxa"/>
            <w:vAlign w:val="bottom"/>
            <w:shd w:val="clear" w:color="auto" w:fill="F2F2F2"/>
          </w:tcPr>
          <w:p>
            <w:pPr>
              <w:spacing w:after="0"/>
              <w:rPr>
                <w:sz w:val="20"/>
                <w:szCs w:val="20"/>
                <w:color w:val="auto"/>
              </w:rPr>
            </w:pPr>
          </w:p>
        </w:tc>
        <w:tc>
          <w:tcPr>
            <w:tcW w:w="3420" w:type="dxa"/>
            <w:vAlign w:val="bottom"/>
            <w:shd w:val="clear" w:color="auto" w:fill="F2F2F2"/>
          </w:tcPr>
          <w:p>
            <w:pPr>
              <w:ind w:left="380"/>
              <w:spacing w:after="0"/>
              <w:rPr>
                <w:sz w:val="20"/>
                <w:szCs w:val="20"/>
                <w:color w:val="auto"/>
              </w:rPr>
            </w:pPr>
            <w:r>
              <w:rPr>
                <w:rFonts w:ascii="Arial" w:cs="Arial" w:eastAsia="Arial" w:hAnsi="Arial"/>
                <w:sz w:val="18"/>
                <w:szCs w:val="18"/>
                <w:color w:val="auto"/>
              </w:rPr>
              <w:t>▪   Days of inventory outstanding</w:t>
            </w:r>
          </w:p>
        </w:tc>
        <w:tc>
          <w:tcPr>
            <w:tcW w:w="3460" w:type="dxa"/>
            <w:vAlign w:val="bottom"/>
            <w:shd w:val="clear" w:color="auto" w:fill="F2F2F2"/>
          </w:tcPr>
          <w:p>
            <w:pPr>
              <w:spacing w:after="0"/>
              <w:rPr>
                <w:sz w:val="20"/>
                <w:szCs w:val="20"/>
                <w:color w:val="auto"/>
              </w:rPr>
            </w:pPr>
          </w:p>
        </w:tc>
        <w:tc>
          <w:tcPr>
            <w:tcW w:w="1360" w:type="dxa"/>
            <w:vAlign w:val="bottom"/>
            <w:shd w:val="clear" w:color="auto" w:fill="F2F2F2"/>
          </w:tcPr>
          <w:p>
            <w:pPr>
              <w:spacing w:after="0"/>
              <w:rPr>
                <w:sz w:val="20"/>
                <w:szCs w:val="20"/>
                <w:color w:val="auto"/>
              </w:rPr>
            </w:pPr>
          </w:p>
        </w:tc>
      </w:tr>
      <w:tr>
        <w:trPr>
          <w:trHeight w:val="246"/>
        </w:trPr>
        <w:tc>
          <w:tcPr>
            <w:tcW w:w="160" w:type="dxa"/>
            <w:vAlign w:val="bottom"/>
            <w:shd w:val="clear" w:color="auto" w:fill="40AEFF"/>
          </w:tcPr>
          <w:p>
            <w:pPr>
              <w:spacing w:after="0"/>
              <w:rPr>
                <w:sz w:val="21"/>
                <w:szCs w:val="21"/>
                <w:color w:val="auto"/>
              </w:rPr>
            </w:pPr>
          </w:p>
        </w:tc>
        <w:tc>
          <w:tcPr>
            <w:tcW w:w="2840" w:type="dxa"/>
            <w:vAlign w:val="bottom"/>
            <w:shd w:val="clear" w:color="auto" w:fill="F2F2F2"/>
          </w:tcPr>
          <w:p>
            <w:pPr>
              <w:spacing w:after="0"/>
              <w:rPr>
                <w:sz w:val="21"/>
                <w:szCs w:val="21"/>
                <w:color w:val="auto"/>
              </w:rPr>
            </w:pPr>
          </w:p>
        </w:tc>
        <w:tc>
          <w:tcPr>
            <w:tcW w:w="3420" w:type="dxa"/>
            <w:vAlign w:val="bottom"/>
            <w:shd w:val="clear" w:color="auto" w:fill="F2F2F2"/>
          </w:tcPr>
          <w:p>
            <w:pPr>
              <w:spacing w:after="0"/>
              <w:rPr>
                <w:sz w:val="21"/>
                <w:szCs w:val="21"/>
                <w:color w:val="auto"/>
              </w:rPr>
            </w:pPr>
          </w:p>
        </w:tc>
        <w:tc>
          <w:tcPr>
            <w:tcW w:w="3460" w:type="dxa"/>
            <w:vAlign w:val="bottom"/>
            <w:shd w:val="clear" w:color="auto" w:fill="F2F2F2"/>
          </w:tcPr>
          <w:p>
            <w:pPr>
              <w:spacing w:after="0"/>
              <w:rPr>
                <w:sz w:val="21"/>
                <w:szCs w:val="21"/>
                <w:color w:val="auto"/>
              </w:rPr>
            </w:pPr>
          </w:p>
        </w:tc>
        <w:tc>
          <w:tcPr>
            <w:tcW w:w="1360" w:type="dxa"/>
            <w:vAlign w:val="bottom"/>
            <w:shd w:val="clear" w:color="auto" w:fill="F2F2F2"/>
          </w:tcPr>
          <w:p>
            <w:pPr>
              <w:spacing w:after="0"/>
              <w:rPr>
                <w:sz w:val="21"/>
                <w:szCs w:val="21"/>
                <w:color w:val="auto"/>
              </w:rPr>
            </w:pPr>
          </w:p>
        </w:tc>
      </w:tr>
      <w:tr>
        <w:trPr>
          <w:trHeight w:val="175"/>
        </w:trPr>
        <w:tc>
          <w:tcPr>
            <w:tcW w:w="160" w:type="dxa"/>
            <w:vAlign w:val="bottom"/>
          </w:tcPr>
          <w:p>
            <w:pPr>
              <w:spacing w:after="0"/>
              <w:rPr>
                <w:sz w:val="15"/>
                <w:szCs w:val="15"/>
                <w:color w:val="auto"/>
              </w:rPr>
            </w:pPr>
          </w:p>
        </w:tc>
        <w:tc>
          <w:tcPr>
            <w:tcW w:w="2840" w:type="dxa"/>
            <w:vAlign w:val="bottom"/>
          </w:tcPr>
          <w:p>
            <w:pPr>
              <w:ind w:left="20"/>
              <w:spacing w:after="0" w:line="175" w:lineRule="exact"/>
              <w:rPr>
                <w:sz w:val="20"/>
                <w:szCs w:val="20"/>
                <w:color w:val="auto"/>
              </w:rPr>
            </w:pPr>
            <w:r>
              <w:rPr>
                <w:rFonts w:ascii="Arial" w:cs="Arial" w:eastAsia="Arial" w:hAnsi="Arial"/>
                <w:sz w:val="18"/>
                <w:szCs w:val="18"/>
                <w:b w:val="1"/>
                <w:bCs w:val="1"/>
                <w:color w:val="auto"/>
              </w:rPr>
              <w:t>Revenue Mix</w:t>
            </w:r>
          </w:p>
        </w:tc>
        <w:tc>
          <w:tcPr>
            <w:tcW w:w="3420" w:type="dxa"/>
            <w:vAlign w:val="bottom"/>
          </w:tcPr>
          <w:p>
            <w:pPr>
              <w:ind w:left="40"/>
              <w:spacing w:after="0" w:line="175" w:lineRule="exact"/>
              <w:rPr>
                <w:sz w:val="20"/>
                <w:szCs w:val="20"/>
                <w:color w:val="auto"/>
              </w:rPr>
            </w:pPr>
            <w:r>
              <w:rPr>
                <w:rFonts w:ascii="Arial" w:cs="Arial" w:eastAsia="Arial" w:hAnsi="Arial"/>
                <w:sz w:val="18"/>
                <w:szCs w:val="18"/>
                <w:color w:val="auto"/>
              </w:rPr>
              <w:t>Goals focused on key revenue and bit</w:t>
            </w:r>
          </w:p>
        </w:tc>
        <w:tc>
          <w:tcPr>
            <w:tcW w:w="3460" w:type="dxa"/>
            <w:vAlign w:val="bottom"/>
          </w:tcPr>
          <w:p>
            <w:pPr>
              <w:ind w:left="40"/>
              <w:spacing w:after="0" w:line="175" w:lineRule="exact"/>
              <w:rPr>
                <w:sz w:val="20"/>
                <w:szCs w:val="20"/>
                <w:color w:val="auto"/>
              </w:rPr>
            </w:pPr>
            <w:r>
              <w:rPr>
                <w:rFonts w:ascii="Arial" w:cs="Arial" w:eastAsia="Arial" w:hAnsi="Arial"/>
                <w:sz w:val="18"/>
                <w:szCs w:val="18"/>
                <w:color w:val="auto"/>
              </w:rPr>
              <w:t>HBM shipments and revenue mix</w:t>
            </w:r>
          </w:p>
        </w:tc>
        <w:tc>
          <w:tcPr>
            <w:tcW w:w="1360" w:type="dxa"/>
            <w:vAlign w:val="bottom"/>
          </w:tcPr>
          <w:p>
            <w:pPr>
              <w:jc w:val="right"/>
              <w:ind w:right="510"/>
              <w:spacing w:after="0" w:line="175" w:lineRule="exact"/>
              <w:rPr>
                <w:sz w:val="20"/>
                <w:szCs w:val="20"/>
                <w:color w:val="auto"/>
              </w:rPr>
            </w:pPr>
            <w:r>
              <w:rPr>
                <w:rFonts w:ascii="Arial" w:cs="Arial" w:eastAsia="Arial" w:hAnsi="Arial"/>
                <w:sz w:val="18"/>
                <w:szCs w:val="18"/>
                <w:color w:val="auto"/>
              </w:rPr>
              <w:t>142%</w:t>
            </w:r>
          </w:p>
        </w:tc>
      </w:tr>
      <w:tr>
        <w:trPr>
          <w:trHeight w:val="183"/>
        </w:trPr>
        <w:tc>
          <w:tcPr>
            <w:tcW w:w="160" w:type="dxa"/>
            <w:vAlign w:val="bottom"/>
          </w:tcPr>
          <w:p>
            <w:pPr>
              <w:spacing w:after="0"/>
              <w:rPr>
                <w:sz w:val="15"/>
                <w:szCs w:val="15"/>
                <w:color w:val="auto"/>
              </w:rPr>
            </w:pPr>
          </w:p>
        </w:tc>
        <w:tc>
          <w:tcPr>
            <w:tcW w:w="2840" w:type="dxa"/>
            <w:vAlign w:val="bottom"/>
          </w:tcPr>
          <w:p>
            <w:pPr>
              <w:ind w:left="20"/>
              <w:spacing w:after="0" w:line="182" w:lineRule="exact"/>
              <w:rPr>
                <w:sz w:val="20"/>
                <w:szCs w:val="20"/>
                <w:color w:val="auto"/>
              </w:rPr>
            </w:pPr>
            <w:r>
              <w:rPr>
                <w:rFonts w:ascii="Arial" w:cs="Arial" w:eastAsia="Arial" w:hAnsi="Arial"/>
                <w:sz w:val="18"/>
                <w:szCs w:val="18"/>
                <w:color w:val="auto"/>
              </w:rPr>
              <w:t>Execute our business plans to</w:t>
            </w:r>
          </w:p>
        </w:tc>
        <w:tc>
          <w:tcPr>
            <w:tcW w:w="3420" w:type="dxa"/>
            <w:vAlign w:val="bottom"/>
          </w:tcPr>
          <w:p>
            <w:pPr>
              <w:ind w:left="40"/>
              <w:spacing w:after="0" w:line="182" w:lineRule="exact"/>
              <w:rPr>
                <w:sz w:val="20"/>
                <w:szCs w:val="20"/>
                <w:color w:val="auto"/>
              </w:rPr>
            </w:pPr>
            <w:r>
              <w:rPr>
                <w:rFonts w:ascii="Arial" w:cs="Arial" w:eastAsia="Arial" w:hAnsi="Arial"/>
                <w:sz w:val="18"/>
                <w:szCs w:val="18"/>
                <w:color w:val="auto"/>
              </w:rPr>
              <w:t>shipment metrics, including:</w:t>
            </w:r>
          </w:p>
        </w:tc>
        <w:tc>
          <w:tcPr>
            <w:tcW w:w="3460" w:type="dxa"/>
            <w:vAlign w:val="bottom"/>
          </w:tcPr>
          <w:p>
            <w:pPr>
              <w:ind w:left="40"/>
              <w:spacing w:after="0" w:line="182" w:lineRule="exact"/>
              <w:rPr>
                <w:sz w:val="20"/>
                <w:szCs w:val="20"/>
                <w:color w:val="auto"/>
              </w:rPr>
            </w:pPr>
            <w:r>
              <w:rPr>
                <w:rFonts w:ascii="Arial" w:cs="Arial" w:eastAsia="Arial" w:hAnsi="Arial"/>
                <w:sz w:val="18"/>
                <w:szCs w:val="18"/>
                <w:color w:val="auto"/>
              </w:rPr>
              <w:t>towards data center and more</w:t>
            </w:r>
          </w:p>
        </w:tc>
        <w:tc>
          <w:tcPr>
            <w:tcW w:w="13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2840" w:type="dxa"/>
            <w:vAlign w:val="bottom"/>
          </w:tcPr>
          <w:p>
            <w:pPr>
              <w:ind w:left="20"/>
              <w:spacing w:after="0" w:line="180" w:lineRule="exact"/>
              <w:rPr>
                <w:sz w:val="20"/>
                <w:szCs w:val="20"/>
                <w:color w:val="auto"/>
              </w:rPr>
            </w:pPr>
            <w:r>
              <w:rPr>
                <w:rFonts w:ascii="Arial" w:cs="Arial" w:eastAsia="Arial" w:hAnsi="Arial"/>
                <w:sz w:val="18"/>
                <w:szCs w:val="18"/>
                <w:color w:val="auto"/>
              </w:rPr>
              <w:t>optimize our product, segment and</w:t>
            </w:r>
          </w:p>
        </w:tc>
        <w:tc>
          <w:tcPr>
            <w:tcW w:w="3420" w:type="dxa"/>
            <w:vAlign w:val="bottom"/>
          </w:tcPr>
          <w:p>
            <w:pPr>
              <w:ind w:left="380"/>
              <w:spacing w:after="0" w:line="180" w:lineRule="exact"/>
              <w:rPr>
                <w:sz w:val="20"/>
                <w:szCs w:val="20"/>
                <w:color w:val="auto"/>
              </w:rPr>
            </w:pPr>
            <w:r>
              <w:rPr>
                <w:rFonts w:ascii="Arial" w:cs="Arial" w:eastAsia="Arial" w:hAnsi="Arial"/>
                <w:sz w:val="18"/>
                <w:szCs w:val="18"/>
                <w:color w:val="auto"/>
              </w:rPr>
              <w:t>▪   Revenue from HBM3E+, high-</w:t>
            </w:r>
          </w:p>
        </w:tc>
        <w:tc>
          <w:tcPr>
            <w:tcW w:w="3460" w:type="dxa"/>
            <w:vAlign w:val="bottom"/>
          </w:tcPr>
          <w:p>
            <w:pPr>
              <w:ind w:left="40"/>
              <w:spacing w:after="0" w:line="180" w:lineRule="exact"/>
              <w:rPr>
                <w:sz w:val="20"/>
                <w:szCs w:val="20"/>
                <w:color w:val="auto"/>
              </w:rPr>
            </w:pPr>
            <w:r>
              <w:rPr>
                <w:rFonts w:ascii="Arial" w:cs="Arial" w:eastAsia="Arial" w:hAnsi="Arial"/>
                <w:sz w:val="18"/>
                <w:szCs w:val="18"/>
                <w:color w:val="auto"/>
              </w:rPr>
              <w:t>profitable segments exceeded targets.</w:t>
            </w:r>
          </w:p>
        </w:tc>
        <w:tc>
          <w:tcPr>
            <w:tcW w:w="1360" w:type="dxa"/>
            <w:vAlign w:val="bottom"/>
          </w:tcPr>
          <w:p>
            <w:pPr>
              <w:spacing w:after="0"/>
              <w:rPr>
                <w:sz w:val="15"/>
                <w:szCs w:val="15"/>
                <w:color w:val="auto"/>
              </w:rPr>
            </w:pPr>
          </w:p>
        </w:tc>
      </w:tr>
      <w:tr>
        <w:trPr>
          <w:trHeight w:val="175"/>
        </w:trPr>
        <w:tc>
          <w:tcPr>
            <w:tcW w:w="160" w:type="dxa"/>
            <w:vAlign w:val="bottom"/>
          </w:tcPr>
          <w:p>
            <w:pPr>
              <w:spacing w:after="0"/>
              <w:rPr>
                <w:sz w:val="15"/>
                <w:szCs w:val="15"/>
                <w:color w:val="auto"/>
              </w:rPr>
            </w:pPr>
          </w:p>
        </w:tc>
        <w:tc>
          <w:tcPr>
            <w:tcW w:w="2840" w:type="dxa"/>
            <w:vAlign w:val="bottom"/>
          </w:tcPr>
          <w:p>
            <w:pPr>
              <w:ind w:left="20"/>
              <w:spacing w:after="0" w:line="175" w:lineRule="exact"/>
              <w:rPr>
                <w:sz w:val="20"/>
                <w:szCs w:val="20"/>
                <w:color w:val="auto"/>
              </w:rPr>
            </w:pPr>
            <w:r>
              <w:rPr>
                <w:rFonts w:ascii="Arial" w:cs="Arial" w:eastAsia="Arial" w:hAnsi="Arial"/>
                <w:sz w:val="18"/>
                <w:szCs w:val="18"/>
                <w:color w:val="auto"/>
              </w:rPr>
              <w:t>customer shipment mix.</w:t>
            </w:r>
          </w:p>
        </w:tc>
        <w:tc>
          <w:tcPr>
            <w:tcW w:w="3420" w:type="dxa"/>
            <w:vAlign w:val="bottom"/>
          </w:tcPr>
          <w:p>
            <w:pPr>
              <w:ind w:left="700"/>
              <w:spacing w:after="0" w:line="175" w:lineRule="exact"/>
              <w:rPr>
                <w:sz w:val="20"/>
                <w:szCs w:val="20"/>
                <w:color w:val="auto"/>
              </w:rPr>
            </w:pPr>
            <w:r>
              <w:rPr>
                <w:rFonts w:ascii="Arial" w:cs="Arial" w:eastAsia="Arial" w:hAnsi="Arial"/>
                <w:sz w:val="18"/>
                <w:szCs w:val="18"/>
                <w:color w:val="auto"/>
              </w:rPr>
              <w:t>density module and all low-power</w:t>
            </w:r>
          </w:p>
        </w:tc>
        <w:tc>
          <w:tcPr>
            <w:tcW w:w="3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1"/>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420" w:type="dxa"/>
            <w:vAlign w:val="bottom"/>
          </w:tcPr>
          <w:p>
            <w:pPr>
              <w:ind w:left="700"/>
              <w:spacing w:after="0" w:line="201" w:lineRule="exact"/>
              <w:rPr>
                <w:sz w:val="20"/>
                <w:szCs w:val="20"/>
                <w:color w:val="auto"/>
              </w:rPr>
            </w:pPr>
            <w:r>
              <w:rPr>
                <w:rFonts w:ascii="Arial" w:cs="Arial" w:eastAsia="Arial" w:hAnsi="Arial"/>
                <w:sz w:val="18"/>
                <w:szCs w:val="18"/>
                <w:color w:val="auto"/>
              </w:rPr>
              <w:t>DRAM products sold into the data</w:t>
            </w:r>
          </w:p>
        </w:tc>
        <w:tc>
          <w:tcPr>
            <w:tcW w:w="346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-579120</wp:posOffset>
            </wp:positionV>
            <wp:extent cx="102235" cy="1322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235" cy="1322705"/>
                    </a:xfrm>
                    <a:prstGeom prst="rect">
                      <a:avLst/>
                    </a:prstGeom>
                    <a:noFill/>
                  </pic:spPr>
                </pic:pic>
              </a:graphicData>
            </a:graphic>
          </wp:anchor>
        </w:drawing>
      </w:r>
    </w:p>
    <w:p>
      <w:pPr>
        <w:ind w:left="3700"/>
        <w:spacing w:after="0" w:line="202" w:lineRule="auto"/>
        <w:rPr>
          <w:sz w:val="20"/>
          <w:szCs w:val="20"/>
          <w:color w:val="auto"/>
        </w:rPr>
      </w:pPr>
      <w:r>
        <w:rPr>
          <w:rFonts w:ascii="Arial" w:cs="Arial" w:eastAsia="Arial" w:hAnsi="Arial"/>
          <w:sz w:val="18"/>
          <w:szCs w:val="18"/>
          <w:color w:val="auto"/>
        </w:rPr>
        <w:t>center</w:t>
      </w:r>
    </w:p>
    <w:p>
      <w:pPr>
        <w:ind w:left="3700" w:right="4940" w:hanging="329"/>
        <w:spacing w:after="0" w:line="210" w:lineRule="auto"/>
        <w:tabs>
          <w:tab w:leader="none" w:pos="36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Revenue from high-growth, more stable end markets</w:t>
      </w:r>
    </w:p>
    <w:p>
      <w:pPr>
        <w:ind w:left="3700" w:right="5040" w:hanging="329"/>
        <w:spacing w:after="0" w:line="228" w:lineRule="auto"/>
        <w:tabs>
          <w:tab w:leader="none" w:pos="36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DRAM and NAND leading node shipments</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820" w:type="dxa"/>
            <w:vAlign w:val="bottom"/>
          </w:tcPr>
          <w:p>
            <w:pPr>
              <w:spacing w:after="0"/>
              <w:rPr>
                <w:sz w:val="20"/>
                <w:szCs w:val="20"/>
                <w:color w:val="auto"/>
              </w:rPr>
            </w:pPr>
            <w:r>
              <w:rPr>
                <w:rFonts w:ascii="Arial" w:cs="Arial" w:eastAsia="Arial" w:hAnsi="Arial"/>
                <w:sz w:val="18"/>
                <w:szCs w:val="18"/>
                <w:b w:val="1"/>
                <w:bCs w:val="1"/>
                <w:color w:val="auto"/>
              </w:rPr>
              <w:t>Sustainability and Human</w:t>
            </w:r>
          </w:p>
        </w:tc>
        <w:tc>
          <w:tcPr>
            <w:tcW w:w="3360" w:type="dxa"/>
            <w:vAlign w:val="bottom"/>
          </w:tcPr>
          <w:p>
            <w:pPr>
              <w:ind w:left="40"/>
              <w:spacing w:after="0"/>
              <w:rPr>
                <w:sz w:val="20"/>
                <w:szCs w:val="20"/>
                <w:color w:val="auto"/>
              </w:rPr>
            </w:pPr>
            <w:r>
              <w:rPr>
                <w:rFonts w:ascii="Arial" w:cs="Arial" w:eastAsia="Arial" w:hAnsi="Arial"/>
                <w:sz w:val="18"/>
                <w:szCs w:val="18"/>
                <w:color w:val="auto"/>
              </w:rPr>
              <w:t>Goals focused on sustainability and</w:t>
            </w:r>
          </w:p>
        </w:tc>
        <w:tc>
          <w:tcPr>
            <w:tcW w:w="3500" w:type="dxa"/>
            <w:vAlign w:val="bottom"/>
          </w:tcPr>
          <w:p>
            <w:pPr>
              <w:ind w:left="100"/>
              <w:spacing w:after="0"/>
              <w:rPr>
                <w:sz w:val="20"/>
                <w:szCs w:val="20"/>
                <w:color w:val="auto"/>
              </w:rPr>
            </w:pPr>
            <w:r>
              <w:rPr>
                <w:rFonts w:ascii="Arial" w:cs="Arial" w:eastAsia="Arial" w:hAnsi="Arial"/>
                <w:sz w:val="18"/>
                <w:szCs w:val="18"/>
                <w:color w:val="auto"/>
              </w:rPr>
              <w:t>Sustainability goals for reducing direct</w:t>
            </w: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183"/>
        </w:trPr>
        <w:tc>
          <w:tcPr>
            <w:tcW w:w="2820" w:type="dxa"/>
            <w:vAlign w:val="bottom"/>
          </w:tcPr>
          <w:p>
            <w:pPr>
              <w:spacing w:after="0" w:line="182" w:lineRule="exact"/>
              <w:rPr>
                <w:sz w:val="20"/>
                <w:szCs w:val="20"/>
                <w:color w:val="auto"/>
              </w:rPr>
            </w:pPr>
            <w:r>
              <w:rPr>
                <w:rFonts w:ascii="Arial" w:cs="Arial" w:eastAsia="Arial" w:hAnsi="Arial"/>
                <w:sz w:val="18"/>
                <w:szCs w:val="18"/>
                <w:b w:val="1"/>
                <w:bCs w:val="1"/>
                <w:color w:val="auto"/>
              </w:rPr>
              <w:t>Capital</w:t>
            </w:r>
          </w:p>
        </w:tc>
        <w:tc>
          <w:tcPr>
            <w:tcW w:w="3360" w:type="dxa"/>
            <w:vAlign w:val="bottom"/>
          </w:tcPr>
          <w:p>
            <w:pPr>
              <w:ind w:left="40"/>
              <w:spacing w:after="0" w:line="182" w:lineRule="exact"/>
              <w:rPr>
                <w:sz w:val="20"/>
                <w:szCs w:val="20"/>
                <w:color w:val="auto"/>
              </w:rPr>
            </w:pPr>
            <w:r>
              <w:rPr>
                <w:rFonts w:ascii="Arial" w:cs="Arial" w:eastAsia="Arial" w:hAnsi="Arial"/>
                <w:sz w:val="18"/>
                <w:szCs w:val="18"/>
                <w:color w:val="auto"/>
              </w:rPr>
              <w:t>human capital metrics and milestones,</w:t>
            </w:r>
          </w:p>
        </w:tc>
        <w:tc>
          <w:tcPr>
            <w:tcW w:w="3500" w:type="dxa"/>
            <w:vAlign w:val="bottom"/>
          </w:tcPr>
          <w:p>
            <w:pPr>
              <w:ind w:left="100"/>
              <w:spacing w:after="0" w:line="182" w:lineRule="exact"/>
              <w:rPr>
                <w:sz w:val="20"/>
                <w:szCs w:val="20"/>
                <w:color w:val="auto"/>
              </w:rPr>
            </w:pPr>
            <w:r>
              <w:rPr>
                <w:rFonts w:ascii="Arial" w:cs="Arial" w:eastAsia="Arial" w:hAnsi="Arial"/>
                <w:sz w:val="18"/>
                <w:szCs w:val="18"/>
                <w:color w:val="auto"/>
              </w:rPr>
              <w:t>greenhouse gas emissions and human</w:t>
            </w:r>
          </w:p>
        </w:tc>
        <w:tc>
          <w:tcPr>
            <w:tcW w:w="780" w:type="dxa"/>
            <w:vAlign w:val="bottom"/>
          </w:tcPr>
          <w:p>
            <w:pPr>
              <w:spacing w:after="0"/>
              <w:rPr>
                <w:sz w:val="15"/>
                <w:szCs w:val="15"/>
                <w:color w:val="auto"/>
              </w:rPr>
            </w:pPr>
          </w:p>
        </w:tc>
      </w:tr>
      <w:tr>
        <w:trPr>
          <w:trHeight w:val="180"/>
        </w:trPr>
        <w:tc>
          <w:tcPr>
            <w:tcW w:w="2820" w:type="dxa"/>
            <w:vAlign w:val="bottom"/>
          </w:tcPr>
          <w:p>
            <w:pPr>
              <w:spacing w:after="0" w:line="180" w:lineRule="exact"/>
              <w:rPr>
                <w:sz w:val="20"/>
                <w:szCs w:val="20"/>
                <w:color w:val="auto"/>
              </w:rPr>
            </w:pPr>
            <w:r>
              <w:rPr>
                <w:rFonts w:ascii="Arial" w:cs="Arial" w:eastAsia="Arial" w:hAnsi="Arial"/>
                <w:sz w:val="18"/>
                <w:szCs w:val="18"/>
                <w:color w:val="auto"/>
              </w:rPr>
              <w:t>Drive sustainability improvements,</w:t>
            </w:r>
          </w:p>
        </w:tc>
        <w:tc>
          <w:tcPr>
            <w:tcW w:w="3360" w:type="dxa"/>
            <w:vAlign w:val="bottom"/>
          </w:tcPr>
          <w:p>
            <w:pPr>
              <w:ind w:left="40"/>
              <w:spacing w:after="0" w:line="180" w:lineRule="exact"/>
              <w:rPr>
                <w:sz w:val="20"/>
                <w:szCs w:val="20"/>
                <w:color w:val="auto"/>
              </w:rPr>
            </w:pPr>
            <w:r>
              <w:rPr>
                <w:rFonts w:ascii="Arial" w:cs="Arial" w:eastAsia="Arial" w:hAnsi="Arial"/>
                <w:sz w:val="18"/>
                <w:szCs w:val="18"/>
                <w:color w:val="auto"/>
              </w:rPr>
              <w:t>including:</w:t>
            </w:r>
          </w:p>
        </w:tc>
        <w:tc>
          <w:tcPr>
            <w:tcW w:w="3500" w:type="dxa"/>
            <w:vAlign w:val="bottom"/>
          </w:tcPr>
          <w:p>
            <w:pPr>
              <w:ind w:left="100"/>
              <w:spacing w:after="0" w:line="180" w:lineRule="exact"/>
              <w:rPr>
                <w:sz w:val="20"/>
                <w:szCs w:val="20"/>
                <w:color w:val="auto"/>
              </w:rPr>
            </w:pPr>
            <w:r>
              <w:rPr>
                <w:rFonts w:ascii="Arial" w:cs="Arial" w:eastAsia="Arial" w:hAnsi="Arial"/>
                <w:sz w:val="18"/>
                <w:szCs w:val="18"/>
                <w:color w:val="auto"/>
              </w:rPr>
              <w:t>capital metrics exceeded targets.</w:t>
            </w:r>
          </w:p>
        </w:tc>
        <w:tc>
          <w:tcPr>
            <w:tcW w:w="780" w:type="dxa"/>
            <w:vAlign w:val="bottom"/>
          </w:tcPr>
          <w:p>
            <w:pPr>
              <w:spacing w:after="0"/>
              <w:rPr>
                <w:sz w:val="15"/>
                <w:szCs w:val="15"/>
                <w:color w:val="auto"/>
              </w:rPr>
            </w:pPr>
          </w:p>
        </w:tc>
      </w:tr>
      <w:tr>
        <w:trPr>
          <w:trHeight w:val="175"/>
        </w:trPr>
        <w:tc>
          <w:tcPr>
            <w:tcW w:w="2820" w:type="dxa"/>
            <w:vAlign w:val="bottom"/>
          </w:tcPr>
          <w:p>
            <w:pPr>
              <w:spacing w:after="0" w:line="175" w:lineRule="exact"/>
              <w:rPr>
                <w:sz w:val="20"/>
                <w:szCs w:val="20"/>
                <w:color w:val="auto"/>
              </w:rPr>
            </w:pPr>
            <w:r>
              <w:rPr>
                <w:rFonts w:ascii="Arial" w:cs="Arial" w:eastAsia="Arial" w:hAnsi="Arial"/>
                <w:sz w:val="18"/>
                <w:szCs w:val="18"/>
                <w:color w:val="auto"/>
              </w:rPr>
              <w:t>improve human capital metrics and</w:t>
            </w:r>
          </w:p>
        </w:tc>
        <w:tc>
          <w:tcPr>
            <w:tcW w:w="3360" w:type="dxa"/>
            <w:vAlign w:val="bottom"/>
          </w:tcPr>
          <w:p>
            <w:pPr>
              <w:ind w:left="380"/>
              <w:spacing w:after="0" w:line="175" w:lineRule="exact"/>
              <w:rPr>
                <w:sz w:val="20"/>
                <w:szCs w:val="20"/>
                <w:color w:val="auto"/>
              </w:rPr>
            </w:pPr>
            <w:r>
              <w:rPr>
                <w:rFonts w:ascii="Arial" w:cs="Arial" w:eastAsia="Arial" w:hAnsi="Arial"/>
                <w:sz w:val="18"/>
                <w:szCs w:val="18"/>
                <w:color w:val="auto"/>
              </w:rPr>
              <w:t>▪   Reduction of direct greenhouse</w:t>
            </w:r>
          </w:p>
        </w:tc>
        <w:tc>
          <w:tcPr>
            <w:tcW w:w="3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2820" w:type="dxa"/>
            <w:vAlign w:val="bottom"/>
          </w:tcPr>
          <w:p>
            <w:pPr>
              <w:spacing w:after="0" w:line="182" w:lineRule="exact"/>
              <w:rPr>
                <w:sz w:val="20"/>
                <w:szCs w:val="20"/>
                <w:color w:val="auto"/>
              </w:rPr>
            </w:pPr>
            <w:r>
              <w:rPr>
                <w:rFonts w:ascii="Arial" w:cs="Arial" w:eastAsia="Arial" w:hAnsi="Arial"/>
                <w:sz w:val="18"/>
                <w:szCs w:val="18"/>
                <w:color w:val="auto"/>
              </w:rPr>
              <w:t>drive adoption of AI-enabled</w:t>
            </w:r>
          </w:p>
        </w:tc>
        <w:tc>
          <w:tcPr>
            <w:tcW w:w="3360" w:type="dxa"/>
            <w:vAlign w:val="bottom"/>
          </w:tcPr>
          <w:p>
            <w:pPr>
              <w:ind w:left="700"/>
              <w:spacing w:after="0" w:line="182" w:lineRule="exact"/>
              <w:rPr>
                <w:sz w:val="20"/>
                <w:szCs w:val="20"/>
                <w:color w:val="auto"/>
              </w:rPr>
            </w:pPr>
            <w:r>
              <w:rPr>
                <w:rFonts w:ascii="Arial" w:cs="Arial" w:eastAsia="Arial" w:hAnsi="Arial"/>
                <w:sz w:val="18"/>
                <w:szCs w:val="18"/>
                <w:color w:val="auto"/>
              </w:rPr>
              <w:t>gas emissions</w:t>
            </w:r>
          </w:p>
        </w:tc>
        <w:tc>
          <w:tcPr>
            <w:tcW w:w="3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3"/>
        </w:trPr>
        <w:tc>
          <w:tcPr>
            <w:tcW w:w="2820" w:type="dxa"/>
            <w:vAlign w:val="bottom"/>
          </w:tcPr>
          <w:p>
            <w:pPr>
              <w:spacing w:after="0" w:line="193" w:lineRule="exact"/>
              <w:rPr>
                <w:sz w:val="20"/>
                <w:szCs w:val="20"/>
                <w:color w:val="auto"/>
              </w:rPr>
            </w:pPr>
            <w:r>
              <w:rPr>
                <w:rFonts w:ascii="Arial" w:cs="Arial" w:eastAsia="Arial" w:hAnsi="Arial"/>
                <w:sz w:val="18"/>
                <w:szCs w:val="18"/>
                <w:color w:val="auto"/>
              </w:rPr>
              <w:t>enterprise applications</w:t>
            </w:r>
          </w:p>
        </w:tc>
        <w:tc>
          <w:tcPr>
            <w:tcW w:w="3360" w:type="dxa"/>
            <w:vAlign w:val="bottom"/>
          </w:tcPr>
          <w:p>
            <w:pPr>
              <w:ind w:left="380"/>
              <w:spacing w:after="0" w:line="193" w:lineRule="exact"/>
              <w:rPr>
                <w:sz w:val="20"/>
                <w:szCs w:val="20"/>
                <w:color w:val="auto"/>
              </w:rPr>
            </w:pPr>
            <w:r>
              <w:rPr>
                <w:rFonts w:ascii="Arial" w:cs="Arial" w:eastAsia="Arial" w:hAnsi="Arial"/>
                <w:sz w:val="18"/>
                <w:szCs w:val="18"/>
                <w:color w:val="auto"/>
              </w:rPr>
              <w:t>▪   Expand talent pool and increase</w:t>
            </w: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-690245</wp:posOffset>
            </wp:positionV>
            <wp:extent cx="7132955" cy="1663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955" cy="1663700"/>
                    </a:xfrm>
                    <a:prstGeom prst="rect">
                      <a:avLst/>
                    </a:prstGeom>
                    <a:noFill/>
                  </pic:spPr>
                </pic:pic>
              </a:graphicData>
            </a:graphic>
          </wp:anchor>
        </w:drawing>
      </w:r>
    </w:p>
    <w:p>
      <w:pPr>
        <w:ind w:left="3700"/>
        <w:spacing w:after="0" w:line="202" w:lineRule="auto"/>
        <w:rPr>
          <w:sz w:val="20"/>
          <w:szCs w:val="20"/>
          <w:color w:val="auto"/>
        </w:rPr>
      </w:pPr>
      <w:r>
        <w:rPr>
          <w:rFonts w:ascii="Arial" w:cs="Arial" w:eastAsia="Arial" w:hAnsi="Arial"/>
          <w:sz w:val="18"/>
          <w:szCs w:val="18"/>
          <w:color w:val="auto"/>
        </w:rPr>
        <w:t>hiring efficiency</w:t>
      </w:r>
    </w:p>
    <w:p>
      <w:pPr>
        <w:ind w:left="3380"/>
        <w:spacing w:after="0" w:line="218" w:lineRule="auto"/>
        <w:tabs>
          <w:tab w:leader="none" w:pos="3660" w:val="left"/>
        </w:tabs>
        <w:rPr>
          <w:sz w:val="20"/>
          <w:szCs w:val="20"/>
          <w:color w:val="auto"/>
        </w:rPr>
      </w:pPr>
      <w:r>
        <w:rPr>
          <w:rFonts w:ascii="Arial" w:cs="Arial" w:eastAsia="Arial" w:hAnsi="Arial"/>
          <w:sz w:val="18"/>
          <w:szCs w:val="18"/>
          <w:color w:val="auto"/>
        </w:rPr>
        <w:t>▪</w:t>
        <w:tab/>
        <w:t>Reduce voluntary employee</w:t>
      </w:r>
    </w:p>
    <w:p>
      <w:pPr>
        <w:ind w:left="3700"/>
        <w:spacing w:after="0" w:line="203" w:lineRule="auto"/>
        <w:rPr>
          <w:sz w:val="20"/>
          <w:szCs w:val="20"/>
          <w:color w:val="auto"/>
        </w:rPr>
      </w:pPr>
      <w:r>
        <w:rPr>
          <w:rFonts w:ascii="Arial" w:cs="Arial" w:eastAsia="Arial" w:hAnsi="Arial"/>
          <w:sz w:val="18"/>
          <w:szCs w:val="18"/>
          <w:color w:val="auto"/>
        </w:rPr>
        <w:t>attrition</w:t>
      </w:r>
    </w:p>
    <w:p>
      <w:pPr>
        <w:ind w:left="3380"/>
        <w:spacing w:after="0" w:line="202" w:lineRule="auto"/>
        <w:tabs>
          <w:tab w:leader="none" w:pos="3660" w:val="left"/>
        </w:tabs>
        <w:rPr>
          <w:sz w:val="20"/>
          <w:szCs w:val="20"/>
          <w:color w:val="auto"/>
        </w:rPr>
      </w:pPr>
      <w:r>
        <w:rPr>
          <w:rFonts w:ascii="Arial" w:cs="Arial" w:eastAsia="Arial" w:hAnsi="Arial"/>
          <w:sz w:val="18"/>
          <w:szCs w:val="18"/>
          <w:color w:val="auto"/>
        </w:rPr>
        <w:t>▪</w:t>
        <w:tab/>
        <w:t>Enhance career growth and</w:t>
      </w:r>
    </w:p>
    <w:p>
      <w:pPr>
        <w:ind w:left="3700"/>
        <w:spacing w:after="0" w:line="218" w:lineRule="auto"/>
        <w:rPr>
          <w:sz w:val="20"/>
          <w:szCs w:val="20"/>
          <w:color w:val="auto"/>
        </w:rPr>
      </w:pPr>
      <w:r>
        <w:rPr>
          <w:rFonts w:ascii="Arial" w:cs="Arial" w:eastAsia="Arial" w:hAnsi="Arial"/>
          <w:sz w:val="18"/>
          <w:szCs w:val="18"/>
          <w:color w:val="auto"/>
        </w:rPr>
        <w:t>development programs</w:t>
      </w:r>
    </w:p>
    <w:p>
      <w:pPr>
        <w:ind w:left="3380"/>
        <w:spacing w:after="0" w:line="203" w:lineRule="auto"/>
        <w:tabs>
          <w:tab w:leader="none" w:pos="3660" w:val="left"/>
        </w:tabs>
        <w:rPr>
          <w:sz w:val="20"/>
          <w:szCs w:val="20"/>
          <w:color w:val="auto"/>
        </w:rPr>
      </w:pPr>
      <w:r>
        <w:rPr>
          <w:rFonts w:ascii="Arial" w:cs="Arial" w:eastAsia="Arial" w:hAnsi="Arial"/>
          <w:sz w:val="18"/>
          <w:szCs w:val="18"/>
          <w:color w:val="auto"/>
        </w:rPr>
        <w:t>▪</w:t>
        <w:tab/>
        <w:t>Deploy and increase adoption of</w:t>
      </w:r>
    </w:p>
    <w:p>
      <w:pPr>
        <w:ind w:left="3700"/>
        <w:spacing w:after="0"/>
        <w:rPr>
          <w:sz w:val="20"/>
          <w:szCs w:val="20"/>
          <w:color w:val="auto"/>
        </w:rPr>
      </w:pPr>
      <w:r>
        <w:rPr>
          <w:rFonts w:ascii="Arial" w:cs="Arial" w:eastAsia="Arial" w:hAnsi="Arial"/>
          <w:sz w:val="18"/>
          <w:szCs w:val="18"/>
          <w:color w:val="auto"/>
        </w:rPr>
        <w:t>AI-enabled solutions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780"/>
        <w:spacing w:after="0"/>
        <w:rPr>
          <w:sz w:val="20"/>
          <w:szCs w:val="20"/>
          <w:color w:val="auto"/>
        </w:rPr>
      </w:pPr>
      <w:r>
        <w:rPr>
          <w:sz w:val="1"/>
          <w:szCs w:val="1"/>
          <w:color w:val="auto"/>
        </w:rPr>
        <w:drawing>
          <wp:inline distT="0" distB="0" distL="0" distR="0">
            <wp:extent cx="776605" cy="16192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1583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Within each goal category, each strategic goal or group of related strategic goals provided an opportunity to achieve performance between the minimum threshold of 50% of target and a maximum of 200% of target. Additionally, the Technology and Products category included an additional stretch performance condition based on the deployment of AI-based efficiency tools to improve product development. This additional stretch performance condition was achieved and resulted in a .25x increase in achievement for Fiscal 2025, bringing overall achievement to 100% as shown above.</w:t>
      </w:r>
    </w:p>
    <w:p>
      <w:pPr>
        <w:spacing w:after="0" w:line="191"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Achievement of each of the goals included in the five strategic categories required significant effort and adept execution, and there was no assurance of even threshold achievement with respect to any of the metrics or milestones. When setting the Fiscal 2025 strategic goal targets, relative to the annual operating plan in October 2024, the Compensation Committee believed that achieving maximum performance for any strategic goal category would be challenging and would require extraordinary leadership, effort, and coordination as a team.</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LONG-TERM EQUITY INCENTIVES</w:t>
      </w:r>
    </w:p>
    <w:p>
      <w:pPr>
        <w:spacing w:after="0" w:line="25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believe LTI compensation should be tied to our success, help promote increases in long-term shareholder value, and encourage key executives to remain with the Company. In Fiscal 2025, consistent with these objectives, the Compensation Committee retained the LTI mix for the Chief Executive Officer at 65% performance-based restricted stock units (“PRSUs”) and 35% time-based restricted stock awards (“RSAs”), and 50% PRSUs and 50% RSAs for the other Named Executive Officers.</w:t>
      </w:r>
    </w:p>
    <w:p>
      <w:pPr>
        <w:spacing w:after="0" w:line="201"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In determining the target value of LTI incentive awards for our Named Executive Officers, the Compensation Committee considered various items, including market data, as described above under the section entitled “Engagement of the Compensation Consultant—Compensation-</w:t>
      </w:r>
    </w:p>
    <w:p>
      <w:pPr>
        <w:spacing w:after="0" w:line="1" w:lineRule="exact"/>
        <w:rPr>
          <w:sz w:val="20"/>
          <w:szCs w:val="20"/>
          <w:color w:val="auto"/>
        </w:rPr>
      </w:pPr>
    </w:p>
    <w:p>
      <w:pPr>
        <w:jc w:val="both"/>
        <w:ind w:right="260"/>
        <w:spacing w:after="0" w:line="267" w:lineRule="auto"/>
        <w:rPr>
          <w:sz w:val="20"/>
          <w:szCs w:val="20"/>
          <w:color w:val="auto"/>
        </w:rPr>
      </w:pPr>
      <w:r>
        <w:rPr>
          <w:rFonts w:ascii="Arial" w:cs="Arial" w:eastAsia="Arial" w:hAnsi="Arial"/>
          <w:sz w:val="18"/>
          <w:szCs w:val="18"/>
          <w:color w:val="auto"/>
        </w:rPr>
        <w:t>Setting Process.” For all Named Executive Officers, equity grant values increased, on average, 7.5% (6.8% for the Chief Executive Officer) based on assessment of individual and Company performance and to improve the competitive positioning of our grant levels relative to the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target values of our Named Executive Officers’ Fiscal 2025 LTI awards: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318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180" w:type="dxa"/>
            <w:vAlign w:val="bottom"/>
            <w:tcBorders>
              <w:bottom w:val="single" w:sz="8" w:color="BD03F7"/>
            </w:tcBorders>
          </w:tcPr>
          <w:p>
            <w:pPr>
              <w:spacing w:after="0"/>
              <w:rPr>
                <w:sz w:val="22"/>
                <w:szCs w:val="22"/>
                <w:color w:val="auto"/>
              </w:rPr>
            </w:pPr>
          </w:p>
        </w:tc>
        <w:tc>
          <w:tcPr>
            <w:tcW w:w="2380" w:type="dxa"/>
            <w:vAlign w:val="bottom"/>
            <w:tcBorders>
              <w:bottom w:val="single" w:sz="8" w:color="BD03F7"/>
            </w:tcBorders>
          </w:tcPr>
          <w:p>
            <w:pPr>
              <w:jc w:val="right"/>
              <w:ind w:right="70"/>
              <w:spacing w:after="0"/>
              <w:rPr>
                <w:sz w:val="20"/>
                <w:szCs w:val="20"/>
                <w:color w:val="auto"/>
              </w:rPr>
            </w:pPr>
            <w:r>
              <w:rPr>
                <w:rFonts w:ascii="Arial" w:cs="Arial" w:eastAsia="Arial" w:hAnsi="Arial"/>
                <w:sz w:val="18"/>
                <w:szCs w:val="18"/>
                <w:b w:val="1"/>
                <w:bCs w:val="1"/>
                <w:color w:val="auto"/>
                <w:w w:val="99"/>
              </w:rPr>
              <w:t>Fiscal 2025 PRSU Awards</w:t>
            </w:r>
          </w:p>
        </w:tc>
        <w:tc>
          <w:tcPr>
            <w:tcW w:w="120" w:type="dxa"/>
            <w:vAlign w:val="bottom"/>
            <w:tcBorders>
              <w:bottom w:val="single" w:sz="8" w:color="BD03F7"/>
            </w:tcBorders>
          </w:tcPr>
          <w:p>
            <w:pPr>
              <w:spacing w:after="0"/>
              <w:rPr>
                <w:sz w:val="22"/>
                <w:szCs w:val="22"/>
                <w:color w:val="auto"/>
              </w:rPr>
            </w:pPr>
          </w:p>
        </w:tc>
        <w:tc>
          <w:tcPr>
            <w:tcW w:w="2100" w:type="dxa"/>
            <w:vAlign w:val="bottom"/>
            <w:tcBorders>
              <w:bottom w:val="single" w:sz="8" w:color="BD03F7"/>
            </w:tcBorders>
          </w:tcPr>
          <w:p>
            <w:pPr>
              <w:jc w:val="right"/>
              <w:ind w:right="30"/>
              <w:spacing w:after="0"/>
              <w:rPr>
                <w:sz w:val="20"/>
                <w:szCs w:val="20"/>
                <w:color w:val="auto"/>
              </w:rPr>
            </w:pPr>
            <w:r>
              <w:rPr>
                <w:rFonts w:ascii="Arial" w:cs="Arial" w:eastAsia="Arial" w:hAnsi="Arial"/>
                <w:sz w:val="18"/>
                <w:szCs w:val="18"/>
                <w:b w:val="1"/>
                <w:bCs w:val="1"/>
                <w:color w:val="auto"/>
                <w:w w:val="98"/>
              </w:rPr>
              <w:t>Fiscal 2025 RSA Award</w:t>
            </w:r>
          </w:p>
        </w:tc>
        <w:tc>
          <w:tcPr>
            <w:tcW w:w="120" w:type="dxa"/>
            <w:vAlign w:val="bottom"/>
            <w:tcBorders>
              <w:bottom w:val="single" w:sz="8" w:color="BD03F7"/>
            </w:tcBorders>
          </w:tcPr>
          <w:p>
            <w:pPr>
              <w:spacing w:after="0"/>
              <w:rPr>
                <w:sz w:val="22"/>
                <w:szCs w:val="22"/>
                <w:color w:val="auto"/>
              </w:rPr>
            </w:pPr>
          </w:p>
        </w:tc>
        <w:tc>
          <w:tcPr>
            <w:tcW w:w="2100" w:type="dxa"/>
            <w:vAlign w:val="bottom"/>
            <w:tcBorders>
              <w:bottom w:val="single" w:sz="8" w:color="BD03F7"/>
            </w:tcBorders>
          </w:tcPr>
          <w:p>
            <w:pPr>
              <w:jc w:val="right"/>
              <w:ind w:right="50"/>
              <w:spacing w:after="0"/>
              <w:rPr>
                <w:sz w:val="20"/>
                <w:szCs w:val="20"/>
                <w:color w:val="auto"/>
              </w:rPr>
            </w:pPr>
            <w:r>
              <w:rPr>
                <w:rFonts w:ascii="Arial" w:cs="Arial" w:eastAsia="Arial" w:hAnsi="Arial"/>
                <w:sz w:val="18"/>
                <w:szCs w:val="18"/>
                <w:b w:val="1"/>
                <w:bCs w:val="1"/>
                <w:color w:val="auto"/>
                <w:w w:val="98"/>
              </w:rPr>
              <w:t>Total Fiscal 2025 LTI(</w:t>
            </w:r>
            <w:r>
              <w:rPr>
                <w:rFonts w:ascii="Arial" w:cs="Arial" w:eastAsia="Arial" w:hAnsi="Arial"/>
                <w:sz w:val="17"/>
                <w:szCs w:val="17"/>
                <w:b w:val="1"/>
                <w:bCs w:val="1"/>
                <w:color w:val="auto"/>
                <w:w w:val="98"/>
              </w:rPr>
              <w:t>1)</w:t>
            </w:r>
          </w:p>
        </w:tc>
      </w:tr>
      <w:tr>
        <w:trPr>
          <w:trHeight w:val="40"/>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55"/>
        </w:trPr>
        <w:tc>
          <w:tcPr>
            <w:tcW w:w="318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2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16,484,000</w:t>
            </w:r>
          </w:p>
        </w:tc>
        <w:tc>
          <w:tcPr>
            <w:tcW w:w="12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8,876,000</w:t>
            </w:r>
          </w:p>
        </w:tc>
        <w:tc>
          <w:tcPr>
            <w:tcW w:w="12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25,360,000</w:t>
            </w:r>
          </w:p>
        </w:tc>
      </w:tr>
      <w:tr>
        <w:trPr>
          <w:trHeight w:val="247"/>
        </w:trPr>
        <w:tc>
          <w:tcPr>
            <w:tcW w:w="318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1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9,000,000</w:t>
            </w:r>
          </w:p>
        </w:tc>
      </w:tr>
      <w:tr>
        <w:trPr>
          <w:trHeight w:val="264"/>
        </w:trPr>
        <w:tc>
          <w:tcPr>
            <w:tcW w:w="318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180" w:type="dxa"/>
            <w:vAlign w:val="bottom"/>
            <w:shd w:val="clear" w:color="auto" w:fill="F2F2F2"/>
          </w:tcPr>
          <w:p>
            <w:pPr>
              <w:spacing w:after="0"/>
              <w:rPr>
                <w:sz w:val="22"/>
                <w:szCs w:val="22"/>
                <w:color w:val="auto"/>
              </w:rPr>
            </w:pPr>
          </w:p>
        </w:tc>
        <w:tc>
          <w:tcPr>
            <w:tcW w:w="2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4,750,000</w:t>
            </w:r>
          </w:p>
        </w:tc>
        <w:tc>
          <w:tcPr>
            <w:tcW w:w="120" w:type="dxa"/>
            <w:vAlign w:val="bottom"/>
            <w:shd w:val="clear" w:color="auto" w:fill="F2F2F2"/>
          </w:tcPr>
          <w:p>
            <w:pPr>
              <w:spacing w:after="0"/>
              <w:rPr>
                <w:sz w:val="22"/>
                <w:szCs w:val="22"/>
                <w:color w:val="auto"/>
              </w:rPr>
            </w:pPr>
          </w:p>
        </w:tc>
        <w:tc>
          <w:tcPr>
            <w:tcW w:w="2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4,750,000</w:t>
            </w:r>
          </w:p>
        </w:tc>
        <w:tc>
          <w:tcPr>
            <w:tcW w:w="120" w:type="dxa"/>
            <w:vAlign w:val="bottom"/>
            <w:shd w:val="clear" w:color="auto" w:fill="F2F2F2"/>
          </w:tcPr>
          <w:p>
            <w:pPr>
              <w:spacing w:after="0"/>
              <w:rPr>
                <w:sz w:val="22"/>
                <w:szCs w:val="22"/>
                <w:color w:val="auto"/>
              </w:rPr>
            </w:pPr>
          </w:p>
        </w:tc>
        <w:tc>
          <w:tcPr>
            <w:tcW w:w="2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9,500,000</w:t>
            </w:r>
          </w:p>
        </w:tc>
      </w:tr>
      <w:tr>
        <w:trPr>
          <w:trHeight w:val="247"/>
        </w:trPr>
        <w:tc>
          <w:tcPr>
            <w:tcW w:w="318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1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4,125,000</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4,125,000</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8,250,000</w:t>
            </w:r>
          </w:p>
        </w:tc>
      </w:tr>
      <w:tr>
        <w:trPr>
          <w:trHeight w:val="257"/>
        </w:trPr>
        <w:tc>
          <w:tcPr>
            <w:tcW w:w="318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180" w:type="dxa"/>
            <w:vAlign w:val="bottom"/>
            <w:tcBorders>
              <w:bottom w:val="single" w:sz="8" w:color="BD03F7"/>
            </w:tcBorders>
            <w:shd w:val="clear" w:color="auto" w:fill="F2F2F2"/>
          </w:tcPr>
          <w:p>
            <w:pPr>
              <w:spacing w:after="0"/>
              <w:rPr>
                <w:sz w:val="22"/>
                <w:szCs w:val="22"/>
                <w:color w:val="auto"/>
              </w:rPr>
            </w:pPr>
          </w:p>
        </w:tc>
        <w:tc>
          <w:tcPr>
            <w:tcW w:w="23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4,750,000</w:t>
            </w:r>
          </w:p>
        </w:tc>
        <w:tc>
          <w:tcPr>
            <w:tcW w:w="120" w:type="dxa"/>
            <w:vAlign w:val="bottom"/>
            <w:tcBorders>
              <w:bottom w:val="single" w:sz="8" w:color="BD03F7"/>
            </w:tcBorders>
            <w:shd w:val="clear" w:color="auto" w:fill="F2F2F2"/>
          </w:tcPr>
          <w:p>
            <w:pPr>
              <w:spacing w:after="0"/>
              <w:rPr>
                <w:sz w:val="22"/>
                <w:szCs w:val="22"/>
                <w:color w:val="auto"/>
              </w:rPr>
            </w:pPr>
          </w:p>
        </w:tc>
        <w:tc>
          <w:tcPr>
            <w:tcW w:w="210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4,750,000</w:t>
            </w:r>
          </w:p>
        </w:tc>
        <w:tc>
          <w:tcPr>
            <w:tcW w:w="120" w:type="dxa"/>
            <w:vAlign w:val="bottom"/>
            <w:tcBorders>
              <w:bottom w:val="single" w:sz="8" w:color="BD03F7"/>
            </w:tcBorders>
            <w:shd w:val="clear" w:color="auto" w:fill="F2F2F2"/>
          </w:tcPr>
          <w:p>
            <w:pPr>
              <w:spacing w:after="0"/>
              <w:rPr>
                <w:sz w:val="22"/>
                <w:szCs w:val="22"/>
                <w:color w:val="auto"/>
              </w:rPr>
            </w:pPr>
          </w:p>
        </w:tc>
        <w:tc>
          <w:tcPr>
            <w:tcW w:w="210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9,500,000</w:t>
            </w:r>
          </w:p>
        </w:tc>
      </w:tr>
    </w:tbl>
    <w:p>
      <w:pPr>
        <w:spacing w:after="0" w:line="71" w:lineRule="exact"/>
        <w:rPr>
          <w:sz w:val="20"/>
          <w:szCs w:val="20"/>
          <w:color w:val="auto"/>
        </w:rPr>
      </w:pPr>
    </w:p>
    <w:p>
      <w:pPr>
        <w:ind w:right="100" w:firstLine="7"/>
        <w:spacing w:after="0" w:line="303" w:lineRule="auto"/>
        <w:tabs>
          <w:tab w:leader="none" w:pos="215" w:val="left"/>
        </w:tabs>
        <w:numPr>
          <w:ilvl w:val="0"/>
          <w:numId w:val="62"/>
        </w:numPr>
        <w:rPr>
          <w:rFonts w:ascii="Arial" w:cs="Arial" w:eastAsia="Arial" w:hAnsi="Arial"/>
          <w:sz w:val="14"/>
          <w:szCs w:val="14"/>
          <w:color w:val="262626"/>
        </w:rPr>
      </w:pPr>
      <w:r>
        <w:rPr>
          <w:rFonts w:ascii="Arial" w:cs="Arial" w:eastAsia="Arial" w:hAnsi="Arial"/>
          <w:sz w:val="14"/>
          <w:szCs w:val="14"/>
          <w:color w:val="262626"/>
        </w:rPr>
        <w:t xml:space="preserve">Reflects target grant-date fair value, based on </w:t>
      </w:r>
      <w:r>
        <w:rPr>
          <w:rFonts w:ascii="Arial" w:cs="Arial" w:eastAsia="Arial" w:hAnsi="Arial"/>
          <w:sz w:val="14"/>
          <w:szCs w:val="14"/>
          <w:color w:val="000000"/>
        </w:rPr>
        <w:t>the closing price of our Common Stock as quoted on the Nasdaq Stock Market (“Nasdaq”) for the last market-trading day prior</w:t>
      </w:r>
      <w:r>
        <w:rPr>
          <w:rFonts w:ascii="Arial" w:cs="Arial" w:eastAsia="Arial" w:hAnsi="Arial"/>
          <w:sz w:val="14"/>
          <w:szCs w:val="14"/>
          <w:color w:val="262626"/>
        </w:rPr>
        <w:t xml:space="preserve"> </w:t>
      </w:r>
      <w:r>
        <w:rPr>
          <w:rFonts w:ascii="Arial" w:cs="Arial" w:eastAsia="Arial" w:hAnsi="Arial"/>
          <w:sz w:val="14"/>
          <w:szCs w:val="14"/>
          <w:color w:val="000000"/>
        </w:rPr>
        <w:t>to the date of grant</w:t>
      </w:r>
      <w:r>
        <w:rPr>
          <w:rFonts w:ascii="Arial" w:cs="Arial" w:eastAsia="Arial" w:hAnsi="Arial"/>
          <w:sz w:val="14"/>
          <w:szCs w:val="14"/>
          <w:color w:val="262626"/>
        </w:rPr>
        <w:t>.</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Historically, long-term incentive awards for all executive officers have been made in the first quarter of the fiscal year, with the exact grant date occurring on or after the date of the Compensation Committee’s approval. The Compensation Committee does not factor any material non-public information into the timing of grants of equity awards. Further, the Company does not time the disclosure of material non-public information for purposes of affecting the value of executive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Goals Involve Highly Confidential Information</w:t>
      </w:r>
    </w:p>
    <w:p>
      <w:pPr>
        <w:spacing w:after="0" w:line="2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with the strategic goals under our STI plan discussed above, we do not publicly disclose the specific targets for any PRSU awards or additional stretch performance conditions that are based on operational metrics because those goals involve highly confidential information that, if disclosed, could cause irreparable competitive harm to the Company, and therefore, to its shareholders. However, in this discussion, we endeavor to provide visibility into the details of operational metrics where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RSUs Granted in Fiscal 2025</w:t>
      </w:r>
    </w:p>
    <w:p>
      <w:pPr>
        <w:spacing w:after="0" w:line="236"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The PRSUs granted in Fiscal 2025 (the “2025 PRSU Awards”) vest based on actual performance against goals for three metrics, as described below. While the overall PRSU structure and weightings remain consistent with Fiscal 2024 PRSU Awards, the Operational goals were adjusted to drive increased focus on the data center, with the addition of data center SSD metrics. The Compensation Committee believed focusing on these strategic imperatives to further strengthen our data center portfolio would position the Company well and benefit shareholders.</w:t>
      </w: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14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Percentage of 2025</w:t>
            </w:r>
          </w:p>
        </w:tc>
      </w:tr>
      <w:tr>
        <w:trPr>
          <w:trHeight w:val="254"/>
        </w:trPr>
        <w:tc>
          <w:tcPr>
            <w:tcW w:w="1500" w:type="dxa"/>
            <w:vAlign w:val="bottom"/>
            <w:tcBorders>
              <w:bottom w:val="single" w:sz="8" w:color="BD03F7"/>
            </w:tcBorders>
          </w:tcPr>
          <w:p>
            <w:pPr>
              <w:spacing w:after="0"/>
              <w:rPr>
                <w:sz w:val="20"/>
                <w:szCs w:val="20"/>
                <w:color w:val="auto"/>
              </w:rPr>
            </w:pPr>
            <w:r>
              <w:rPr>
                <w:rFonts w:ascii="Arial" w:cs="Arial" w:eastAsia="Arial" w:hAnsi="Arial"/>
                <w:sz w:val="18"/>
                <w:szCs w:val="18"/>
                <w:b w:val="1"/>
                <w:bCs w:val="1"/>
                <w:color w:val="auto"/>
              </w:rPr>
              <w:t>Metric Category</w:t>
            </w:r>
          </w:p>
        </w:tc>
        <w:tc>
          <w:tcPr>
            <w:tcW w:w="3280" w:type="dxa"/>
            <w:vAlign w:val="bottom"/>
            <w:tcBorders>
              <w:bottom w:val="single" w:sz="8" w:color="BD03F7"/>
            </w:tcBorders>
            <w:gridSpan w:val="2"/>
          </w:tcPr>
          <w:p>
            <w:pPr>
              <w:ind w:left="160"/>
              <w:spacing w:after="0"/>
              <w:rPr>
                <w:sz w:val="20"/>
                <w:szCs w:val="20"/>
                <w:color w:val="auto"/>
              </w:rPr>
            </w:pPr>
            <w:r>
              <w:rPr>
                <w:rFonts w:ascii="Arial" w:cs="Arial" w:eastAsia="Arial" w:hAnsi="Arial"/>
                <w:sz w:val="18"/>
                <w:szCs w:val="18"/>
                <w:b w:val="1"/>
                <w:bCs w:val="1"/>
                <w:color w:val="auto"/>
              </w:rPr>
              <w:t>Name</w:t>
            </w:r>
          </w:p>
        </w:tc>
        <w:tc>
          <w:tcPr>
            <w:tcW w:w="4180" w:type="dxa"/>
            <w:vAlign w:val="bottom"/>
            <w:tcBorders>
              <w:bottom w:val="single" w:sz="8" w:color="BD03F7"/>
            </w:tcBorders>
          </w:tcPr>
          <w:p>
            <w:pPr>
              <w:ind w:left="180"/>
              <w:spacing w:after="0"/>
              <w:rPr>
                <w:sz w:val="20"/>
                <w:szCs w:val="20"/>
                <w:color w:val="auto"/>
              </w:rPr>
            </w:pPr>
            <w:r>
              <w:rPr>
                <w:rFonts w:ascii="Arial" w:cs="Arial" w:eastAsia="Arial" w:hAnsi="Arial"/>
                <w:sz w:val="18"/>
                <w:szCs w:val="18"/>
                <w:b w:val="1"/>
                <w:bCs w:val="1"/>
                <w:color w:val="auto"/>
              </w:rPr>
              <w:t>Performance Metric</w:t>
            </w:r>
          </w:p>
        </w:tc>
        <w:tc>
          <w:tcPr>
            <w:tcW w:w="2140" w:type="dxa"/>
            <w:vAlign w:val="bottom"/>
            <w:tcBorders>
              <w:bottom w:val="single" w:sz="8" w:color="BD03F7"/>
            </w:tcBorders>
          </w:tcPr>
          <w:p>
            <w:pPr>
              <w:jc w:val="center"/>
              <w:ind w:left="70"/>
              <w:spacing w:after="0"/>
              <w:rPr>
                <w:sz w:val="20"/>
                <w:szCs w:val="20"/>
                <w:color w:val="auto"/>
              </w:rPr>
            </w:pPr>
            <w:r>
              <w:rPr>
                <w:rFonts w:ascii="Arial" w:cs="Arial" w:eastAsia="Arial" w:hAnsi="Arial"/>
                <w:sz w:val="18"/>
                <w:szCs w:val="18"/>
                <w:b w:val="1"/>
                <w:bCs w:val="1"/>
                <w:color w:val="auto"/>
                <w:w w:val="98"/>
              </w:rPr>
              <w:t>PRSU Award Value(1)</w:t>
            </w:r>
          </w:p>
        </w:tc>
      </w:tr>
      <w:tr>
        <w:trPr>
          <w:trHeight w:val="40"/>
        </w:trPr>
        <w:tc>
          <w:tcPr>
            <w:tcW w:w="1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55"/>
        </w:trPr>
        <w:tc>
          <w:tcPr>
            <w:tcW w:w="1500" w:type="dxa"/>
            <w:vAlign w:val="bottom"/>
            <w:shd w:val="clear" w:color="auto" w:fill="F2F2F2"/>
          </w:tcPr>
          <w:p>
            <w:pPr>
              <w:spacing w:after="0"/>
              <w:rPr>
                <w:sz w:val="20"/>
                <w:szCs w:val="20"/>
                <w:color w:val="auto"/>
              </w:rPr>
            </w:pPr>
            <w:r>
              <w:rPr>
                <w:rFonts w:ascii="Arial" w:cs="Arial" w:eastAsia="Arial" w:hAnsi="Arial"/>
                <w:sz w:val="18"/>
                <w:szCs w:val="18"/>
                <w:color w:val="auto"/>
              </w:rPr>
              <w:t>Operational</w:t>
            </w:r>
          </w:p>
        </w:tc>
        <w:tc>
          <w:tcPr>
            <w:tcW w:w="580" w:type="dxa"/>
            <w:vAlign w:val="bottom"/>
            <w:shd w:val="clear" w:color="auto" w:fill="F2F2F2"/>
          </w:tcPr>
          <w:p>
            <w:pPr>
              <w:ind w:left="160"/>
              <w:spacing w:after="0"/>
              <w:rPr>
                <w:sz w:val="20"/>
                <w:szCs w:val="20"/>
                <w:color w:val="auto"/>
              </w:rPr>
            </w:pPr>
            <w:r>
              <w:rPr>
                <w:rFonts w:ascii="Arial" w:cs="Arial" w:eastAsia="Arial" w:hAnsi="Arial"/>
                <w:sz w:val="18"/>
                <w:szCs w:val="18"/>
                <w:color w:val="auto"/>
                <w:w w:val="99"/>
              </w:rPr>
              <w:t>2025</w:t>
            </w:r>
          </w:p>
        </w:tc>
        <w:tc>
          <w:tcPr>
            <w:tcW w:w="2700" w:type="dxa"/>
            <w:vAlign w:val="bottom"/>
            <w:shd w:val="clear" w:color="auto" w:fill="F2F2F2"/>
          </w:tcPr>
          <w:p>
            <w:pPr>
              <w:ind w:left="20"/>
              <w:spacing w:after="0"/>
              <w:rPr>
                <w:sz w:val="20"/>
                <w:szCs w:val="20"/>
                <w:color w:val="auto"/>
              </w:rPr>
            </w:pPr>
            <w:r>
              <w:rPr>
                <w:rFonts w:ascii="Arial" w:cs="Arial" w:eastAsia="Arial" w:hAnsi="Arial"/>
                <w:sz w:val="18"/>
                <w:szCs w:val="18"/>
                <w:color w:val="auto"/>
              </w:rPr>
              <w:t>HBM3E+ PRSU Award</w:t>
            </w:r>
          </w:p>
        </w:tc>
        <w:tc>
          <w:tcPr>
            <w:tcW w:w="4180" w:type="dxa"/>
            <w:vAlign w:val="bottom"/>
            <w:shd w:val="clear" w:color="auto" w:fill="F2F2F2"/>
          </w:tcPr>
          <w:p>
            <w:pPr>
              <w:ind w:left="180"/>
              <w:spacing w:after="0"/>
              <w:rPr>
                <w:sz w:val="20"/>
                <w:szCs w:val="20"/>
                <w:color w:val="auto"/>
              </w:rPr>
            </w:pPr>
            <w:r>
              <w:rPr>
                <w:rFonts w:ascii="Arial" w:cs="Arial" w:eastAsia="Arial" w:hAnsi="Arial"/>
                <w:sz w:val="18"/>
                <w:szCs w:val="18"/>
                <w:color w:val="auto"/>
              </w:rPr>
              <w:t>HBM3E+ market share or bit shipments</w:t>
            </w:r>
          </w:p>
        </w:tc>
        <w:tc>
          <w:tcPr>
            <w:tcW w:w="2140" w:type="dxa"/>
            <w:vAlign w:val="bottom"/>
            <w:shd w:val="clear" w:color="auto" w:fill="F2F2F2"/>
          </w:tcPr>
          <w:p>
            <w:pPr>
              <w:jc w:val="center"/>
              <w:ind w:left="50"/>
              <w:spacing w:after="0"/>
              <w:rPr>
                <w:sz w:val="20"/>
                <w:szCs w:val="20"/>
                <w:color w:val="auto"/>
              </w:rPr>
            </w:pPr>
            <w:r>
              <w:rPr>
                <w:rFonts w:ascii="Arial" w:cs="Arial" w:eastAsia="Arial" w:hAnsi="Arial"/>
                <w:sz w:val="18"/>
                <w:szCs w:val="18"/>
                <w:color w:val="auto"/>
                <w:w w:val="99"/>
              </w:rPr>
              <w:t>25%</w:t>
            </w:r>
          </w:p>
        </w:tc>
      </w:tr>
      <w:tr>
        <w:trPr>
          <w:trHeight w:val="247"/>
        </w:trPr>
        <w:tc>
          <w:tcPr>
            <w:tcW w:w="1500" w:type="dxa"/>
            <w:vAlign w:val="bottom"/>
          </w:tcPr>
          <w:p>
            <w:pPr>
              <w:spacing w:after="0"/>
              <w:rPr>
                <w:sz w:val="20"/>
                <w:szCs w:val="20"/>
                <w:color w:val="auto"/>
              </w:rPr>
            </w:pPr>
            <w:r>
              <w:rPr>
                <w:rFonts w:ascii="Arial" w:cs="Arial" w:eastAsia="Arial" w:hAnsi="Arial"/>
                <w:sz w:val="18"/>
                <w:szCs w:val="18"/>
                <w:color w:val="auto"/>
              </w:rPr>
              <w:t>Operational</w:t>
            </w:r>
          </w:p>
        </w:tc>
        <w:tc>
          <w:tcPr>
            <w:tcW w:w="580" w:type="dxa"/>
            <w:vAlign w:val="bottom"/>
          </w:tcPr>
          <w:p>
            <w:pPr>
              <w:ind w:left="160"/>
              <w:spacing w:after="0"/>
              <w:rPr>
                <w:sz w:val="20"/>
                <w:szCs w:val="20"/>
                <w:color w:val="auto"/>
              </w:rPr>
            </w:pPr>
            <w:r>
              <w:rPr>
                <w:rFonts w:ascii="Arial" w:cs="Arial" w:eastAsia="Arial" w:hAnsi="Arial"/>
                <w:sz w:val="18"/>
                <w:szCs w:val="18"/>
                <w:color w:val="auto"/>
                <w:w w:val="99"/>
              </w:rPr>
              <w:t>2025</w:t>
            </w:r>
          </w:p>
        </w:tc>
        <w:tc>
          <w:tcPr>
            <w:tcW w:w="2700" w:type="dxa"/>
            <w:vAlign w:val="bottom"/>
          </w:tcPr>
          <w:p>
            <w:pPr>
              <w:ind w:left="20"/>
              <w:spacing w:after="0"/>
              <w:rPr>
                <w:sz w:val="20"/>
                <w:szCs w:val="20"/>
                <w:color w:val="auto"/>
              </w:rPr>
            </w:pPr>
            <w:r>
              <w:rPr>
                <w:rFonts w:ascii="Arial" w:cs="Arial" w:eastAsia="Arial" w:hAnsi="Arial"/>
                <w:sz w:val="18"/>
                <w:szCs w:val="18"/>
                <w:color w:val="auto"/>
              </w:rPr>
              <w:t>Data Center SSD PRSU Award</w:t>
            </w:r>
          </w:p>
        </w:tc>
        <w:tc>
          <w:tcPr>
            <w:tcW w:w="4180" w:type="dxa"/>
            <w:vAlign w:val="bottom"/>
          </w:tcPr>
          <w:p>
            <w:pPr>
              <w:ind w:left="180"/>
              <w:spacing w:after="0"/>
              <w:rPr>
                <w:sz w:val="20"/>
                <w:szCs w:val="20"/>
                <w:color w:val="auto"/>
              </w:rPr>
            </w:pPr>
            <w:r>
              <w:rPr>
                <w:rFonts w:ascii="Arial" w:cs="Arial" w:eastAsia="Arial" w:hAnsi="Arial"/>
                <w:sz w:val="18"/>
                <w:szCs w:val="18"/>
                <w:color w:val="auto"/>
              </w:rPr>
              <w:t>Data center SSD market share or bit shipments</w:t>
            </w:r>
          </w:p>
        </w:tc>
        <w:tc>
          <w:tcPr>
            <w:tcW w:w="2140" w:type="dxa"/>
            <w:vAlign w:val="bottom"/>
          </w:tcPr>
          <w:p>
            <w:pPr>
              <w:jc w:val="center"/>
              <w:ind w:left="50"/>
              <w:spacing w:after="0"/>
              <w:rPr>
                <w:sz w:val="20"/>
                <w:szCs w:val="20"/>
                <w:color w:val="auto"/>
              </w:rPr>
            </w:pPr>
            <w:r>
              <w:rPr>
                <w:rFonts w:ascii="Arial" w:cs="Arial" w:eastAsia="Arial" w:hAnsi="Arial"/>
                <w:sz w:val="18"/>
                <w:szCs w:val="18"/>
                <w:color w:val="auto"/>
                <w:w w:val="99"/>
              </w:rPr>
              <w:t>25%</w:t>
            </w:r>
          </w:p>
        </w:tc>
      </w:tr>
      <w:tr>
        <w:trPr>
          <w:trHeight w:val="205"/>
        </w:trPr>
        <w:tc>
          <w:tcPr>
            <w:tcW w:w="1500" w:type="dxa"/>
            <w:vAlign w:val="bottom"/>
            <w:shd w:val="clear" w:color="auto" w:fill="F2F2F2"/>
          </w:tcPr>
          <w:p>
            <w:pPr>
              <w:spacing w:after="0" w:line="205" w:lineRule="exact"/>
              <w:rPr>
                <w:sz w:val="20"/>
                <w:szCs w:val="20"/>
                <w:color w:val="auto"/>
              </w:rPr>
            </w:pPr>
            <w:r>
              <w:rPr>
                <w:rFonts w:ascii="Arial" w:cs="Arial" w:eastAsia="Arial" w:hAnsi="Arial"/>
                <w:sz w:val="18"/>
                <w:szCs w:val="18"/>
                <w:color w:val="auto"/>
              </w:rPr>
              <w:t>Financial</w:t>
            </w:r>
          </w:p>
        </w:tc>
        <w:tc>
          <w:tcPr>
            <w:tcW w:w="3280" w:type="dxa"/>
            <w:vAlign w:val="bottom"/>
            <w:gridSpan w:val="2"/>
            <w:shd w:val="clear" w:color="auto" w:fill="F2F2F2"/>
          </w:tcPr>
          <w:p>
            <w:pPr>
              <w:ind w:left="160"/>
              <w:spacing w:after="0" w:line="205" w:lineRule="exact"/>
              <w:rPr>
                <w:sz w:val="20"/>
                <w:szCs w:val="20"/>
                <w:color w:val="auto"/>
              </w:rPr>
            </w:pPr>
            <w:r>
              <w:rPr>
                <w:rFonts w:ascii="Arial" w:cs="Arial" w:eastAsia="Arial" w:hAnsi="Arial"/>
                <w:sz w:val="18"/>
                <w:szCs w:val="18"/>
                <w:color w:val="auto"/>
              </w:rPr>
              <w:t>2025 rTSR PRSU Award</w:t>
            </w:r>
          </w:p>
        </w:tc>
        <w:tc>
          <w:tcPr>
            <w:tcW w:w="4180" w:type="dxa"/>
            <w:vAlign w:val="bottom"/>
            <w:shd w:val="clear" w:color="auto" w:fill="F2F2F2"/>
          </w:tcPr>
          <w:p>
            <w:pPr>
              <w:ind w:left="180"/>
              <w:spacing w:after="0" w:line="205" w:lineRule="exact"/>
              <w:rPr>
                <w:sz w:val="20"/>
                <w:szCs w:val="20"/>
                <w:color w:val="auto"/>
              </w:rPr>
            </w:pPr>
            <w:r>
              <w:rPr>
                <w:rFonts w:ascii="Arial" w:cs="Arial" w:eastAsia="Arial" w:hAnsi="Arial"/>
                <w:sz w:val="18"/>
                <w:szCs w:val="18"/>
                <w:color w:val="auto"/>
              </w:rPr>
              <w:t>Company TSR compound annual growth rate</w:t>
            </w:r>
          </w:p>
        </w:tc>
        <w:tc>
          <w:tcPr>
            <w:tcW w:w="2140" w:type="dxa"/>
            <w:vAlign w:val="bottom"/>
            <w:shd w:val="clear" w:color="auto" w:fill="F2F2F2"/>
          </w:tcPr>
          <w:p>
            <w:pPr>
              <w:jc w:val="center"/>
              <w:ind w:left="50"/>
              <w:spacing w:after="0" w:line="205" w:lineRule="exact"/>
              <w:rPr>
                <w:sz w:val="20"/>
                <w:szCs w:val="20"/>
                <w:color w:val="auto"/>
              </w:rPr>
            </w:pPr>
            <w:r>
              <w:rPr>
                <w:rFonts w:ascii="Arial" w:cs="Arial" w:eastAsia="Arial" w:hAnsi="Arial"/>
                <w:sz w:val="18"/>
                <w:szCs w:val="18"/>
                <w:color w:val="auto"/>
                <w:w w:val="99"/>
              </w:rPr>
              <w:t>50%</w:t>
            </w:r>
          </w:p>
        </w:tc>
      </w:tr>
      <w:tr>
        <w:trPr>
          <w:trHeight w:val="188"/>
        </w:trPr>
        <w:tc>
          <w:tcPr>
            <w:tcW w:w="1500" w:type="dxa"/>
            <w:vAlign w:val="bottom"/>
            <w:shd w:val="clear" w:color="auto" w:fill="F2F2F2"/>
          </w:tcPr>
          <w:p>
            <w:pPr>
              <w:spacing w:after="0"/>
              <w:rPr>
                <w:sz w:val="16"/>
                <w:szCs w:val="16"/>
                <w:color w:val="auto"/>
              </w:rPr>
            </w:pPr>
          </w:p>
        </w:tc>
        <w:tc>
          <w:tcPr>
            <w:tcW w:w="580" w:type="dxa"/>
            <w:vAlign w:val="bottom"/>
            <w:shd w:val="clear" w:color="auto" w:fill="F2F2F2"/>
          </w:tcPr>
          <w:p>
            <w:pPr>
              <w:spacing w:after="0"/>
              <w:rPr>
                <w:sz w:val="16"/>
                <w:szCs w:val="16"/>
                <w:color w:val="auto"/>
              </w:rPr>
            </w:pPr>
          </w:p>
        </w:tc>
        <w:tc>
          <w:tcPr>
            <w:tcW w:w="2700" w:type="dxa"/>
            <w:vAlign w:val="bottom"/>
            <w:shd w:val="clear" w:color="auto" w:fill="F2F2F2"/>
          </w:tcPr>
          <w:p>
            <w:pPr>
              <w:spacing w:after="0"/>
              <w:rPr>
                <w:sz w:val="16"/>
                <w:szCs w:val="16"/>
                <w:color w:val="auto"/>
              </w:rPr>
            </w:pPr>
          </w:p>
        </w:tc>
        <w:tc>
          <w:tcPr>
            <w:tcW w:w="4180" w:type="dxa"/>
            <w:vAlign w:val="bottom"/>
            <w:shd w:val="clear" w:color="auto" w:fill="F2F2F2"/>
          </w:tcPr>
          <w:p>
            <w:pPr>
              <w:ind w:left="180"/>
              <w:spacing w:after="0" w:line="189" w:lineRule="exact"/>
              <w:rPr>
                <w:sz w:val="20"/>
                <w:szCs w:val="20"/>
                <w:color w:val="auto"/>
              </w:rPr>
            </w:pPr>
            <w:r>
              <w:rPr>
                <w:rFonts w:ascii="Arial" w:cs="Arial" w:eastAsia="Arial" w:hAnsi="Arial"/>
                <w:sz w:val="18"/>
                <w:szCs w:val="18"/>
                <w:color w:val="auto"/>
              </w:rPr>
              <w:t>relative to the 55th percentile (target) TSR</w:t>
            </w:r>
          </w:p>
        </w:tc>
        <w:tc>
          <w:tcPr>
            <w:tcW w:w="2140" w:type="dxa"/>
            <w:vAlign w:val="bottom"/>
            <w:shd w:val="clear" w:color="auto" w:fill="F2F2F2"/>
          </w:tcPr>
          <w:p>
            <w:pPr>
              <w:spacing w:after="0"/>
              <w:rPr>
                <w:sz w:val="16"/>
                <w:szCs w:val="16"/>
                <w:color w:val="auto"/>
              </w:rPr>
            </w:pPr>
          </w:p>
        </w:tc>
      </w:tr>
      <w:tr>
        <w:trPr>
          <w:trHeight w:val="202"/>
        </w:trPr>
        <w:tc>
          <w:tcPr>
            <w:tcW w:w="1500" w:type="dxa"/>
            <w:vAlign w:val="bottom"/>
            <w:shd w:val="clear" w:color="auto" w:fill="F2F2F2"/>
          </w:tcPr>
          <w:p>
            <w:pPr>
              <w:spacing w:after="0"/>
              <w:rPr>
                <w:sz w:val="17"/>
                <w:szCs w:val="17"/>
                <w:color w:val="auto"/>
              </w:rPr>
            </w:pPr>
          </w:p>
        </w:tc>
        <w:tc>
          <w:tcPr>
            <w:tcW w:w="580" w:type="dxa"/>
            <w:vAlign w:val="bottom"/>
            <w:shd w:val="clear" w:color="auto" w:fill="F2F2F2"/>
          </w:tcPr>
          <w:p>
            <w:pPr>
              <w:spacing w:after="0"/>
              <w:rPr>
                <w:sz w:val="17"/>
                <w:szCs w:val="17"/>
                <w:color w:val="auto"/>
              </w:rPr>
            </w:pPr>
          </w:p>
        </w:tc>
        <w:tc>
          <w:tcPr>
            <w:tcW w:w="2700" w:type="dxa"/>
            <w:vAlign w:val="bottom"/>
            <w:shd w:val="clear" w:color="auto" w:fill="F2F2F2"/>
          </w:tcPr>
          <w:p>
            <w:pPr>
              <w:spacing w:after="0"/>
              <w:rPr>
                <w:sz w:val="17"/>
                <w:szCs w:val="17"/>
                <w:color w:val="auto"/>
              </w:rPr>
            </w:pPr>
          </w:p>
        </w:tc>
        <w:tc>
          <w:tcPr>
            <w:tcW w:w="4180" w:type="dxa"/>
            <w:vAlign w:val="bottom"/>
            <w:shd w:val="clear" w:color="auto" w:fill="F2F2F2"/>
          </w:tcPr>
          <w:p>
            <w:pPr>
              <w:ind w:left="180"/>
              <w:spacing w:after="0" w:line="201" w:lineRule="exact"/>
              <w:rPr>
                <w:sz w:val="20"/>
                <w:szCs w:val="20"/>
                <w:color w:val="auto"/>
              </w:rPr>
            </w:pPr>
            <w:r>
              <w:rPr>
                <w:rFonts w:ascii="Arial" w:cs="Arial" w:eastAsia="Arial" w:hAnsi="Arial"/>
                <w:sz w:val="18"/>
                <w:szCs w:val="18"/>
                <w:color w:val="auto"/>
              </w:rPr>
              <w:t>compound annual growth rate within the SOX</w:t>
            </w:r>
          </w:p>
        </w:tc>
        <w:tc>
          <w:tcPr>
            <w:tcW w:w="2140" w:type="dxa"/>
            <w:vAlign w:val="bottom"/>
            <w:shd w:val="clear" w:color="auto" w:fill="F2F2F2"/>
          </w:tcPr>
          <w:p>
            <w:pPr>
              <w:spacing w:after="0"/>
              <w:rPr>
                <w:sz w:val="17"/>
                <w:szCs w:val="17"/>
                <w:color w:val="auto"/>
              </w:rPr>
            </w:pPr>
          </w:p>
        </w:tc>
      </w:tr>
      <w:tr>
        <w:trPr>
          <w:trHeight w:val="254"/>
        </w:trPr>
        <w:tc>
          <w:tcPr>
            <w:tcW w:w="1500" w:type="dxa"/>
            <w:vAlign w:val="bottom"/>
            <w:tcBorders>
              <w:bottom w:val="single" w:sz="8" w:color="F2F2F2"/>
            </w:tcBorders>
            <w:shd w:val="clear" w:color="auto" w:fill="F2F2F2"/>
          </w:tcPr>
          <w:p>
            <w:pPr>
              <w:spacing w:after="0"/>
              <w:rPr>
                <w:sz w:val="22"/>
                <w:szCs w:val="22"/>
                <w:color w:val="auto"/>
              </w:rPr>
            </w:pPr>
          </w:p>
        </w:tc>
        <w:tc>
          <w:tcPr>
            <w:tcW w:w="580" w:type="dxa"/>
            <w:vAlign w:val="bottom"/>
            <w:tcBorders>
              <w:bottom w:val="single" w:sz="8" w:color="F2F2F2"/>
            </w:tcBorders>
            <w:shd w:val="clear" w:color="auto" w:fill="F2F2F2"/>
          </w:tcPr>
          <w:p>
            <w:pPr>
              <w:spacing w:after="0"/>
              <w:rPr>
                <w:sz w:val="22"/>
                <w:szCs w:val="22"/>
                <w:color w:val="auto"/>
              </w:rPr>
            </w:pPr>
          </w:p>
        </w:tc>
        <w:tc>
          <w:tcPr>
            <w:tcW w:w="2700" w:type="dxa"/>
            <w:vAlign w:val="bottom"/>
            <w:tcBorders>
              <w:bottom w:val="single" w:sz="8" w:color="F2F2F2"/>
            </w:tcBorders>
            <w:shd w:val="clear" w:color="auto" w:fill="F2F2F2"/>
          </w:tcPr>
          <w:p>
            <w:pPr>
              <w:spacing w:after="0"/>
              <w:rPr>
                <w:sz w:val="22"/>
                <w:szCs w:val="22"/>
                <w:color w:val="auto"/>
              </w:rPr>
            </w:pPr>
          </w:p>
        </w:tc>
        <w:tc>
          <w:tcPr>
            <w:tcW w:w="418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8"/>
                <w:szCs w:val="18"/>
                <w:color w:val="auto"/>
              </w:rPr>
              <w:t>Index.</w:t>
            </w:r>
          </w:p>
        </w:tc>
        <w:tc>
          <w:tcPr>
            <w:tcW w:w="2140" w:type="dxa"/>
            <w:vAlign w:val="bottom"/>
            <w:tcBorders>
              <w:bottom w:val="single" w:sz="8" w:color="F2F2F2"/>
            </w:tcBorders>
            <w:shd w:val="clear" w:color="auto" w:fill="F2F2F2"/>
          </w:tcPr>
          <w:p>
            <w:pPr>
              <w:spacing w:after="0"/>
              <w:rPr>
                <w:sz w:val="22"/>
                <w:szCs w:val="22"/>
                <w:color w:val="auto"/>
              </w:rPr>
            </w:pPr>
          </w:p>
        </w:tc>
      </w:tr>
      <w:tr>
        <w:trPr>
          <w:trHeight w:val="20"/>
        </w:trPr>
        <w:tc>
          <w:tcPr>
            <w:tcW w:w="1500" w:type="dxa"/>
            <w:vAlign w:val="bottom"/>
            <w:shd w:val="clear" w:color="auto" w:fill="BD03F7"/>
          </w:tcPr>
          <w:p>
            <w:pPr>
              <w:spacing w:after="0" w:line="20" w:lineRule="exact"/>
              <w:rPr>
                <w:sz w:val="1"/>
                <w:szCs w:val="1"/>
                <w:color w:val="auto"/>
              </w:rPr>
            </w:pPr>
          </w:p>
        </w:tc>
        <w:tc>
          <w:tcPr>
            <w:tcW w:w="580" w:type="dxa"/>
            <w:vAlign w:val="bottom"/>
            <w:shd w:val="clear" w:color="auto" w:fill="BD03F7"/>
          </w:tcPr>
          <w:p>
            <w:pPr>
              <w:spacing w:after="0" w:line="20" w:lineRule="exact"/>
              <w:rPr>
                <w:sz w:val="1"/>
                <w:szCs w:val="1"/>
                <w:color w:val="auto"/>
              </w:rPr>
            </w:pPr>
          </w:p>
        </w:tc>
        <w:tc>
          <w:tcPr>
            <w:tcW w:w="2700" w:type="dxa"/>
            <w:vAlign w:val="bottom"/>
            <w:shd w:val="clear" w:color="auto" w:fill="BD03F7"/>
          </w:tcPr>
          <w:p>
            <w:pPr>
              <w:spacing w:after="0" w:line="20" w:lineRule="exact"/>
              <w:rPr>
                <w:sz w:val="1"/>
                <w:szCs w:val="1"/>
                <w:color w:val="auto"/>
              </w:rPr>
            </w:pPr>
          </w:p>
        </w:tc>
        <w:tc>
          <w:tcPr>
            <w:tcW w:w="4180" w:type="dxa"/>
            <w:vAlign w:val="bottom"/>
            <w:shd w:val="clear" w:color="auto" w:fill="BD03F7"/>
          </w:tcPr>
          <w:p>
            <w:pPr>
              <w:spacing w:after="0" w:line="20" w:lineRule="exact"/>
              <w:rPr>
                <w:sz w:val="1"/>
                <w:szCs w:val="1"/>
                <w:color w:val="auto"/>
              </w:rPr>
            </w:pPr>
          </w:p>
        </w:tc>
        <w:tc>
          <w:tcPr>
            <w:tcW w:w="2140" w:type="dxa"/>
            <w:vAlign w:val="bottom"/>
            <w:shd w:val="clear" w:color="auto" w:fill="BD03F7"/>
          </w:tcPr>
          <w:p>
            <w:pPr>
              <w:spacing w:after="0" w:line="20" w:lineRule="exact"/>
              <w:rPr>
                <w:sz w:val="1"/>
                <w:szCs w:val="1"/>
                <w:color w:val="auto"/>
              </w:rPr>
            </w:pPr>
          </w:p>
        </w:tc>
      </w:tr>
    </w:tbl>
    <w:p>
      <w:pPr>
        <w:spacing w:after="0" w:line="58" w:lineRule="exact"/>
        <w:rPr>
          <w:sz w:val="20"/>
          <w:szCs w:val="20"/>
          <w:color w:val="auto"/>
        </w:rPr>
      </w:pPr>
    </w:p>
    <w:p>
      <w:pPr>
        <w:ind w:right="20" w:firstLine="7"/>
        <w:spacing w:after="0" w:line="282" w:lineRule="auto"/>
        <w:tabs>
          <w:tab w:leader="none" w:pos="203" w:val="left"/>
        </w:tabs>
        <w:numPr>
          <w:ilvl w:val="0"/>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The actual number of shares granted through the rTSR Award was lower than the number of shares granted for the Operational PRSU Awards due to application of the Monte Carlo valuation approach for the rTSR Award.</w:t>
      </w:r>
    </w:p>
    <w:p>
      <w:pPr>
        <w:spacing w:after="0" w:line="189" w:lineRule="exact"/>
        <w:rPr>
          <w:sz w:val="20"/>
          <w:szCs w:val="20"/>
          <w:color w:val="auto"/>
        </w:rPr>
      </w:pPr>
    </w:p>
    <w:p>
      <w:pPr>
        <w:ind w:right="620"/>
        <w:spacing w:after="0" w:line="285" w:lineRule="auto"/>
        <w:rPr>
          <w:sz w:val="20"/>
          <w:szCs w:val="20"/>
          <w:color w:val="auto"/>
        </w:rPr>
      </w:pPr>
      <w:r>
        <w:rPr>
          <w:rFonts w:ascii="Arial" w:cs="Arial" w:eastAsia="Arial" w:hAnsi="Arial"/>
          <w:sz w:val="18"/>
          <w:szCs w:val="18"/>
          <w:color w:val="auto"/>
        </w:rPr>
        <w:t>We refer to the 2025 HBM3E+ PRSU Award and the 2025 Data Center SSD PRSU Award collectively as the “2025 Operational PRSU Awards.”</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PRSUs may be earned (or “banked”) at the conclusion of year 2 and year 3 of the three-year period following the grant date (the “Performance Period”) based upon results against performance goals set at the beginning of the Performance Period. No shares will vest and be settled until the conclusion of the three-year period. For each Named Executive Officer, the actual number of PRSUs that will be earned and become eligible to vest under the 2025 PRSU Awards is the product of the executive’s target award and the payout factor that results from actual performance versus the pre-established performance goals (the “Payout Factor”), subject to the overall maximum payout at 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143510</wp:posOffset>
            </wp:positionV>
            <wp:extent cx="5733415" cy="30968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3341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Combined Cap on PRSU Earning and Vesting</w:t>
      </w:r>
    </w:p>
    <w:p>
      <w:pPr>
        <w:spacing w:after="0" w:line="25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maximum number of PRSUs that a Named Executive Officer may earn under all 2025 PRSU Awards is limited to 200% of the aggregate target number of PRSUs awarded to that executive. The maximum number of PRSUs that can be earned under the 2025 rTSR PRSU Award is 150% of the target number of rTSR PRSUs granted. The maximum number of PRSUs that can be earned under the 2025 Operational PRSU Awards generally is 200% of the target number of Operational PRSUs granted. However, the Compensation Committee has approved two additional stretch performance conditions under the 2025 Operational PRSU Awards, and achievement of each can increase the earning opportunity by an additional 33% of the 2025 Operational PRSU Awards target (or 66% of the 2025 Operational PRSU Awards target if both are achieved). The additional stretch performance conditions are selected because they are important strategic targets whose accomplishment is highly uncertain as the targets represent a stretch from an operational and execution perspective, and the Compensation Committee believes that their attainment would position the Company very well from a competitive standpoint in the future.</w:t>
      </w:r>
    </w:p>
    <w:p>
      <w:pPr>
        <w:spacing w:after="0" w:line="202"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Based on the design of the LTI plan, it is not possible to achieve the maximum of 200% of the aggregate target for the 2025 PRSU Awards without the achievement of both of the additional stretch performance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Operational PRSU Awards</w:t>
      </w: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Performance for the 2025 HBM3E+ PRSU Award, weighted 25% in the overall PRSU formula, refers to performance with respect to HBM3E+ products. HBM3E+ goal achievement is based on the higher of revenue-based market share or bit shipment achievement as measured each year. Performance for the 2025 Data Center SSD PRSU Award, also weighted 25% in the overall PRSU formula, refers to performance with respect to data center SSD products. Data center SSD achievement is based on the higher of revenue-based market share or bit shipment achievement as measured each year. In each case, payouts can range from 0% (for achievement below a specified threshold) to a maximum of 200% of the target number of PRSUs granted.</w:t>
      </w:r>
    </w:p>
    <w:p>
      <w:pPr>
        <w:spacing w:after="0" w:line="20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In addition, as noted above, the 2025 Operational PRSU Awards include two additional stretch performance conditions. The 2025 Operational PRSU additional stretch performance condition targets relate to NAND free cash flow and our U.S. DRAM manufacturing expansion. The Compensation Committee believes that attaining these additional stretch performance conditions, which would require a meaningful level of execution and effort, would enhance long-term shareholder value. Delivering on either of these additional stretch performance conditions will allow recipients to earn an additional 33% of the 2025 Operational PRSU Awards target (for a total of 66% of the 2025 Operational PRSU Awards target if both are achieved), subject to the overall maximum payout of 200% of target for the 2025 PRSU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PRSU Goals Require Strong Performance</w:t>
      </w:r>
    </w:p>
    <w:p>
      <w:pPr>
        <w:spacing w:after="0" w:line="23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When setting the target goals for the 2025 Operational PRSU Awards, the Compensation Committee believed that achievement would require stretch performance, a challenging level of execution and effort on the part of our Named Executive Officers, and that achievement of even</w:t>
      </w:r>
    </w:p>
    <w:p>
      <w:pPr>
        <w:ind w:right="360"/>
        <w:spacing w:after="0" w:line="248" w:lineRule="auto"/>
        <w:rPr>
          <w:sz w:val="20"/>
          <w:szCs w:val="20"/>
          <w:color w:val="auto"/>
        </w:rPr>
      </w:pPr>
      <w:r>
        <w:rPr>
          <w:rFonts w:ascii="Arial" w:cs="Arial" w:eastAsia="Arial" w:hAnsi="Arial"/>
          <w:sz w:val="18"/>
          <w:szCs w:val="18"/>
          <w:color w:val="auto"/>
        </w:rPr>
        <w:t>the threshold goals was uncertain. To achieve the established market share or bit shipment targets for the HBM3E+ PRSU Award and the Data Center SSD PRSU Award requires continued exceptional execution of our HBM and data center SSD product road maps.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Determination of Payout</w:t>
      </w:r>
    </w:p>
    <w:p>
      <w:pPr>
        <w:spacing w:after="0" w:line="2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Achievement levels with respect to the 2025 Operational PRSU Awards will be measured within 60 days after the end of each of year 2 and year 3 in the Performance Period (each, a “Certification Date”). On each Certification Date, the Compensation Committee will determine and certify the Payout Factors for the applicable fiscal year. In response to shareholder feedback, our 2025 Operational PRSU Awards are subject to full 3-year cliff vesting, such that no shares will vest and be settled before the end of the 3-year Performance Period. Any 2025 Operational PRSU Awards earned in year 2 of the Performance Period will be banked on the Certification Date that immediately follows year 2 of the Performance Period (Fiscal 2026). Shares that are banked under the 2025 Operational PRSUs from year 2, and any incremental shares under the 2025 Operational PRSUs earned in year 3 will vest and be settled upon the Certification Date that immediately follows year 3 of the Performance Period (the fiscal year ending September 2, 2027, or “Fiscal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rTSR PRSU Award</w:t>
      </w:r>
    </w:p>
    <w:p>
      <w:pPr>
        <w:spacing w:after="0" w:line="25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2025 rTSR PRSU Award ties 50% of each Named Executive Officer’s target 2025 PRSU Award to the Company’s TSR compound annual growth rate over the three-year Performance Period, as compared to the TSR compound annual growth rate of the companies in the SOX index, which is composed of companies primarily involved in the design, distribution, manufacture, and sale of semiconductors. The TSR component will be measured every day in year 2 and year 3 of the Performance Period, as described below. Similar to the 2025 Operational PRSU Awards, shares under the 2025 rTSR PRSU Award may be banked in year 2, but no shares will vest and be settled until the end of year 3 of the Performance Period. For the 2025 rTSR PRSU Award, the target level of performance is set at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SOX index. Additionally, the Payout Factor is capped and cannot exceed 100% if the Company’s absolute TSR is negative, even if relative performance achievement is above target.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Payout Factor</w:t>
      </w:r>
    </w:p>
    <w:p>
      <w:pPr>
        <w:spacing w:after="0" w:line="24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Payout Factor for the 2025 rTSR PRSU Award is based on the average of the Company’s three-year rTSR for each of the 60 days trailing the applicable measurement date (and including the measurement date), expressed as a compounded annual growth rate (the “TSR CAGR”), relative to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TSR CAGR (“rTSR CAGR”) of the companies in the SOX index. For this purpose, the SOX index is defined as the SOX constituents at each measurement date, excluding any company that has not been public for at least three years. The rTSR CAGR is calculated by subtracting the TSR CAGR at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SOX index from the Company’s TSR CAGR for that measurement date.</w:t>
      </w:r>
    </w:p>
    <w:p>
      <w:pPr>
        <w:spacing w:after="0" w:line="220"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The following table sets forth the Payout Factors under the 2025 rTSR PRSU Award for various levels of rTSR CAGR. If the rTSR CAGR achieved is between two of the specific levels shown below, the Payout Factor will be determined using straight line interpolation.</w:t>
      </w:r>
    </w:p>
    <w:tbl>
      <w:tblPr>
        <w:tblLayout w:type="fixed"/>
        <w:tblInd w:w="8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4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Payout Factor for the rTSR</w:t>
            </w:r>
          </w:p>
        </w:tc>
      </w:tr>
      <w:tr>
        <w:trPr>
          <w:trHeight w:val="254"/>
        </w:trPr>
        <w:tc>
          <w:tcPr>
            <w:tcW w:w="6360" w:type="dxa"/>
            <w:vAlign w:val="bottom"/>
            <w:tcBorders>
              <w:bottom w:val="single" w:sz="8" w:color="BD03F7"/>
            </w:tcBorders>
          </w:tcPr>
          <w:p>
            <w:pPr>
              <w:spacing w:after="0"/>
              <w:rPr>
                <w:sz w:val="20"/>
                <w:szCs w:val="20"/>
                <w:color w:val="auto"/>
              </w:rPr>
            </w:pPr>
            <w:r>
              <w:rPr>
                <w:rFonts w:ascii="Arial" w:cs="Arial" w:eastAsia="Arial" w:hAnsi="Arial"/>
                <w:sz w:val="18"/>
                <w:szCs w:val="18"/>
                <w:b w:val="1"/>
                <w:bCs w:val="1"/>
                <w:color w:val="auto"/>
              </w:rPr>
              <w:t>rTSR CAGR Achieved on a Measurement Date</w:t>
            </w:r>
          </w:p>
        </w:tc>
        <w:tc>
          <w:tcPr>
            <w:tcW w:w="4740" w:type="dxa"/>
            <w:vAlign w:val="bottom"/>
            <w:tcBorders>
              <w:bottom w:val="single" w:sz="8" w:color="BD03F7"/>
            </w:tcBorders>
          </w:tcPr>
          <w:p>
            <w:pPr>
              <w:jc w:val="right"/>
              <w:ind w:right="830"/>
              <w:spacing w:after="0"/>
              <w:rPr>
                <w:sz w:val="20"/>
                <w:szCs w:val="20"/>
                <w:color w:val="auto"/>
              </w:rPr>
            </w:pPr>
            <w:r>
              <w:rPr>
                <w:rFonts w:ascii="Arial" w:cs="Arial" w:eastAsia="Arial" w:hAnsi="Arial"/>
                <w:sz w:val="18"/>
                <w:szCs w:val="18"/>
                <w:b w:val="1"/>
                <w:bCs w:val="1"/>
                <w:color w:val="auto"/>
              </w:rPr>
              <w:t>CAGR</w:t>
            </w:r>
          </w:p>
        </w:tc>
      </w:tr>
      <w:tr>
        <w:trPr>
          <w:trHeight w:val="40"/>
        </w:trPr>
        <w:tc>
          <w:tcPr>
            <w:tcW w:w="636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28"/>
        </w:trPr>
        <w:tc>
          <w:tcPr>
            <w:tcW w:w="6360" w:type="dxa"/>
            <w:vAlign w:val="bottom"/>
            <w:shd w:val="clear" w:color="auto" w:fill="F2F2F2"/>
          </w:tcPr>
          <w:p>
            <w:pPr>
              <w:ind w:left="60"/>
              <w:spacing w:after="0"/>
              <w:rPr>
                <w:sz w:val="20"/>
                <w:szCs w:val="20"/>
                <w:color w:val="auto"/>
              </w:rPr>
            </w:pPr>
            <w:r>
              <w:rPr>
                <w:rFonts w:ascii="Arial" w:cs="Arial" w:eastAsia="Arial" w:hAnsi="Arial"/>
                <w:sz w:val="18"/>
                <w:szCs w:val="18"/>
                <w:color w:val="auto"/>
              </w:rPr>
              <w:t>Less than -50 percentage points (“ppts”)</w:t>
            </w:r>
          </w:p>
        </w:tc>
        <w:tc>
          <w:tcPr>
            <w:tcW w:w="47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0 %</w:t>
            </w:r>
          </w:p>
        </w:tc>
      </w:tr>
      <w:tr>
        <w:trPr>
          <w:trHeight w:val="228"/>
        </w:trPr>
        <w:tc>
          <w:tcPr>
            <w:tcW w:w="6360" w:type="dxa"/>
            <w:vAlign w:val="bottom"/>
          </w:tcPr>
          <w:p>
            <w:pPr>
              <w:ind w:left="60"/>
              <w:spacing w:after="0"/>
              <w:rPr>
                <w:sz w:val="20"/>
                <w:szCs w:val="20"/>
                <w:color w:val="auto"/>
              </w:rPr>
            </w:pPr>
            <w:r>
              <w:rPr>
                <w:rFonts w:ascii="Arial" w:cs="Arial" w:eastAsia="Arial" w:hAnsi="Arial"/>
                <w:sz w:val="18"/>
                <w:szCs w:val="18"/>
                <w:color w:val="auto"/>
              </w:rPr>
              <w:t>-50 ppts (“rTSR Threshold”)</w:t>
            </w:r>
          </w:p>
        </w:tc>
        <w:tc>
          <w:tcPr>
            <w:tcW w:w="47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28"/>
        </w:trPr>
        <w:tc>
          <w:tcPr>
            <w:tcW w:w="6360" w:type="dxa"/>
            <w:vAlign w:val="bottom"/>
            <w:shd w:val="clear" w:color="auto" w:fill="F2F2F2"/>
          </w:tcPr>
          <w:p>
            <w:pPr>
              <w:ind w:left="200"/>
              <w:spacing w:after="0"/>
              <w:rPr>
                <w:sz w:val="20"/>
                <w:szCs w:val="20"/>
                <w:color w:val="auto"/>
              </w:rPr>
            </w:pPr>
            <w:r>
              <w:rPr>
                <w:rFonts w:ascii="Arial" w:cs="Arial" w:eastAsia="Arial" w:hAnsi="Arial"/>
                <w:sz w:val="18"/>
                <w:szCs w:val="18"/>
                <w:color w:val="auto"/>
              </w:rPr>
              <w:t>0 ppts (“rTSR Target”)</w:t>
            </w:r>
          </w:p>
        </w:tc>
        <w:tc>
          <w:tcPr>
            <w:tcW w:w="47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100 %</w:t>
            </w:r>
          </w:p>
        </w:tc>
      </w:tr>
      <w:tr>
        <w:trPr>
          <w:trHeight w:val="228"/>
        </w:trPr>
        <w:tc>
          <w:tcPr>
            <w:tcW w:w="6360" w:type="dxa"/>
            <w:vAlign w:val="bottom"/>
            <w:tcBorders>
              <w:bottom w:val="single" w:sz="8" w:color="BD03F7"/>
            </w:tcBorders>
          </w:tcPr>
          <w:p>
            <w:pPr>
              <w:ind w:left="60"/>
              <w:spacing w:after="0"/>
              <w:rPr>
                <w:sz w:val="20"/>
                <w:szCs w:val="20"/>
                <w:color w:val="auto"/>
              </w:rPr>
            </w:pPr>
            <w:r>
              <w:rPr>
                <w:rFonts w:ascii="Arial" w:cs="Arial" w:eastAsia="Arial" w:hAnsi="Arial"/>
                <w:sz w:val="18"/>
                <w:szCs w:val="18"/>
                <w:color w:val="auto"/>
              </w:rPr>
              <w:t>+50 ppts or greater (“rTSR Maximum”)</w:t>
            </w:r>
          </w:p>
        </w:tc>
        <w:tc>
          <w:tcPr>
            <w:tcW w:w="474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150 %</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Additional Cap on rTSR PRSUs</w:t>
      </w:r>
    </w:p>
    <w:p>
      <w:pPr>
        <w:spacing w:after="0" w:line="248" w:lineRule="exact"/>
        <w:rPr>
          <w:sz w:val="20"/>
          <w:szCs w:val="20"/>
          <w:color w:val="auto"/>
        </w:rPr>
      </w:pPr>
    </w:p>
    <w:p>
      <w:pPr>
        <w:ind w:right="600"/>
        <w:spacing w:after="0" w:line="285" w:lineRule="auto"/>
        <w:rPr>
          <w:sz w:val="20"/>
          <w:szCs w:val="20"/>
          <w:color w:val="auto"/>
        </w:rPr>
      </w:pPr>
      <w:r>
        <w:rPr>
          <w:rFonts w:ascii="Arial" w:cs="Arial" w:eastAsia="Arial" w:hAnsi="Arial"/>
          <w:sz w:val="18"/>
          <w:szCs w:val="18"/>
          <w:color w:val="262626"/>
        </w:rPr>
        <w:t xml:space="preserve">The Payout Factor for the 2025 rTSR PRSU Award </w:t>
      </w:r>
      <w:r>
        <w:rPr>
          <w:rFonts w:ascii="Arial" w:cs="Arial" w:eastAsia="Arial" w:hAnsi="Arial"/>
          <w:sz w:val="18"/>
          <w:szCs w:val="18"/>
          <w:color w:val="000000"/>
        </w:rPr>
        <w:t>will be capped at the rTSR Target in the event that the Company’s absolute TSR is</w:t>
      </w:r>
      <w:r>
        <w:rPr>
          <w:rFonts w:ascii="Arial" w:cs="Arial" w:eastAsia="Arial" w:hAnsi="Arial"/>
          <w:sz w:val="18"/>
          <w:szCs w:val="18"/>
          <w:color w:val="262626"/>
        </w:rPr>
        <w:t xml:space="preserve"> </w:t>
      </w:r>
      <w:r>
        <w:rPr>
          <w:rFonts w:ascii="Arial" w:cs="Arial" w:eastAsia="Arial" w:hAnsi="Arial"/>
          <w:sz w:val="18"/>
          <w:szCs w:val="18"/>
          <w:color w:val="000000"/>
        </w:rPr>
        <w:t>negative, notwithstanding the level of relative performance achieved.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Determination of Payout</w:t>
      </w:r>
    </w:p>
    <w:p>
      <w:pPr>
        <w:spacing w:after="0" w:line="2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Beginning on the first day of Fiscal 2026 (the first measurement date in the Performance Period), the number of 2025 rTSR PRSUs that will be banked, if any, for a Named Executive Officer will equal the product of the Payout Factor and the target number of 2025 rTSR PRSUs granted to that executive. Thereafter, additional PRSUs can be earned and banked only if the Company attains a higher rTSR CAGR level on a later measurement date. The number of such additional banked PRSUs, if any, will be equal to the excess of the number of PRSUs that would be banked based on the new, higher Payout Factor minus the number of PRSUs that have already been banked. After the end of each of year 2 and year 3 of the Performance Period, the Compensation Committee will certify the number of PRSUs earned for such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PRSU Vesting</w:t>
      </w:r>
    </w:p>
    <w:p>
      <w:pPr>
        <w:spacing w:after="0" w:line="250" w:lineRule="exact"/>
        <w:rPr>
          <w:sz w:val="20"/>
          <w:szCs w:val="20"/>
          <w:color w:val="auto"/>
        </w:rPr>
      </w:pPr>
    </w:p>
    <w:p>
      <w:pPr>
        <w:jc w:val="both"/>
        <w:ind w:right="80"/>
        <w:spacing w:after="0" w:line="267" w:lineRule="auto"/>
        <w:rPr>
          <w:sz w:val="20"/>
          <w:szCs w:val="20"/>
          <w:color w:val="auto"/>
        </w:rPr>
      </w:pPr>
      <w:r>
        <w:rPr>
          <w:rFonts w:ascii="Arial" w:cs="Arial" w:eastAsia="Arial" w:hAnsi="Arial"/>
          <w:sz w:val="18"/>
          <w:szCs w:val="18"/>
          <w:color w:val="auto"/>
        </w:rPr>
        <w:t>After the end of year 2 of the Performance Period (Fiscal 2026), any of the 2025 rTSR and 2025 Operational PRSUs deemed earned, will be banked. Any earned and banked shares from year 2, along with any earned and banked shares from year 3 will vest on the Certification Date following year 3 of the Performance Period.</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If a Named Executive Officer terminates employment with the Company for any reason other than a termination by the Company for cause, any banked shares will continue to vest on the vesting schedule described above. No PRSUs will vest if a Named Executive Officer is terminated for cause. For this purpose, “cause” is as defined in the employment agreement between a Named Executive Officer and the Company, or if not so defined, as defined in the equity incentive plan under which the award was granted.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2025 PRSUs Achievement</w:t>
      </w:r>
    </w:p>
    <w:p>
      <w:pPr>
        <w:spacing w:after="0" w:line="250"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color w:val="auto"/>
        </w:rPr>
        <w:t>The measurement periods for the 2025 PRSU Awards do not begin until Fiscal 2026. No shares can be earned, banked, or vested during Fiscal 2025 under these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Restricted Stock Awards</w:t>
      </w:r>
    </w:p>
    <w:p>
      <w:pPr>
        <w:spacing w:after="0" w:line="25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Time-based RSAs support retention and are linked to shareholder value and ownership. RSAs granted in Fiscal 2025 will vest ratably over three years from the date of grant, subject to continued employment. In Fiscal 2025, RSAs made up 35% of the target value of the LTI awards granted to the Chief Executive Officer, and 50% of the target value of the LTI awards granted to the other Named Executive Officers.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Granted Fiscal 2024 Performance-Based RSUs</w:t>
      </w:r>
    </w:p>
    <w:p>
      <w:pPr>
        <w:spacing w:after="0" w:line="250" w:lineRule="exact"/>
        <w:rPr>
          <w:sz w:val="20"/>
          <w:szCs w:val="20"/>
          <w:color w:val="auto"/>
        </w:rPr>
      </w:pPr>
    </w:p>
    <w:p>
      <w:pPr>
        <w:jc w:val="both"/>
        <w:ind w:right="120"/>
        <w:spacing w:after="0" w:line="267" w:lineRule="auto"/>
        <w:rPr>
          <w:sz w:val="20"/>
          <w:szCs w:val="20"/>
          <w:color w:val="auto"/>
        </w:rPr>
      </w:pPr>
      <w:r>
        <w:rPr>
          <w:rFonts w:ascii="Arial" w:cs="Arial" w:eastAsia="Arial" w:hAnsi="Arial"/>
          <w:sz w:val="18"/>
          <w:szCs w:val="18"/>
          <w:color w:val="auto"/>
        </w:rPr>
        <w:t>Half of the earned 2024 PRSU Awards vested on the first Certification Date that immediately followed the end of Fiscal 2025. The remaining half of PRSUs earned as of that Certification Date are banked and will vest on the second Certification Date that immediately follows the end of Fiscal 2026, together with any incremental PRSUs that are earned during Fiscal 2026,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136525</wp:posOffset>
            </wp:positionV>
            <wp:extent cx="5784850" cy="30035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84850" cy="300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If a Named Executive Officer terminates employment with the Company, that executive’s 2024 PRSUs will vest or be forfeited in the manner described above for the 2025 PRSUs.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2024 PRSUs Achievement</w:t>
      </w:r>
    </w:p>
    <w:p>
      <w:pPr>
        <w:spacing w:after="0" w:line="250"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In October 2025, the Compensation Committee reviewed the Company’s performance relative to the performance goals for the 2024 PRSU Awards for Fiscal 2025—year 2 of the Performance Period—and confirmed the following results: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2024 PRSU Award Payout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20" w:type="dxa"/>
            <w:vAlign w:val="bottom"/>
            <w:tcBorders>
              <w:top w:val="single" w:sz="8" w:color="BD03F7"/>
            </w:tcBorders>
          </w:tcPr>
          <w:p>
            <w:pPr>
              <w:spacing w:after="0"/>
              <w:rPr>
                <w:sz w:val="22"/>
                <w:szCs w:val="22"/>
                <w:color w:val="auto"/>
              </w:rPr>
            </w:pPr>
          </w:p>
        </w:tc>
        <w:tc>
          <w:tcPr>
            <w:tcW w:w="980" w:type="dxa"/>
            <w:vAlign w:val="bottom"/>
            <w:tcBorders>
              <w:top w:val="single" w:sz="8" w:color="BD03F7"/>
              <w:bottom w:val="single" w:sz="8" w:color="BD03F7"/>
            </w:tcBorders>
          </w:tcPr>
          <w:p>
            <w:pPr>
              <w:spacing w:after="0"/>
              <w:rPr>
                <w:sz w:val="22"/>
                <w:szCs w:val="22"/>
                <w:color w:val="auto"/>
              </w:rPr>
            </w:pPr>
          </w:p>
        </w:tc>
        <w:tc>
          <w:tcPr>
            <w:tcW w:w="880" w:type="dxa"/>
            <w:vAlign w:val="bottom"/>
            <w:tcBorders>
              <w:top w:val="single" w:sz="8" w:color="BD03F7"/>
              <w:bottom w:val="single" w:sz="8" w:color="BD03F7"/>
            </w:tcBorders>
          </w:tcPr>
          <w:p>
            <w:pPr>
              <w:spacing w:after="0"/>
              <w:rPr>
                <w:sz w:val="22"/>
                <w:szCs w:val="22"/>
                <w:color w:val="auto"/>
              </w:rPr>
            </w:pPr>
          </w:p>
        </w:tc>
        <w:tc>
          <w:tcPr>
            <w:tcW w:w="3700" w:type="dxa"/>
            <w:vAlign w:val="bottom"/>
            <w:tcBorders>
              <w:top w:val="single" w:sz="8" w:color="BD03F7"/>
              <w:bottom w:val="single" w:sz="8" w:color="BD03F7"/>
            </w:tcBorders>
            <w:gridSpan w:val="4"/>
          </w:tcPr>
          <w:p>
            <w:pPr>
              <w:ind w:left="820"/>
              <w:spacing w:after="0"/>
              <w:rPr>
                <w:sz w:val="20"/>
                <w:szCs w:val="20"/>
                <w:color w:val="auto"/>
              </w:rPr>
            </w:pPr>
            <w:r>
              <w:rPr>
                <w:rFonts w:ascii="Arial" w:cs="Arial" w:eastAsia="Arial" w:hAnsi="Arial"/>
                <w:sz w:val="18"/>
                <w:szCs w:val="18"/>
                <w:b w:val="1"/>
                <w:bCs w:val="1"/>
                <w:color w:val="auto"/>
              </w:rPr>
              <w:t>Operational - 50% Weight</w:t>
            </w:r>
          </w:p>
        </w:tc>
        <w:tc>
          <w:tcPr>
            <w:tcW w:w="1100" w:type="dxa"/>
            <w:vAlign w:val="bottom"/>
            <w:tcBorders>
              <w:top w:val="single" w:sz="8" w:color="BD03F7"/>
              <w:bottom w:val="single" w:sz="8" w:color="BD03F7"/>
            </w:tcBorders>
          </w:tcPr>
          <w:p>
            <w:pPr>
              <w:spacing w:after="0"/>
              <w:rPr>
                <w:sz w:val="22"/>
                <w:szCs w:val="22"/>
                <w:color w:val="auto"/>
              </w:rPr>
            </w:pPr>
          </w:p>
        </w:tc>
        <w:tc>
          <w:tcPr>
            <w:tcW w:w="860" w:type="dxa"/>
            <w:vAlign w:val="bottom"/>
            <w:tcBorders>
              <w:top w:val="single" w:sz="8" w:color="BD03F7"/>
              <w:bottom w:val="single" w:sz="8" w:color="BD03F7"/>
            </w:tcBorders>
          </w:tcPr>
          <w:p>
            <w:pPr>
              <w:spacing w:after="0"/>
              <w:rPr>
                <w:sz w:val="22"/>
                <w:szCs w:val="22"/>
                <w:color w:val="auto"/>
              </w:rPr>
            </w:pPr>
          </w:p>
        </w:tc>
        <w:tc>
          <w:tcPr>
            <w:tcW w:w="740" w:type="dxa"/>
            <w:vAlign w:val="bottom"/>
            <w:tcBorders>
              <w:top w:val="single" w:sz="8" w:color="BD03F7"/>
            </w:tcBorders>
          </w:tcPr>
          <w:p>
            <w:pPr>
              <w:spacing w:after="0"/>
              <w:rPr>
                <w:sz w:val="22"/>
                <w:szCs w:val="22"/>
                <w:color w:val="auto"/>
              </w:rPr>
            </w:pPr>
          </w:p>
        </w:tc>
        <w:tc>
          <w:tcPr>
            <w:tcW w:w="2060" w:type="dxa"/>
            <w:vAlign w:val="bottom"/>
            <w:tcBorders>
              <w:top w:val="single" w:sz="8" w:color="BD03F7"/>
              <w:bottom w:val="single" w:sz="8" w:color="BD03F7"/>
            </w:tcBorders>
            <w:gridSpan w:val="2"/>
          </w:tcPr>
          <w:p>
            <w:pPr>
              <w:ind w:left="60"/>
              <w:spacing w:after="0"/>
              <w:rPr>
                <w:sz w:val="20"/>
                <w:szCs w:val="20"/>
                <w:color w:val="auto"/>
              </w:rPr>
            </w:pPr>
            <w:r>
              <w:rPr>
                <w:rFonts w:ascii="Arial" w:cs="Arial" w:eastAsia="Arial" w:hAnsi="Arial"/>
                <w:sz w:val="18"/>
                <w:szCs w:val="18"/>
                <w:b w:val="1"/>
                <w:bCs w:val="1"/>
                <w:color w:val="auto"/>
              </w:rPr>
              <w:t>Financial - 50% Weight</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60" w:type="dxa"/>
            <w:vAlign w:val="bottom"/>
            <w:gridSpan w:val="2"/>
          </w:tcPr>
          <w:p>
            <w:pPr>
              <w:jc w:val="center"/>
              <w:spacing w:after="0" w:line="195" w:lineRule="exact"/>
              <w:rPr>
                <w:sz w:val="20"/>
                <w:szCs w:val="20"/>
                <w:color w:val="auto"/>
              </w:rPr>
            </w:pPr>
            <w:r>
              <w:rPr>
                <w:rFonts w:ascii="Arial" w:cs="Arial" w:eastAsia="Arial" w:hAnsi="Arial"/>
                <w:sz w:val="18"/>
                <w:szCs w:val="18"/>
                <w:b w:val="1"/>
                <w:bCs w:val="1"/>
                <w:color w:val="auto"/>
                <w:w w:val="99"/>
              </w:rPr>
              <w:t>Additional</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80" w:type="dxa"/>
            <w:vAlign w:val="bottom"/>
            <w:gridSpan w:val="3"/>
          </w:tcPr>
          <w:p>
            <w:pPr>
              <w:jc w:val="center"/>
              <w:ind w:right="920"/>
              <w:spacing w:after="0" w:line="201" w:lineRule="exact"/>
              <w:rPr>
                <w:sz w:val="20"/>
                <w:szCs w:val="20"/>
                <w:color w:val="auto"/>
              </w:rPr>
            </w:pPr>
            <w:r>
              <w:rPr>
                <w:rFonts w:ascii="Arial" w:cs="Arial" w:eastAsia="Arial" w:hAnsi="Arial"/>
                <w:sz w:val="18"/>
                <w:szCs w:val="18"/>
                <w:b w:val="1"/>
                <w:bCs w:val="1"/>
                <w:color w:val="auto"/>
              </w:rPr>
              <w:t>High-Growth</w:t>
            </w:r>
          </w:p>
        </w:tc>
        <w:tc>
          <w:tcPr>
            <w:tcW w:w="2700" w:type="dxa"/>
            <w:vAlign w:val="bottom"/>
            <w:gridSpan w:val="3"/>
          </w:tcPr>
          <w:p>
            <w:pPr>
              <w:jc w:val="center"/>
              <w:ind w:right="740"/>
              <w:spacing w:after="0" w:line="201" w:lineRule="exact"/>
              <w:rPr>
                <w:sz w:val="20"/>
                <w:szCs w:val="20"/>
                <w:color w:val="auto"/>
              </w:rPr>
            </w:pPr>
            <w:r>
              <w:rPr>
                <w:rFonts w:ascii="Arial" w:cs="Arial" w:eastAsia="Arial" w:hAnsi="Arial"/>
                <w:sz w:val="18"/>
                <w:szCs w:val="18"/>
                <w:b w:val="1"/>
                <w:bCs w:val="1"/>
                <w:color w:val="auto"/>
                <w:w w:val="98"/>
              </w:rPr>
              <w:t>Performance</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920" w:type="dxa"/>
            <w:vAlign w:val="bottom"/>
          </w:tcPr>
          <w:p>
            <w:pPr>
              <w:spacing w:after="0"/>
              <w:rPr>
                <w:sz w:val="22"/>
                <w:szCs w:val="22"/>
                <w:color w:val="auto"/>
              </w:rPr>
            </w:pPr>
          </w:p>
        </w:tc>
        <w:tc>
          <w:tcPr>
            <w:tcW w:w="1860" w:type="dxa"/>
            <w:vAlign w:val="bottom"/>
            <w:gridSpan w:val="2"/>
          </w:tcPr>
          <w:p>
            <w:pPr>
              <w:ind w:left="560"/>
              <w:spacing w:after="0"/>
              <w:rPr>
                <w:sz w:val="20"/>
                <w:szCs w:val="20"/>
                <w:color w:val="auto"/>
              </w:rPr>
            </w:pPr>
            <w:r>
              <w:rPr>
                <w:rFonts w:ascii="Arial" w:cs="Arial" w:eastAsia="Arial" w:hAnsi="Arial"/>
                <w:sz w:val="18"/>
                <w:szCs w:val="18"/>
                <w:b w:val="1"/>
                <w:bCs w:val="1"/>
                <w:color w:val="auto"/>
              </w:rPr>
              <w:t>HBM3E+</w:t>
            </w:r>
          </w:p>
        </w:tc>
        <w:tc>
          <w:tcPr>
            <w:tcW w:w="920" w:type="dxa"/>
            <w:vAlign w:val="bottom"/>
          </w:tcPr>
          <w:p>
            <w:pPr>
              <w:spacing w:after="0"/>
              <w:rPr>
                <w:sz w:val="22"/>
                <w:szCs w:val="22"/>
                <w:color w:val="auto"/>
              </w:rPr>
            </w:pPr>
          </w:p>
        </w:tc>
        <w:tc>
          <w:tcPr>
            <w:tcW w:w="27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8"/>
              </w:rPr>
              <w:t>Segment Revenue</w:t>
            </w:r>
          </w:p>
        </w:tc>
        <w:tc>
          <w:tcPr>
            <w:tcW w:w="27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7"/>
              </w:rPr>
              <w:t>Conditions</w:t>
            </w:r>
          </w:p>
        </w:tc>
        <w:tc>
          <w:tcPr>
            <w:tcW w:w="2060" w:type="dxa"/>
            <w:vAlign w:val="bottom"/>
            <w:gridSpan w:val="2"/>
          </w:tcPr>
          <w:p>
            <w:pPr>
              <w:ind w:left="540"/>
              <w:spacing w:after="0"/>
              <w:rPr>
                <w:sz w:val="20"/>
                <w:szCs w:val="20"/>
                <w:color w:val="auto"/>
              </w:rPr>
            </w:pPr>
            <w:r>
              <w:rPr>
                <w:rFonts w:ascii="Arial" w:cs="Arial" w:eastAsia="Arial" w:hAnsi="Arial"/>
                <w:sz w:val="18"/>
                <w:szCs w:val="18"/>
                <w:b w:val="1"/>
                <w:bCs w:val="1"/>
                <w:color w:val="auto"/>
              </w:rPr>
              <w:t>rTSR CAGR</w:t>
            </w: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7"/>
              </w:rPr>
              <w:t>Fiscal</w:t>
            </w:r>
          </w:p>
        </w:tc>
        <w:tc>
          <w:tcPr>
            <w:tcW w:w="98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8"/>
              </w:rPr>
              <w:t>Actual</w:t>
            </w:r>
          </w:p>
        </w:tc>
        <w:tc>
          <w:tcPr>
            <w:tcW w:w="88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9"/>
              </w:rPr>
              <w:t>Payout</w:t>
            </w:r>
          </w:p>
        </w:tc>
        <w:tc>
          <w:tcPr>
            <w:tcW w:w="920" w:type="dxa"/>
            <w:vAlign w:val="bottom"/>
          </w:tcPr>
          <w:p>
            <w:pPr>
              <w:spacing w:after="0"/>
              <w:rPr>
                <w:sz w:val="15"/>
                <w:szCs w:val="15"/>
                <w:color w:val="auto"/>
              </w:rPr>
            </w:pPr>
          </w:p>
        </w:tc>
        <w:tc>
          <w:tcPr>
            <w:tcW w:w="98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8"/>
              </w:rPr>
              <w:t>Actual</w:t>
            </w:r>
          </w:p>
        </w:tc>
        <w:tc>
          <w:tcPr>
            <w:tcW w:w="88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9"/>
              </w:rPr>
              <w:t>Payout</w:t>
            </w:r>
          </w:p>
        </w:tc>
        <w:tc>
          <w:tcPr>
            <w:tcW w:w="920" w:type="dxa"/>
            <w:vAlign w:val="bottom"/>
          </w:tcPr>
          <w:p>
            <w:pPr>
              <w:spacing w:after="0"/>
              <w:rPr>
                <w:sz w:val="15"/>
                <w:szCs w:val="15"/>
                <w:color w:val="auto"/>
              </w:rPr>
            </w:pPr>
          </w:p>
        </w:tc>
        <w:tc>
          <w:tcPr>
            <w:tcW w:w="110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8"/>
              </w:rPr>
              <w:t>Actual</w:t>
            </w:r>
          </w:p>
        </w:tc>
        <w:tc>
          <w:tcPr>
            <w:tcW w:w="86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9"/>
              </w:rPr>
              <w:t>Payout</w:t>
            </w:r>
          </w:p>
        </w:tc>
        <w:tc>
          <w:tcPr>
            <w:tcW w:w="740" w:type="dxa"/>
            <w:vAlign w:val="bottom"/>
          </w:tcPr>
          <w:p>
            <w:pPr>
              <w:spacing w:after="0"/>
              <w:rPr>
                <w:sz w:val="15"/>
                <w:szCs w:val="15"/>
                <w:color w:val="auto"/>
              </w:rPr>
            </w:pPr>
          </w:p>
        </w:tc>
        <w:tc>
          <w:tcPr>
            <w:tcW w:w="1060" w:type="dxa"/>
            <w:vAlign w:val="bottom"/>
            <w:tcBorders>
              <w:top w:val="single" w:sz="8" w:color="BD03F7"/>
            </w:tcBorders>
          </w:tcPr>
          <w:p>
            <w:pPr>
              <w:ind w:left="260"/>
              <w:spacing w:after="0" w:line="182" w:lineRule="exact"/>
              <w:rPr>
                <w:sz w:val="20"/>
                <w:szCs w:val="20"/>
                <w:color w:val="auto"/>
              </w:rPr>
            </w:pPr>
            <w:r>
              <w:rPr>
                <w:rFonts w:ascii="Arial" w:cs="Arial" w:eastAsia="Arial" w:hAnsi="Arial"/>
                <w:sz w:val="18"/>
                <w:szCs w:val="18"/>
                <w:b w:val="1"/>
                <w:bCs w:val="1"/>
                <w:color w:val="auto"/>
              </w:rPr>
              <w:t>Actual</w:t>
            </w:r>
          </w:p>
        </w:tc>
        <w:tc>
          <w:tcPr>
            <w:tcW w:w="100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6"/>
              </w:rPr>
              <w:t>Payout</w:t>
            </w:r>
          </w:p>
        </w:tc>
        <w:tc>
          <w:tcPr>
            <w:tcW w:w="0" w:type="dxa"/>
            <w:vAlign w:val="bottom"/>
          </w:tcPr>
          <w:p>
            <w:pPr>
              <w:spacing w:after="0"/>
              <w:rPr>
                <w:sz w:val="1"/>
                <w:szCs w:val="1"/>
                <w:color w:val="auto"/>
              </w:rPr>
            </w:pPr>
          </w:p>
        </w:tc>
      </w:tr>
      <w:tr>
        <w:trPr>
          <w:trHeight w:val="268"/>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Year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Result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8"/>
              </w:rPr>
              <w:t>Factor</w:t>
            </w:r>
          </w:p>
        </w:tc>
        <w:tc>
          <w:tcPr>
            <w:tcW w:w="9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Result</w:t>
            </w:r>
          </w:p>
        </w:tc>
        <w:tc>
          <w:tcPr>
            <w:tcW w:w="180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8"/>
              </w:rPr>
              <w:t>Factor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8"/>
              </w:rPr>
              <w:t>Result</w:t>
            </w:r>
          </w:p>
        </w:tc>
        <w:tc>
          <w:tcPr>
            <w:tcW w:w="16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rPr>
              <w:t>Factor</w:t>
            </w:r>
          </w:p>
        </w:tc>
        <w:tc>
          <w:tcPr>
            <w:tcW w:w="1060" w:type="dxa"/>
            <w:vAlign w:val="bottom"/>
          </w:tcPr>
          <w:p>
            <w:pPr>
              <w:ind w:left="260"/>
              <w:spacing w:after="0"/>
              <w:rPr>
                <w:sz w:val="20"/>
                <w:szCs w:val="20"/>
                <w:color w:val="auto"/>
              </w:rPr>
            </w:pPr>
            <w:r>
              <w:rPr>
                <w:rFonts w:ascii="Arial" w:cs="Arial" w:eastAsia="Arial" w:hAnsi="Arial"/>
                <w:sz w:val="18"/>
                <w:szCs w:val="18"/>
                <w:b w:val="1"/>
                <w:bCs w:val="1"/>
                <w:color w:val="auto"/>
              </w:rPr>
              <w:t>Result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8"/>
              </w:rPr>
              <w:t>Factor</w:t>
            </w:r>
          </w:p>
        </w:tc>
        <w:tc>
          <w:tcPr>
            <w:tcW w:w="0" w:type="dxa"/>
            <w:vAlign w:val="bottom"/>
          </w:tcPr>
          <w:p>
            <w:pPr>
              <w:spacing w:after="0"/>
              <w:rPr>
                <w:sz w:val="1"/>
                <w:szCs w:val="1"/>
                <w:color w:val="auto"/>
              </w:rPr>
            </w:pPr>
          </w:p>
        </w:tc>
      </w:tr>
      <w:tr>
        <w:trPr>
          <w:trHeight w:val="215"/>
        </w:trPr>
        <w:tc>
          <w:tcPr>
            <w:tcW w:w="920" w:type="dxa"/>
            <w:vAlign w:val="bottom"/>
            <w:tcBorders>
              <w:top w:val="single" w:sz="8" w:color="BD03F7"/>
            </w:tcBorders>
          </w:tcPr>
          <w:p>
            <w:pPr>
              <w:spacing w:after="0"/>
              <w:rPr>
                <w:sz w:val="18"/>
                <w:szCs w:val="18"/>
                <w:color w:val="auto"/>
              </w:rPr>
            </w:pPr>
          </w:p>
        </w:tc>
        <w:tc>
          <w:tcPr>
            <w:tcW w:w="980" w:type="dxa"/>
            <w:vAlign w:val="bottom"/>
            <w:tcBorders>
              <w:top w:val="single" w:sz="8" w:color="BD03F7"/>
            </w:tcBorders>
          </w:tcPr>
          <w:p>
            <w:pPr>
              <w:spacing w:after="0"/>
              <w:rPr>
                <w:sz w:val="18"/>
                <w:szCs w:val="18"/>
                <w:color w:val="auto"/>
              </w:rPr>
            </w:pPr>
          </w:p>
        </w:tc>
        <w:tc>
          <w:tcPr>
            <w:tcW w:w="880" w:type="dxa"/>
            <w:vAlign w:val="bottom"/>
            <w:tcBorders>
              <w:top w:val="single" w:sz="8" w:color="BD03F7"/>
            </w:tcBorders>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Borders>
              <w:top w:val="single" w:sz="8" w:color="BD03F7"/>
            </w:tcBorders>
          </w:tcPr>
          <w:p>
            <w:pPr>
              <w:spacing w:after="0"/>
              <w:rPr>
                <w:sz w:val="18"/>
                <w:szCs w:val="18"/>
                <w:color w:val="auto"/>
              </w:rPr>
            </w:pPr>
          </w:p>
        </w:tc>
        <w:tc>
          <w:tcPr>
            <w:tcW w:w="880" w:type="dxa"/>
            <w:vAlign w:val="bottom"/>
            <w:tcBorders>
              <w:top w:val="single" w:sz="8" w:color="BD03F7"/>
            </w:tcBorders>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Borders>
              <w:top w:val="single" w:sz="8" w:color="BD03F7"/>
            </w:tcBorders>
          </w:tcPr>
          <w:p>
            <w:pPr>
              <w:jc w:val="center"/>
              <w:spacing w:after="0"/>
              <w:rPr>
                <w:sz w:val="20"/>
                <w:szCs w:val="20"/>
                <w:color w:val="auto"/>
              </w:rPr>
            </w:pPr>
            <w:r>
              <w:rPr>
                <w:rFonts w:ascii="Arial" w:cs="Arial" w:eastAsia="Arial" w:hAnsi="Arial"/>
                <w:sz w:val="18"/>
                <w:szCs w:val="18"/>
                <w:color w:val="auto"/>
                <w:w w:val="99"/>
              </w:rPr>
              <w:t>Achieved</w:t>
            </w:r>
          </w:p>
        </w:tc>
        <w:tc>
          <w:tcPr>
            <w:tcW w:w="860" w:type="dxa"/>
            <w:vAlign w:val="bottom"/>
            <w:tcBorders>
              <w:top w:val="single" w:sz="8" w:color="BD03F7"/>
            </w:tcBorders>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Borders>
              <w:top w:val="single" w:sz="8" w:color="BD03F7"/>
            </w:tcBorders>
          </w:tcPr>
          <w:p>
            <w:pPr>
              <w:spacing w:after="0"/>
              <w:rPr>
                <w:sz w:val="18"/>
                <w:szCs w:val="18"/>
                <w:color w:val="auto"/>
              </w:rPr>
            </w:pPr>
          </w:p>
        </w:tc>
        <w:tc>
          <w:tcPr>
            <w:tcW w:w="1000" w:type="dxa"/>
            <w:vAlign w:val="bottom"/>
            <w:tcBorders>
              <w:top w:val="single" w:sz="8" w:color="BD03F7"/>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7"/>
              </w:rPr>
              <w:t>Above</w:t>
            </w: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7"/>
              </w:rPr>
              <w:t>Above</w:t>
            </w: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8"/>
              </w:rPr>
              <w:t>SSD market</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2025</w:t>
            </w:r>
          </w:p>
        </w:tc>
        <w:tc>
          <w:tcPr>
            <w:tcW w:w="980" w:type="dxa"/>
            <w:vAlign w:val="bottom"/>
            <w:vMerge w:val="continue"/>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200%</w:t>
            </w:r>
          </w:p>
        </w:tc>
        <w:tc>
          <w:tcPr>
            <w:tcW w:w="9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200%</w:t>
            </w:r>
          </w:p>
        </w:tc>
        <w:tc>
          <w:tcPr>
            <w:tcW w:w="92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Arial" w:cs="Arial" w:eastAsia="Arial" w:hAnsi="Arial"/>
                <w:sz w:val="18"/>
                <w:szCs w:val="18"/>
                <w:color w:val="auto"/>
                <w:w w:val="99"/>
              </w:rPr>
              <w:t>share and</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33%</w:t>
            </w:r>
          </w:p>
        </w:tc>
        <w:tc>
          <w:tcPr>
            <w:tcW w:w="740" w:type="dxa"/>
            <w:vAlign w:val="bottom"/>
          </w:tcPr>
          <w:p>
            <w:pPr>
              <w:spacing w:after="0"/>
              <w:rPr>
                <w:sz w:val="15"/>
                <w:szCs w:val="15"/>
                <w:color w:val="auto"/>
              </w:rPr>
            </w:pP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+11.4ppts</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139"/>
        </w:trPr>
        <w:tc>
          <w:tcPr>
            <w:tcW w:w="920" w:type="dxa"/>
            <w:vAlign w:val="bottom"/>
            <w:vMerge w:val="continue"/>
          </w:tcPr>
          <w:p>
            <w:pPr>
              <w:spacing w:after="0"/>
              <w:rPr>
                <w:sz w:val="12"/>
                <w:szCs w:val="12"/>
                <w:color w:val="auto"/>
              </w:rPr>
            </w:pPr>
          </w:p>
        </w:tc>
        <w:tc>
          <w:tcPr>
            <w:tcW w:w="980" w:type="dxa"/>
            <w:vAlign w:val="bottom"/>
            <w:vMerge w:val="restart"/>
          </w:tcPr>
          <w:p>
            <w:pPr>
              <w:jc w:val="center"/>
              <w:spacing w:after="0" w:line="188" w:lineRule="exact"/>
              <w:rPr>
                <w:sz w:val="20"/>
                <w:szCs w:val="20"/>
                <w:color w:val="auto"/>
              </w:rPr>
            </w:pPr>
            <w:r>
              <w:rPr>
                <w:rFonts w:ascii="Arial" w:cs="Arial" w:eastAsia="Arial" w:hAnsi="Arial"/>
                <w:sz w:val="18"/>
                <w:szCs w:val="18"/>
                <w:color w:val="auto"/>
                <w:w w:val="99"/>
              </w:rPr>
              <w:t>maximum</w:t>
            </w:r>
          </w:p>
        </w:tc>
        <w:tc>
          <w:tcPr>
            <w:tcW w:w="8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vMerge w:val="restart"/>
          </w:tcPr>
          <w:p>
            <w:pPr>
              <w:jc w:val="center"/>
              <w:spacing w:after="0" w:line="188" w:lineRule="exact"/>
              <w:rPr>
                <w:sz w:val="20"/>
                <w:szCs w:val="20"/>
                <w:color w:val="auto"/>
              </w:rPr>
            </w:pPr>
            <w:r>
              <w:rPr>
                <w:rFonts w:ascii="Arial" w:cs="Arial" w:eastAsia="Arial" w:hAnsi="Arial"/>
                <w:sz w:val="18"/>
                <w:szCs w:val="18"/>
                <w:color w:val="auto"/>
                <w:w w:val="99"/>
              </w:rPr>
              <w:t>maximum</w:t>
            </w:r>
          </w:p>
        </w:tc>
        <w:tc>
          <w:tcPr>
            <w:tcW w:w="8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vMerge w:val="restart"/>
          </w:tcPr>
          <w:p>
            <w:pPr>
              <w:jc w:val="center"/>
              <w:spacing w:after="0" w:line="188" w:lineRule="exact"/>
              <w:rPr>
                <w:sz w:val="20"/>
                <w:szCs w:val="20"/>
                <w:color w:val="auto"/>
              </w:rPr>
            </w:pPr>
            <w:r>
              <w:rPr>
                <w:rFonts w:ascii="Arial" w:cs="Arial" w:eastAsia="Arial" w:hAnsi="Arial"/>
                <w:sz w:val="18"/>
                <w:szCs w:val="18"/>
                <w:color w:val="auto"/>
                <w:w w:val="98"/>
              </w:rPr>
              <w:t>positive</w:t>
            </w:r>
          </w:p>
        </w:tc>
        <w:tc>
          <w:tcPr>
            <w:tcW w:w="8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9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-459740</wp:posOffset>
            </wp:positionV>
            <wp:extent cx="7132955" cy="7169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955" cy="716915"/>
                    </a:xfrm>
                    <a:prstGeom prst="rect">
                      <a:avLst/>
                    </a:prstGeom>
                    <a:noFill/>
                  </pic:spPr>
                </pic:pic>
              </a:graphicData>
            </a:graphic>
          </wp:anchor>
        </w:drawing>
      </w:r>
    </w:p>
    <w:p>
      <w:pPr>
        <w:jc w:val="center"/>
        <w:ind w:left="2720"/>
        <w:spacing w:after="0" w:line="218" w:lineRule="auto"/>
        <w:rPr>
          <w:sz w:val="20"/>
          <w:szCs w:val="20"/>
          <w:color w:val="auto"/>
        </w:rPr>
      </w:pPr>
      <w:r>
        <w:rPr>
          <w:rFonts w:ascii="Arial" w:cs="Arial" w:eastAsia="Arial" w:hAnsi="Arial"/>
          <w:sz w:val="18"/>
          <w:szCs w:val="18"/>
          <w:color w:val="auto"/>
        </w:rPr>
        <w:t>NAND free</w:t>
      </w:r>
    </w:p>
    <w:p>
      <w:pPr>
        <w:jc w:val="center"/>
        <w:ind w:left="2720"/>
        <w:spacing w:after="0"/>
        <w:rPr>
          <w:sz w:val="20"/>
          <w:szCs w:val="20"/>
          <w:color w:val="auto"/>
        </w:rPr>
      </w:pPr>
      <w:r>
        <w:rPr>
          <w:rFonts w:ascii="Arial" w:cs="Arial" w:eastAsia="Arial" w:hAnsi="Arial"/>
          <w:sz w:val="18"/>
          <w:szCs w:val="18"/>
          <w:color w:val="auto"/>
        </w:rPr>
        <w:t>cashflow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329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19" w:lineRule="exact"/>
        <w:rPr>
          <w:sz w:val="20"/>
          <w:szCs w:val="20"/>
          <w:color w:val="auto"/>
        </w:rPr>
      </w:pPr>
    </w:p>
    <w:p>
      <w:pPr>
        <w:jc w:val="both"/>
        <w:ind w:right="160"/>
        <w:spacing w:after="0" w:line="267" w:lineRule="auto"/>
        <w:rPr>
          <w:sz w:val="20"/>
          <w:szCs w:val="20"/>
          <w:color w:val="auto"/>
        </w:rPr>
      </w:pPr>
      <w:r>
        <w:rPr>
          <w:rFonts w:ascii="Arial" w:cs="Arial" w:eastAsia="Arial" w:hAnsi="Arial"/>
          <w:sz w:val="18"/>
          <w:szCs w:val="18"/>
          <w:color w:val="auto"/>
        </w:rPr>
        <w:t>Performance will also be measured after the end of Fiscal 2026—year 3 of the Performance Period—and additional shares may or may not be earned. Following the completion of Fiscal 2026, the Company intends to provide additional information regarding goal achievement, and whether additional shares were earned.</w:t>
      </w:r>
    </w:p>
    <w:p>
      <w:pPr>
        <w:spacing w:after="0" w:line="196"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color w:val="auto"/>
        </w:rPr>
        <w:t>The Compensation Committee certified that the following shares had been earned by our Named Executive Officers under the 2024 PRSU Awards: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Fiscal 2024</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jc w:val="center"/>
              <w:ind w:right="70"/>
              <w:spacing w:after="0" w:line="201" w:lineRule="exact"/>
              <w:rPr>
                <w:sz w:val="20"/>
                <w:szCs w:val="20"/>
                <w:color w:val="auto"/>
              </w:rPr>
            </w:pPr>
            <w:r>
              <w:rPr>
                <w:rFonts w:ascii="Arial" w:cs="Arial" w:eastAsia="Arial" w:hAnsi="Arial"/>
                <w:sz w:val="18"/>
                <w:szCs w:val="18"/>
                <w:b w:val="1"/>
                <w:bCs w:val="1"/>
                <w:color w:val="auto"/>
                <w:w w:val="99"/>
              </w:rPr>
              <w:t>Fiscal 2024</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4"/>
          </w:tcPr>
          <w:p>
            <w:pPr>
              <w:jc w:val="center"/>
              <w:ind w:right="100"/>
              <w:spacing w:after="0" w:line="201" w:lineRule="exact"/>
              <w:rPr>
                <w:sz w:val="20"/>
                <w:szCs w:val="20"/>
                <w:color w:val="auto"/>
              </w:rPr>
            </w:pPr>
            <w:r>
              <w:rPr>
                <w:rFonts w:ascii="Arial" w:cs="Arial" w:eastAsia="Arial" w:hAnsi="Arial"/>
                <w:sz w:val="18"/>
                <w:szCs w:val="18"/>
                <w:b w:val="1"/>
                <w:bCs w:val="1"/>
                <w:color w:val="auto"/>
                <w:w w:val="99"/>
              </w:rPr>
              <w:t>High-Growth Segment Revenue</w:t>
            </w:r>
          </w:p>
        </w:tc>
        <w:tc>
          <w:tcPr>
            <w:tcW w:w="102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Fiscal 2024</w:t>
            </w:r>
          </w:p>
        </w:tc>
        <w:tc>
          <w:tcPr>
            <w:tcW w:w="960" w:type="dxa"/>
            <w:vAlign w:val="bottom"/>
          </w:tcPr>
          <w:p>
            <w:pPr>
              <w:spacing w:after="0"/>
              <w:rPr>
                <w:sz w:val="17"/>
                <w:szCs w:val="17"/>
                <w:color w:val="auto"/>
              </w:rPr>
            </w:pPr>
          </w:p>
        </w:tc>
      </w:tr>
      <w:tr>
        <w:trPr>
          <w:trHeight w:val="254"/>
        </w:trPr>
        <w:tc>
          <w:tcPr>
            <w:tcW w:w="1440" w:type="dxa"/>
            <w:vAlign w:val="bottom"/>
          </w:tcPr>
          <w:p>
            <w:pPr>
              <w:spacing w:after="0"/>
              <w:rPr>
                <w:sz w:val="22"/>
                <w:szCs w:val="22"/>
                <w:color w:val="auto"/>
              </w:rPr>
            </w:pPr>
          </w:p>
        </w:tc>
        <w:tc>
          <w:tcPr>
            <w:tcW w:w="2260" w:type="dxa"/>
            <w:vAlign w:val="bottom"/>
            <w:tcBorders>
              <w:bottom w:val="single" w:sz="8" w:color="BD03F7"/>
            </w:tcBorders>
            <w:gridSpan w:val="2"/>
          </w:tcPr>
          <w:p>
            <w:pPr>
              <w:jc w:val="center"/>
              <w:ind w:left="770"/>
              <w:spacing w:after="0"/>
              <w:rPr>
                <w:sz w:val="20"/>
                <w:szCs w:val="20"/>
                <w:color w:val="auto"/>
              </w:rPr>
            </w:pPr>
            <w:r>
              <w:rPr>
                <w:rFonts w:ascii="Arial" w:cs="Arial" w:eastAsia="Arial" w:hAnsi="Arial"/>
                <w:sz w:val="18"/>
                <w:szCs w:val="18"/>
                <w:b w:val="1"/>
                <w:bCs w:val="1"/>
                <w:color w:val="auto"/>
                <w:w w:val="98"/>
              </w:rPr>
              <w:t>HBM3E+Shares</w:t>
            </w:r>
          </w:p>
        </w:tc>
        <w:tc>
          <w:tcPr>
            <w:tcW w:w="880" w:type="dxa"/>
            <w:vAlign w:val="bottom"/>
            <w:tcBorders>
              <w:bottom w:val="single" w:sz="8" w:color="BD03F7"/>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BD03F7"/>
            </w:tcBorders>
          </w:tcPr>
          <w:p>
            <w:pPr>
              <w:spacing w:after="0"/>
              <w:rPr>
                <w:sz w:val="22"/>
                <w:szCs w:val="22"/>
                <w:color w:val="auto"/>
              </w:rPr>
            </w:pPr>
          </w:p>
        </w:tc>
        <w:tc>
          <w:tcPr>
            <w:tcW w:w="114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9"/>
              </w:rPr>
              <w:t>Shares</w:t>
            </w:r>
          </w:p>
        </w:tc>
        <w:tc>
          <w:tcPr>
            <w:tcW w:w="960" w:type="dxa"/>
            <w:vAlign w:val="bottom"/>
            <w:tcBorders>
              <w:bottom w:val="single" w:sz="8" w:color="BD03F7"/>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BD03F7"/>
            </w:tcBorders>
          </w:tcPr>
          <w:p>
            <w:pPr>
              <w:spacing w:after="0"/>
              <w:rPr>
                <w:sz w:val="22"/>
                <w:szCs w:val="22"/>
                <w:color w:val="auto"/>
              </w:rPr>
            </w:pPr>
          </w:p>
        </w:tc>
        <w:tc>
          <w:tcPr>
            <w:tcW w:w="120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9"/>
              </w:rPr>
              <w:t>rTSR Shares</w:t>
            </w:r>
          </w:p>
        </w:tc>
        <w:tc>
          <w:tcPr>
            <w:tcW w:w="960" w:type="dxa"/>
            <w:vAlign w:val="bottom"/>
            <w:tcBorders>
              <w:bottom w:val="single" w:sz="8" w:color="BD03F7"/>
            </w:tcBorders>
          </w:tcPr>
          <w:p>
            <w:pPr>
              <w:spacing w:after="0"/>
              <w:rPr>
                <w:sz w:val="22"/>
                <w:szCs w:val="22"/>
                <w:color w:val="auto"/>
              </w:rPr>
            </w:pPr>
          </w:p>
        </w:tc>
      </w:tr>
      <w:tr>
        <w:trPr>
          <w:trHeight w:val="196"/>
        </w:trPr>
        <w:tc>
          <w:tcPr>
            <w:tcW w:w="14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Earned for</w:t>
            </w: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Earned for</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Earned for</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4"/>
        </w:trPr>
        <w:tc>
          <w:tcPr>
            <w:tcW w:w="1440" w:type="dxa"/>
            <w:vAlign w:val="bottom"/>
            <w:tcBorders>
              <w:bottom w:val="single" w:sz="8" w:color="BD03F7"/>
            </w:tcBorders>
          </w:tcPr>
          <w:p>
            <w:pPr>
              <w:ind w:left="20"/>
              <w:spacing w:after="0"/>
              <w:rPr>
                <w:sz w:val="20"/>
                <w:szCs w:val="20"/>
                <w:color w:val="auto"/>
              </w:rPr>
            </w:pPr>
            <w:r>
              <w:rPr>
                <w:rFonts w:ascii="Arial" w:cs="Arial" w:eastAsia="Arial" w:hAnsi="Arial"/>
                <w:sz w:val="18"/>
                <w:szCs w:val="18"/>
                <w:b w:val="1"/>
                <w:bCs w:val="1"/>
                <w:color w:val="auto"/>
              </w:rPr>
              <w:t>Executive</w:t>
            </w:r>
          </w:p>
        </w:tc>
        <w:tc>
          <w:tcPr>
            <w:tcW w:w="1020" w:type="dxa"/>
            <w:vAlign w:val="bottom"/>
            <w:tcBorders>
              <w:bottom w:val="single" w:sz="8" w:color="BD03F7"/>
            </w:tcBorders>
          </w:tcPr>
          <w:p>
            <w:pPr>
              <w:jc w:val="right"/>
              <w:ind w:right="210"/>
              <w:spacing w:after="0"/>
              <w:rPr>
                <w:sz w:val="20"/>
                <w:szCs w:val="20"/>
                <w:color w:val="auto"/>
              </w:rPr>
            </w:pPr>
            <w:r>
              <w:rPr>
                <w:rFonts w:ascii="Arial" w:cs="Arial" w:eastAsia="Arial" w:hAnsi="Arial"/>
                <w:sz w:val="18"/>
                <w:szCs w:val="18"/>
                <w:b w:val="1"/>
                <w:bCs w:val="1"/>
                <w:color w:val="auto"/>
              </w:rPr>
              <w:t>FY25</w:t>
            </w:r>
          </w:p>
        </w:tc>
        <w:tc>
          <w:tcPr>
            <w:tcW w:w="1240" w:type="dxa"/>
            <w:vAlign w:val="bottom"/>
            <w:tcBorders>
              <w:bottom w:val="single" w:sz="8" w:color="BD03F7"/>
            </w:tcBorders>
          </w:tcPr>
          <w:p>
            <w:pPr>
              <w:jc w:val="center"/>
              <w:ind w:right="50"/>
              <w:spacing w:after="0"/>
              <w:rPr>
                <w:sz w:val="20"/>
                <w:szCs w:val="20"/>
                <w:color w:val="auto"/>
              </w:rPr>
            </w:pPr>
            <w:r>
              <w:rPr>
                <w:rFonts w:ascii="Arial" w:cs="Arial" w:eastAsia="Arial" w:hAnsi="Arial"/>
                <w:sz w:val="18"/>
                <w:szCs w:val="18"/>
                <w:b w:val="1"/>
                <w:bCs w:val="1"/>
                <w:color w:val="auto"/>
                <w:w w:val="98"/>
              </w:rPr>
              <w:t>Vested</w:t>
            </w:r>
          </w:p>
        </w:tc>
        <w:tc>
          <w:tcPr>
            <w:tcW w:w="980" w:type="dxa"/>
            <w:vAlign w:val="bottom"/>
            <w:tcBorders>
              <w:bottom w:val="single" w:sz="8" w:color="BD03F7"/>
            </w:tcBorders>
            <w:gridSpan w:val="2"/>
          </w:tcPr>
          <w:p>
            <w:pPr>
              <w:ind w:left="20"/>
              <w:spacing w:after="0"/>
              <w:rPr>
                <w:sz w:val="20"/>
                <w:szCs w:val="20"/>
                <w:color w:val="auto"/>
              </w:rPr>
            </w:pPr>
            <w:r>
              <w:rPr>
                <w:rFonts w:ascii="Arial" w:cs="Arial" w:eastAsia="Arial" w:hAnsi="Arial"/>
                <w:sz w:val="18"/>
                <w:szCs w:val="18"/>
                <w:b w:val="1"/>
                <w:bCs w:val="1"/>
                <w:color w:val="auto"/>
              </w:rPr>
              <w:t>Banked</w:t>
            </w:r>
          </w:p>
        </w:tc>
        <w:tc>
          <w:tcPr>
            <w:tcW w:w="1040" w:type="dxa"/>
            <w:vAlign w:val="bottom"/>
            <w:tcBorders>
              <w:bottom w:val="single" w:sz="8" w:color="BD03F7"/>
            </w:tcBorders>
          </w:tcPr>
          <w:p>
            <w:pPr>
              <w:jc w:val="right"/>
              <w:ind w:right="210"/>
              <w:spacing w:after="0"/>
              <w:rPr>
                <w:sz w:val="20"/>
                <w:szCs w:val="20"/>
                <w:color w:val="auto"/>
              </w:rPr>
            </w:pPr>
            <w:r>
              <w:rPr>
                <w:rFonts w:ascii="Arial" w:cs="Arial" w:eastAsia="Arial" w:hAnsi="Arial"/>
                <w:sz w:val="18"/>
                <w:szCs w:val="18"/>
                <w:b w:val="1"/>
                <w:bCs w:val="1"/>
                <w:color w:val="auto"/>
              </w:rPr>
              <w:t>FY25</w:t>
            </w:r>
          </w:p>
        </w:tc>
        <w:tc>
          <w:tcPr>
            <w:tcW w:w="114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8"/>
              </w:rPr>
              <w:t>Vested</w:t>
            </w:r>
          </w:p>
        </w:tc>
        <w:tc>
          <w:tcPr>
            <w:tcW w:w="1080" w:type="dxa"/>
            <w:vAlign w:val="bottom"/>
            <w:tcBorders>
              <w:bottom w:val="single" w:sz="8" w:color="BD03F7"/>
            </w:tcBorders>
            <w:gridSpan w:val="2"/>
          </w:tcPr>
          <w:p>
            <w:pPr>
              <w:ind w:left="120"/>
              <w:spacing w:after="0"/>
              <w:rPr>
                <w:sz w:val="20"/>
                <w:szCs w:val="20"/>
                <w:color w:val="auto"/>
              </w:rPr>
            </w:pPr>
            <w:r>
              <w:rPr>
                <w:rFonts w:ascii="Arial" w:cs="Arial" w:eastAsia="Arial" w:hAnsi="Arial"/>
                <w:sz w:val="18"/>
                <w:szCs w:val="18"/>
                <w:b w:val="1"/>
                <w:bCs w:val="1"/>
                <w:color w:val="auto"/>
              </w:rPr>
              <w:t>Banked</w:t>
            </w:r>
          </w:p>
        </w:tc>
        <w:tc>
          <w:tcPr>
            <w:tcW w:w="1020" w:type="dxa"/>
            <w:vAlign w:val="bottom"/>
            <w:tcBorders>
              <w:bottom w:val="single" w:sz="8" w:color="BD03F7"/>
            </w:tcBorders>
          </w:tcPr>
          <w:p>
            <w:pPr>
              <w:jc w:val="right"/>
              <w:ind w:right="190"/>
              <w:spacing w:after="0"/>
              <w:rPr>
                <w:sz w:val="20"/>
                <w:szCs w:val="20"/>
                <w:color w:val="auto"/>
              </w:rPr>
            </w:pPr>
            <w:r>
              <w:rPr>
                <w:rFonts w:ascii="Arial" w:cs="Arial" w:eastAsia="Arial" w:hAnsi="Arial"/>
                <w:sz w:val="18"/>
                <w:szCs w:val="18"/>
                <w:b w:val="1"/>
                <w:bCs w:val="1"/>
                <w:color w:val="auto"/>
              </w:rPr>
              <w:t>FY25</w:t>
            </w:r>
          </w:p>
        </w:tc>
        <w:tc>
          <w:tcPr>
            <w:tcW w:w="120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8"/>
              </w:rPr>
              <w:t>Vested</w:t>
            </w:r>
          </w:p>
        </w:tc>
        <w:tc>
          <w:tcPr>
            <w:tcW w:w="960" w:type="dxa"/>
            <w:vAlign w:val="bottom"/>
            <w:tcBorders>
              <w:bottom w:val="single" w:sz="8" w:color="BD03F7"/>
            </w:tcBorders>
          </w:tcPr>
          <w:p>
            <w:pPr>
              <w:jc w:val="right"/>
              <w:ind w:right="110"/>
              <w:spacing w:after="0"/>
              <w:rPr>
                <w:sz w:val="20"/>
                <w:szCs w:val="20"/>
                <w:color w:val="auto"/>
              </w:rPr>
            </w:pPr>
            <w:r>
              <w:rPr>
                <w:rFonts w:ascii="Arial" w:cs="Arial" w:eastAsia="Arial" w:hAnsi="Arial"/>
                <w:sz w:val="18"/>
                <w:szCs w:val="18"/>
                <w:b w:val="1"/>
                <w:bCs w:val="1"/>
                <w:color w:val="auto"/>
              </w:rPr>
              <w:t>Banked</w:t>
            </w:r>
          </w:p>
        </w:tc>
      </w:tr>
      <w:tr>
        <w:trPr>
          <w:trHeight w:val="40"/>
        </w:trPr>
        <w:tc>
          <w:tcPr>
            <w:tcW w:w="1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5"/>
        </w:trPr>
        <w:tc>
          <w:tcPr>
            <w:tcW w:w="144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128,924</w:t>
            </w:r>
          </w:p>
        </w:tc>
        <w:tc>
          <w:tcPr>
            <w:tcW w:w="1240" w:type="dxa"/>
            <w:vAlign w:val="bottom"/>
            <w:shd w:val="clear" w:color="auto" w:fill="F2F2F2"/>
          </w:tcPr>
          <w:p>
            <w:pPr>
              <w:jc w:val="right"/>
              <w:ind w:right="150"/>
              <w:spacing w:after="0"/>
              <w:rPr>
                <w:sz w:val="20"/>
                <w:szCs w:val="20"/>
                <w:color w:val="auto"/>
              </w:rPr>
            </w:pPr>
            <w:r>
              <w:rPr>
                <w:rFonts w:ascii="Arial" w:cs="Arial" w:eastAsia="Arial" w:hAnsi="Arial"/>
                <w:sz w:val="18"/>
                <w:szCs w:val="18"/>
                <w:color w:val="auto"/>
              </w:rPr>
              <w:t>64,462</w:t>
            </w: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64,462</w:t>
            </w:r>
          </w:p>
        </w:tc>
        <w:tc>
          <w:tcPr>
            <w:tcW w:w="100" w:type="dxa"/>
            <w:vAlign w:val="bottom"/>
            <w:shd w:val="clear" w:color="auto" w:fill="F2F2F2"/>
          </w:tcPr>
          <w:p>
            <w:pPr>
              <w:spacing w:after="0"/>
              <w:rPr>
                <w:sz w:val="22"/>
                <w:szCs w:val="22"/>
                <w:color w:val="auto"/>
              </w:rPr>
            </w:pPr>
          </w:p>
        </w:tc>
        <w:tc>
          <w:tcPr>
            <w:tcW w:w="10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128,924</w:t>
            </w:r>
          </w:p>
        </w:tc>
        <w:tc>
          <w:tcPr>
            <w:tcW w:w="11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64,462</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64,462</w:t>
            </w:r>
          </w:p>
        </w:tc>
        <w:tc>
          <w:tcPr>
            <w:tcW w:w="120" w:type="dxa"/>
            <w:vAlign w:val="bottom"/>
            <w:shd w:val="clear" w:color="auto" w:fill="F2F2F2"/>
          </w:tcPr>
          <w:p>
            <w:pPr>
              <w:spacing w:after="0"/>
              <w:rPr>
                <w:sz w:val="22"/>
                <w:szCs w:val="22"/>
                <w:color w:val="auto"/>
              </w:rPr>
            </w:pP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110,049</w:t>
            </w:r>
          </w:p>
        </w:tc>
        <w:tc>
          <w:tcPr>
            <w:tcW w:w="120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55,024</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55,025</w:t>
            </w:r>
          </w:p>
        </w:tc>
      </w:tr>
      <w:tr>
        <w:trPr>
          <w:trHeight w:val="255"/>
        </w:trPr>
        <w:tc>
          <w:tcPr>
            <w:tcW w:w="144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020" w:type="dxa"/>
            <w:vAlign w:val="bottom"/>
          </w:tcPr>
          <w:p>
            <w:pPr>
              <w:jc w:val="right"/>
              <w:spacing w:after="0"/>
              <w:rPr>
                <w:sz w:val="20"/>
                <w:szCs w:val="20"/>
                <w:color w:val="auto"/>
              </w:rPr>
            </w:pPr>
            <w:r>
              <w:rPr>
                <w:rFonts w:ascii="Arial" w:cs="Arial" w:eastAsia="Arial" w:hAnsi="Arial"/>
                <w:sz w:val="18"/>
                <w:szCs w:val="18"/>
                <w:color w:val="auto"/>
              </w:rPr>
              <w:t>35,493</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17,746</w:t>
            </w:r>
          </w:p>
        </w:tc>
        <w:tc>
          <w:tcPr>
            <w:tcW w:w="880" w:type="dxa"/>
            <w:vAlign w:val="bottom"/>
          </w:tcPr>
          <w:p>
            <w:pPr>
              <w:jc w:val="right"/>
              <w:spacing w:after="0"/>
              <w:rPr>
                <w:sz w:val="20"/>
                <w:szCs w:val="20"/>
                <w:color w:val="auto"/>
              </w:rPr>
            </w:pPr>
            <w:r>
              <w:rPr>
                <w:rFonts w:ascii="Arial" w:cs="Arial" w:eastAsia="Arial" w:hAnsi="Arial"/>
                <w:sz w:val="18"/>
                <w:szCs w:val="18"/>
                <w:color w:val="auto"/>
              </w:rPr>
              <w:t>17,747</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35,493</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17,746</w:t>
            </w:r>
          </w:p>
        </w:tc>
        <w:tc>
          <w:tcPr>
            <w:tcW w:w="960" w:type="dxa"/>
            <w:vAlign w:val="bottom"/>
          </w:tcPr>
          <w:p>
            <w:pPr>
              <w:jc w:val="right"/>
              <w:spacing w:after="0"/>
              <w:rPr>
                <w:sz w:val="20"/>
                <w:szCs w:val="20"/>
                <w:color w:val="auto"/>
              </w:rPr>
            </w:pPr>
            <w:r>
              <w:rPr>
                <w:rFonts w:ascii="Arial" w:cs="Arial" w:eastAsia="Arial" w:hAnsi="Arial"/>
                <w:sz w:val="18"/>
                <w:szCs w:val="18"/>
                <w:color w:val="auto"/>
              </w:rPr>
              <w:t>17,747</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30,296</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15,148</w:t>
            </w:r>
          </w:p>
        </w:tc>
        <w:tc>
          <w:tcPr>
            <w:tcW w:w="960" w:type="dxa"/>
            <w:vAlign w:val="bottom"/>
          </w:tcPr>
          <w:p>
            <w:pPr>
              <w:jc w:val="right"/>
              <w:spacing w:after="0"/>
              <w:rPr>
                <w:sz w:val="20"/>
                <w:szCs w:val="20"/>
                <w:color w:val="auto"/>
              </w:rPr>
            </w:pPr>
            <w:r>
              <w:rPr>
                <w:rFonts w:ascii="Arial" w:cs="Arial" w:eastAsia="Arial" w:hAnsi="Arial"/>
                <w:sz w:val="18"/>
                <w:szCs w:val="18"/>
                <w:color w:val="auto"/>
              </w:rPr>
              <w:t>15,148</w:t>
            </w:r>
          </w:p>
        </w:tc>
      </w:tr>
      <w:tr>
        <w:trPr>
          <w:trHeight w:val="255"/>
        </w:trPr>
        <w:tc>
          <w:tcPr>
            <w:tcW w:w="144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37,581</w:t>
            </w:r>
          </w:p>
        </w:tc>
        <w:tc>
          <w:tcPr>
            <w:tcW w:w="1240" w:type="dxa"/>
            <w:vAlign w:val="bottom"/>
            <w:shd w:val="clear" w:color="auto" w:fill="F2F2F2"/>
          </w:tcPr>
          <w:p>
            <w:pPr>
              <w:jc w:val="right"/>
              <w:ind w:right="150"/>
              <w:spacing w:after="0"/>
              <w:rPr>
                <w:sz w:val="20"/>
                <w:szCs w:val="20"/>
                <w:color w:val="auto"/>
              </w:rPr>
            </w:pPr>
            <w:r>
              <w:rPr>
                <w:rFonts w:ascii="Arial" w:cs="Arial" w:eastAsia="Arial" w:hAnsi="Arial"/>
                <w:sz w:val="18"/>
                <w:szCs w:val="18"/>
                <w:color w:val="auto"/>
              </w:rPr>
              <w:t>18,790</w:t>
            </w: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18,791</w:t>
            </w:r>
          </w:p>
        </w:tc>
        <w:tc>
          <w:tcPr>
            <w:tcW w:w="100" w:type="dxa"/>
            <w:vAlign w:val="bottom"/>
            <w:shd w:val="clear" w:color="auto" w:fill="F2F2F2"/>
          </w:tcPr>
          <w:p>
            <w:pPr>
              <w:spacing w:after="0"/>
              <w:rPr>
                <w:sz w:val="22"/>
                <w:szCs w:val="22"/>
                <w:color w:val="auto"/>
              </w:rPr>
            </w:pPr>
          </w:p>
        </w:tc>
        <w:tc>
          <w:tcPr>
            <w:tcW w:w="10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37,581</w:t>
            </w:r>
          </w:p>
        </w:tc>
        <w:tc>
          <w:tcPr>
            <w:tcW w:w="11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18,790</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18,791</w:t>
            </w:r>
          </w:p>
        </w:tc>
        <w:tc>
          <w:tcPr>
            <w:tcW w:w="120" w:type="dxa"/>
            <w:vAlign w:val="bottom"/>
            <w:shd w:val="clear" w:color="auto" w:fill="F2F2F2"/>
          </w:tcPr>
          <w:p>
            <w:pPr>
              <w:spacing w:after="0"/>
              <w:rPr>
                <w:sz w:val="22"/>
                <w:szCs w:val="22"/>
                <w:color w:val="auto"/>
              </w:rPr>
            </w:pP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32,079</w:t>
            </w:r>
          </w:p>
        </w:tc>
        <w:tc>
          <w:tcPr>
            <w:tcW w:w="120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16,039</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16,040</w:t>
            </w:r>
          </w:p>
        </w:tc>
      </w:tr>
      <w:tr>
        <w:trPr>
          <w:trHeight w:val="255"/>
        </w:trPr>
        <w:tc>
          <w:tcPr>
            <w:tcW w:w="144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020" w:type="dxa"/>
            <w:vAlign w:val="bottom"/>
          </w:tcPr>
          <w:p>
            <w:pPr>
              <w:jc w:val="right"/>
              <w:spacing w:after="0"/>
              <w:rPr>
                <w:sz w:val="20"/>
                <w:szCs w:val="20"/>
                <w:color w:val="auto"/>
              </w:rPr>
            </w:pPr>
            <w:r>
              <w:rPr>
                <w:rFonts w:ascii="Arial" w:cs="Arial" w:eastAsia="Arial" w:hAnsi="Arial"/>
                <w:sz w:val="18"/>
                <w:szCs w:val="18"/>
                <w:color w:val="auto"/>
              </w:rPr>
              <w:t>30,274</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15,137</w:t>
            </w:r>
          </w:p>
        </w:tc>
        <w:tc>
          <w:tcPr>
            <w:tcW w:w="880" w:type="dxa"/>
            <w:vAlign w:val="bottom"/>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30,274</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15,137</w:t>
            </w:r>
          </w:p>
        </w:tc>
        <w:tc>
          <w:tcPr>
            <w:tcW w:w="960" w:type="dxa"/>
            <w:vAlign w:val="bottom"/>
          </w:tcPr>
          <w:p>
            <w:pPr>
              <w:jc w:val="right"/>
              <w:spacing w:after="0"/>
              <w:rPr>
                <w:sz w:val="20"/>
                <w:szCs w:val="20"/>
                <w:color w:val="auto"/>
              </w:rPr>
            </w:pPr>
            <w:r>
              <w:rPr>
                <w:rFonts w:ascii="Arial" w:cs="Arial" w:eastAsia="Arial" w:hAnsi="Arial"/>
                <w:sz w:val="18"/>
                <w:szCs w:val="18"/>
                <w:color w:val="auto"/>
              </w:rPr>
              <w:t>15,137</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25,841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12,920</w:t>
            </w:r>
          </w:p>
        </w:tc>
        <w:tc>
          <w:tcPr>
            <w:tcW w:w="960" w:type="dxa"/>
            <w:vAlign w:val="bottom"/>
          </w:tcPr>
          <w:p>
            <w:pPr>
              <w:jc w:val="right"/>
              <w:spacing w:after="0"/>
              <w:rPr>
                <w:sz w:val="20"/>
                <w:szCs w:val="20"/>
                <w:color w:val="auto"/>
              </w:rPr>
            </w:pPr>
            <w:r>
              <w:rPr>
                <w:rFonts w:ascii="Arial" w:cs="Arial" w:eastAsia="Arial" w:hAnsi="Arial"/>
                <w:sz w:val="18"/>
                <w:szCs w:val="18"/>
                <w:color w:val="auto"/>
              </w:rPr>
              <w:t>12,921</w:t>
            </w:r>
          </w:p>
        </w:tc>
      </w:tr>
      <w:tr>
        <w:trPr>
          <w:trHeight w:val="255"/>
        </w:trPr>
        <w:tc>
          <w:tcPr>
            <w:tcW w:w="1440" w:type="dxa"/>
            <w:vAlign w:val="bottom"/>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37,581</w:t>
            </w:r>
          </w:p>
        </w:tc>
        <w:tc>
          <w:tcPr>
            <w:tcW w:w="1240" w:type="dxa"/>
            <w:vAlign w:val="bottom"/>
            <w:shd w:val="clear" w:color="auto" w:fill="F2F2F2"/>
          </w:tcPr>
          <w:p>
            <w:pPr>
              <w:jc w:val="right"/>
              <w:ind w:right="150"/>
              <w:spacing w:after="0"/>
              <w:rPr>
                <w:sz w:val="20"/>
                <w:szCs w:val="20"/>
                <w:color w:val="auto"/>
              </w:rPr>
            </w:pPr>
            <w:r>
              <w:rPr>
                <w:rFonts w:ascii="Arial" w:cs="Arial" w:eastAsia="Arial" w:hAnsi="Arial"/>
                <w:sz w:val="18"/>
                <w:szCs w:val="18"/>
                <w:color w:val="auto"/>
              </w:rPr>
              <w:t>18,790</w:t>
            </w: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18,791</w:t>
            </w:r>
          </w:p>
        </w:tc>
        <w:tc>
          <w:tcPr>
            <w:tcW w:w="100" w:type="dxa"/>
            <w:vAlign w:val="bottom"/>
            <w:shd w:val="clear" w:color="auto" w:fill="F2F2F2"/>
          </w:tcPr>
          <w:p>
            <w:pPr>
              <w:spacing w:after="0"/>
              <w:rPr>
                <w:sz w:val="22"/>
                <w:szCs w:val="22"/>
                <w:color w:val="auto"/>
              </w:rPr>
            </w:pPr>
          </w:p>
        </w:tc>
        <w:tc>
          <w:tcPr>
            <w:tcW w:w="10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37,581</w:t>
            </w:r>
          </w:p>
        </w:tc>
        <w:tc>
          <w:tcPr>
            <w:tcW w:w="11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18,790</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18,791</w:t>
            </w:r>
          </w:p>
        </w:tc>
        <w:tc>
          <w:tcPr>
            <w:tcW w:w="120" w:type="dxa"/>
            <w:vAlign w:val="bottom"/>
            <w:shd w:val="clear" w:color="auto" w:fill="F2F2F2"/>
          </w:tcPr>
          <w:p>
            <w:pPr>
              <w:spacing w:after="0"/>
              <w:rPr>
                <w:sz w:val="22"/>
                <w:szCs w:val="22"/>
                <w:color w:val="auto"/>
              </w:rPr>
            </w:pP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32,079</w:t>
            </w:r>
          </w:p>
        </w:tc>
        <w:tc>
          <w:tcPr>
            <w:tcW w:w="120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16,039</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16,040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Granted Fiscal 2023 Performance-Based PRSUs</w:t>
      </w:r>
    </w:p>
    <w:p>
      <w:pPr>
        <w:spacing w:after="0" w:line="250"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In October 2025, the Compensation Committee reviewed the Company’s performance relative to the performance goals for the 2023 PRSU Awards for Fiscal 2025—year 3 of the Performance Period—and confirmed the following results: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2023 PRSU Award Payout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0" w:type="dxa"/>
            <w:vAlign w:val="bottom"/>
            <w:tcBorders>
              <w:top w:val="single" w:sz="8" w:color="BD03F7"/>
            </w:tcBorders>
          </w:tcPr>
          <w:p>
            <w:pPr>
              <w:spacing w:after="0"/>
              <w:rPr>
                <w:sz w:val="17"/>
                <w:szCs w:val="17"/>
                <w:color w:val="auto"/>
              </w:rPr>
            </w:pPr>
          </w:p>
        </w:tc>
        <w:tc>
          <w:tcPr>
            <w:tcW w:w="960" w:type="dxa"/>
            <w:vAlign w:val="bottom"/>
            <w:tcBorders>
              <w:top w:val="single" w:sz="8" w:color="BD03F7"/>
            </w:tcBorders>
          </w:tcPr>
          <w:p>
            <w:pPr>
              <w:spacing w:after="0"/>
              <w:rPr>
                <w:sz w:val="17"/>
                <w:szCs w:val="17"/>
                <w:color w:val="auto"/>
              </w:rPr>
            </w:pPr>
          </w:p>
        </w:tc>
        <w:tc>
          <w:tcPr>
            <w:tcW w:w="880" w:type="dxa"/>
            <w:vAlign w:val="bottom"/>
            <w:tcBorders>
              <w:top w:val="single" w:sz="8" w:color="BD03F7"/>
            </w:tcBorders>
          </w:tcPr>
          <w:p>
            <w:pPr>
              <w:spacing w:after="0"/>
              <w:rPr>
                <w:sz w:val="17"/>
                <w:szCs w:val="17"/>
                <w:color w:val="auto"/>
              </w:rPr>
            </w:pPr>
          </w:p>
        </w:tc>
        <w:tc>
          <w:tcPr>
            <w:tcW w:w="3700" w:type="dxa"/>
            <w:vAlign w:val="bottom"/>
            <w:tcBorders>
              <w:top w:val="single" w:sz="8" w:color="BD03F7"/>
            </w:tcBorders>
            <w:gridSpan w:val="4"/>
          </w:tcPr>
          <w:p>
            <w:pPr>
              <w:ind w:left="840"/>
              <w:spacing w:after="0" w:line="204" w:lineRule="exact"/>
              <w:rPr>
                <w:sz w:val="20"/>
                <w:szCs w:val="20"/>
                <w:color w:val="auto"/>
              </w:rPr>
            </w:pPr>
            <w:r>
              <w:rPr>
                <w:rFonts w:ascii="Arial" w:cs="Arial" w:eastAsia="Arial" w:hAnsi="Arial"/>
                <w:sz w:val="18"/>
                <w:szCs w:val="18"/>
                <w:b w:val="1"/>
                <w:bCs w:val="1"/>
                <w:color w:val="auto"/>
              </w:rPr>
              <w:t>Operational - 50% Weight</w:t>
            </w:r>
          </w:p>
        </w:tc>
        <w:tc>
          <w:tcPr>
            <w:tcW w:w="1080" w:type="dxa"/>
            <w:vAlign w:val="bottom"/>
            <w:tcBorders>
              <w:top w:val="single" w:sz="8" w:color="BD03F7"/>
            </w:tcBorders>
          </w:tcPr>
          <w:p>
            <w:pPr>
              <w:spacing w:after="0"/>
              <w:rPr>
                <w:sz w:val="17"/>
                <w:szCs w:val="17"/>
                <w:color w:val="auto"/>
              </w:rPr>
            </w:pPr>
          </w:p>
        </w:tc>
        <w:tc>
          <w:tcPr>
            <w:tcW w:w="900" w:type="dxa"/>
            <w:vAlign w:val="bottom"/>
            <w:tcBorders>
              <w:top w:val="single" w:sz="8" w:color="BD03F7"/>
            </w:tcBorders>
          </w:tcPr>
          <w:p>
            <w:pPr>
              <w:spacing w:after="0"/>
              <w:rPr>
                <w:sz w:val="17"/>
                <w:szCs w:val="17"/>
                <w:color w:val="auto"/>
              </w:rPr>
            </w:pPr>
          </w:p>
        </w:tc>
        <w:tc>
          <w:tcPr>
            <w:tcW w:w="920" w:type="dxa"/>
            <w:vAlign w:val="bottom"/>
            <w:tcBorders>
              <w:top w:val="single" w:sz="8" w:color="BD03F7"/>
            </w:tcBorders>
          </w:tcPr>
          <w:p>
            <w:pPr>
              <w:spacing w:after="0"/>
              <w:rPr>
                <w:sz w:val="17"/>
                <w:szCs w:val="17"/>
                <w:color w:val="auto"/>
              </w:rPr>
            </w:pPr>
          </w:p>
        </w:tc>
        <w:tc>
          <w:tcPr>
            <w:tcW w:w="1860" w:type="dxa"/>
            <w:vAlign w:val="bottom"/>
            <w:tcBorders>
              <w:top w:val="single" w:sz="8" w:color="BD03F7"/>
            </w:tcBorders>
            <w:gridSpan w:val="2"/>
          </w:tcPr>
          <w:p>
            <w:pPr>
              <w:jc w:val="center"/>
              <w:spacing w:after="0" w:line="204" w:lineRule="exact"/>
              <w:rPr>
                <w:sz w:val="20"/>
                <w:szCs w:val="20"/>
                <w:color w:val="auto"/>
              </w:rPr>
            </w:pPr>
            <w:r>
              <w:rPr>
                <w:rFonts w:ascii="Arial" w:cs="Arial" w:eastAsia="Arial" w:hAnsi="Arial"/>
                <w:sz w:val="18"/>
                <w:szCs w:val="18"/>
                <w:b w:val="1"/>
                <w:bCs w:val="1"/>
                <w:color w:val="auto"/>
                <w:w w:val="99"/>
              </w:rPr>
              <w:t>Financial - 50%</w:t>
            </w:r>
          </w:p>
        </w:tc>
        <w:tc>
          <w:tcPr>
            <w:tcW w:w="0" w:type="dxa"/>
            <w:vAlign w:val="bottom"/>
          </w:tcPr>
          <w:p>
            <w:pPr>
              <w:spacing w:after="0"/>
              <w:rPr>
                <w:sz w:val="1"/>
                <w:szCs w:val="1"/>
                <w:color w:val="auto"/>
              </w:rPr>
            </w:pPr>
          </w:p>
        </w:tc>
      </w:tr>
      <w:tr>
        <w:trPr>
          <w:trHeight w:val="254"/>
        </w:trPr>
        <w:tc>
          <w:tcPr>
            <w:tcW w:w="940" w:type="dxa"/>
            <w:vAlign w:val="bottom"/>
          </w:tcPr>
          <w:p>
            <w:pPr>
              <w:spacing w:after="0"/>
              <w:rPr>
                <w:sz w:val="22"/>
                <w:szCs w:val="22"/>
                <w:color w:val="auto"/>
              </w:rPr>
            </w:pPr>
          </w:p>
        </w:tc>
        <w:tc>
          <w:tcPr>
            <w:tcW w:w="960" w:type="dxa"/>
            <w:vAlign w:val="bottom"/>
            <w:tcBorders>
              <w:bottom w:val="single" w:sz="8" w:color="BD03F7"/>
            </w:tcBorders>
          </w:tcPr>
          <w:p>
            <w:pPr>
              <w:spacing w:after="0"/>
              <w:rPr>
                <w:sz w:val="22"/>
                <w:szCs w:val="22"/>
                <w:color w:val="auto"/>
              </w:rPr>
            </w:pPr>
          </w:p>
        </w:tc>
        <w:tc>
          <w:tcPr>
            <w:tcW w:w="880" w:type="dxa"/>
            <w:vAlign w:val="bottom"/>
            <w:tcBorders>
              <w:bottom w:val="single" w:sz="8" w:color="BD03F7"/>
            </w:tcBorders>
          </w:tcPr>
          <w:p>
            <w:pPr>
              <w:spacing w:after="0"/>
              <w:rPr>
                <w:sz w:val="22"/>
                <w:szCs w:val="22"/>
                <w:color w:val="auto"/>
              </w:rPr>
            </w:pPr>
          </w:p>
        </w:tc>
        <w:tc>
          <w:tcPr>
            <w:tcW w:w="940" w:type="dxa"/>
            <w:vAlign w:val="bottom"/>
            <w:tcBorders>
              <w:bottom w:val="single" w:sz="8" w:color="BD03F7"/>
            </w:tcBorders>
          </w:tcPr>
          <w:p>
            <w:pPr>
              <w:spacing w:after="0"/>
              <w:rPr>
                <w:sz w:val="22"/>
                <w:szCs w:val="22"/>
                <w:color w:val="auto"/>
              </w:rPr>
            </w:pPr>
          </w:p>
        </w:tc>
        <w:tc>
          <w:tcPr>
            <w:tcW w:w="960" w:type="dxa"/>
            <w:vAlign w:val="bottom"/>
            <w:tcBorders>
              <w:bottom w:val="single" w:sz="8" w:color="BD03F7"/>
            </w:tcBorders>
          </w:tcPr>
          <w:p>
            <w:pPr>
              <w:spacing w:after="0"/>
              <w:rPr>
                <w:sz w:val="22"/>
                <w:szCs w:val="22"/>
                <w:color w:val="auto"/>
              </w:rPr>
            </w:pPr>
          </w:p>
        </w:tc>
        <w:tc>
          <w:tcPr>
            <w:tcW w:w="900" w:type="dxa"/>
            <w:vAlign w:val="bottom"/>
            <w:tcBorders>
              <w:bottom w:val="single" w:sz="8" w:color="BD03F7"/>
            </w:tcBorders>
          </w:tcPr>
          <w:p>
            <w:pPr>
              <w:spacing w:after="0"/>
              <w:rPr>
                <w:sz w:val="22"/>
                <w:szCs w:val="22"/>
                <w:color w:val="auto"/>
              </w:rPr>
            </w:pPr>
          </w:p>
        </w:tc>
        <w:tc>
          <w:tcPr>
            <w:tcW w:w="900" w:type="dxa"/>
            <w:vAlign w:val="bottom"/>
            <w:tcBorders>
              <w:bottom w:val="single" w:sz="8" w:color="BD03F7"/>
            </w:tcBorders>
          </w:tcPr>
          <w:p>
            <w:pPr>
              <w:spacing w:after="0"/>
              <w:rPr>
                <w:sz w:val="22"/>
                <w:szCs w:val="22"/>
                <w:color w:val="auto"/>
              </w:rPr>
            </w:pPr>
          </w:p>
        </w:tc>
        <w:tc>
          <w:tcPr>
            <w:tcW w:w="1080" w:type="dxa"/>
            <w:vAlign w:val="bottom"/>
            <w:tcBorders>
              <w:bottom w:val="single" w:sz="8" w:color="BD03F7"/>
            </w:tcBorders>
          </w:tcPr>
          <w:p>
            <w:pPr>
              <w:spacing w:after="0"/>
              <w:rPr>
                <w:sz w:val="22"/>
                <w:szCs w:val="22"/>
                <w:color w:val="auto"/>
              </w:rPr>
            </w:pPr>
          </w:p>
        </w:tc>
        <w:tc>
          <w:tcPr>
            <w:tcW w:w="900" w:type="dxa"/>
            <w:vAlign w:val="bottom"/>
            <w:tcBorders>
              <w:bottom w:val="single" w:sz="8" w:color="BD03F7"/>
            </w:tcBorders>
          </w:tcPr>
          <w:p>
            <w:pPr>
              <w:spacing w:after="0"/>
              <w:rPr>
                <w:sz w:val="22"/>
                <w:szCs w:val="22"/>
                <w:color w:val="auto"/>
              </w:rPr>
            </w:pPr>
          </w:p>
        </w:tc>
        <w:tc>
          <w:tcPr>
            <w:tcW w:w="920" w:type="dxa"/>
            <w:vAlign w:val="bottom"/>
          </w:tcPr>
          <w:p>
            <w:pPr>
              <w:spacing w:after="0"/>
              <w:rPr>
                <w:sz w:val="22"/>
                <w:szCs w:val="22"/>
                <w:color w:val="auto"/>
              </w:rPr>
            </w:pPr>
          </w:p>
        </w:tc>
        <w:tc>
          <w:tcPr>
            <w:tcW w:w="1860" w:type="dxa"/>
            <w:vAlign w:val="bottom"/>
            <w:tcBorders>
              <w:bottom w:val="single" w:sz="8" w:color="BD03F7"/>
            </w:tcBorders>
            <w:gridSpan w:val="2"/>
          </w:tcPr>
          <w:p>
            <w:pPr>
              <w:jc w:val="center"/>
              <w:spacing w:after="0"/>
              <w:rPr>
                <w:sz w:val="20"/>
                <w:szCs w:val="20"/>
                <w:color w:val="auto"/>
              </w:rPr>
            </w:pPr>
            <w:r>
              <w:rPr>
                <w:rFonts w:ascii="Arial" w:cs="Arial" w:eastAsia="Arial" w:hAnsi="Arial"/>
                <w:sz w:val="18"/>
                <w:szCs w:val="18"/>
                <w:b w:val="1"/>
                <w:bCs w:val="1"/>
                <w:color w:val="auto"/>
                <w:w w:val="99"/>
              </w:rPr>
              <w:t>Weight</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8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7"/>
              </w:rPr>
              <w:t>Additional</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gridSpan w:val="3"/>
          </w:tcPr>
          <w:p>
            <w:pPr>
              <w:jc w:val="center"/>
              <w:ind w:right="920"/>
              <w:spacing w:after="0" w:line="201" w:lineRule="exact"/>
              <w:rPr>
                <w:sz w:val="20"/>
                <w:szCs w:val="20"/>
                <w:color w:val="auto"/>
              </w:rPr>
            </w:pPr>
            <w:r>
              <w:rPr>
                <w:rFonts w:ascii="Arial" w:cs="Arial" w:eastAsia="Arial" w:hAnsi="Arial"/>
                <w:sz w:val="18"/>
                <w:szCs w:val="18"/>
                <w:b w:val="1"/>
                <w:bCs w:val="1"/>
                <w:color w:val="auto"/>
                <w:w w:val="99"/>
              </w:rPr>
              <w:t>Performance</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940" w:type="dxa"/>
            <w:vAlign w:val="bottom"/>
          </w:tcPr>
          <w:p>
            <w:pPr>
              <w:spacing w:after="0"/>
              <w:rPr>
                <w:sz w:val="22"/>
                <w:szCs w:val="22"/>
                <w:color w:val="auto"/>
              </w:rPr>
            </w:pPr>
          </w:p>
        </w:tc>
        <w:tc>
          <w:tcPr>
            <w:tcW w:w="1840" w:type="dxa"/>
            <w:vAlign w:val="bottom"/>
            <w:gridSpan w:val="2"/>
          </w:tcPr>
          <w:p>
            <w:pPr>
              <w:ind w:left="660"/>
              <w:spacing w:after="0"/>
              <w:rPr>
                <w:sz w:val="20"/>
                <w:szCs w:val="20"/>
                <w:color w:val="auto"/>
              </w:rPr>
            </w:pPr>
            <w:r>
              <w:rPr>
                <w:rFonts w:ascii="Arial" w:cs="Arial" w:eastAsia="Arial" w:hAnsi="Arial"/>
                <w:sz w:val="18"/>
                <w:szCs w:val="18"/>
                <w:b w:val="1"/>
                <w:bCs w:val="1"/>
                <w:color w:val="auto"/>
              </w:rPr>
              <w:t>NAND</w:t>
            </w:r>
          </w:p>
        </w:tc>
        <w:tc>
          <w:tcPr>
            <w:tcW w:w="940" w:type="dxa"/>
            <w:vAlign w:val="bottom"/>
          </w:tcPr>
          <w:p>
            <w:pPr>
              <w:spacing w:after="0"/>
              <w:rPr>
                <w:sz w:val="22"/>
                <w:szCs w:val="22"/>
                <w:color w:val="auto"/>
              </w:rPr>
            </w:pPr>
          </w:p>
        </w:tc>
        <w:tc>
          <w:tcPr>
            <w:tcW w:w="2760" w:type="dxa"/>
            <w:vAlign w:val="bottom"/>
            <w:gridSpan w:val="3"/>
          </w:tcPr>
          <w:p>
            <w:pPr>
              <w:ind w:left="660"/>
              <w:spacing w:after="0"/>
              <w:rPr>
                <w:sz w:val="20"/>
                <w:szCs w:val="20"/>
                <w:color w:val="auto"/>
              </w:rPr>
            </w:pPr>
            <w:r>
              <w:rPr>
                <w:rFonts w:ascii="Arial" w:cs="Arial" w:eastAsia="Arial" w:hAnsi="Arial"/>
                <w:sz w:val="18"/>
                <w:szCs w:val="18"/>
                <w:b w:val="1"/>
                <w:bCs w:val="1"/>
                <w:color w:val="auto"/>
              </w:rPr>
              <w:t>DRAM</w:t>
            </w:r>
          </w:p>
        </w:tc>
        <w:tc>
          <w:tcPr>
            <w:tcW w:w="290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9"/>
              </w:rPr>
              <w:t>Conditions</w:t>
            </w: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rTSR CAGR</w:t>
            </w:r>
          </w:p>
        </w:tc>
        <w:tc>
          <w:tcPr>
            <w:tcW w:w="0" w:type="dxa"/>
            <w:vAlign w:val="bottom"/>
          </w:tcPr>
          <w:p>
            <w:pPr>
              <w:spacing w:after="0"/>
              <w:rPr>
                <w:sz w:val="1"/>
                <w:szCs w:val="1"/>
                <w:color w:val="auto"/>
              </w:rPr>
            </w:pPr>
          </w:p>
        </w:tc>
      </w:tr>
      <w:tr>
        <w:trPr>
          <w:trHeight w:val="183"/>
        </w:trPr>
        <w:tc>
          <w:tcPr>
            <w:tcW w:w="94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7"/>
              </w:rPr>
              <w:t>Fiscal</w:t>
            </w:r>
          </w:p>
        </w:tc>
        <w:tc>
          <w:tcPr>
            <w:tcW w:w="96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rPr>
              <w:t>Actual</w:t>
            </w:r>
          </w:p>
        </w:tc>
        <w:tc>
          <w:tcPr>
            <w:tcW w:w="88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9"/>
              </w:rPr>
              <w:t>Payout</w:t>
            </w:r>
          </w:p>
        </w:tc>
        <w:tc>
          <w:tcPr>
            <w:tcW w:w="940" w:type="dxa"/>
            <w:vAlign w:val="bottom"/>
          </w:tcPr>
          <w:p>
            <w:pPr>
              <w:spacing w:after="0"/>
              <w:rPr>
                <w:sz w:val="15"/>
                <w:szCs w:val="15"/>
                <w:color w:val="auto"/>
              </w:rPr>
            </w:pPr>
          </w:p>
        </w:tc>
        <w:tc>
          <w:tcPr>
            <w:tcW w:w="96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rPr>
              <w:t>Actual</w:t>
            </w:r>
          </w:p>
        </w:tc>
        <w:tc>
          <w:tcPr>
            <w:tcW w:w="90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9"/>
              </w:rPr>
              <w:t>Payout</w:t>
            </w:r>
          </w:p>
        </w:tc>
        <w:tc>
          <w:tcPr>
            <w:tcW w:w="900" w:type="dxa"/>
            <w:vAlign w:val="bottom"/>
          </w:tcPr>
          <w:p>
            <w:pPr>
              <w:spacing w:after="0"/>
              <w:rPr>
                <w:sz w:val="15"/>
                <w:szCs w:val="15"/>
                <w:color w:val="auto"/>
              </w:rPr>
            </w:pPr>
          </w:p>
        </w:tc>
        <w:tc>
          <w:tcPr>
            <w:tcW w:w="108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8"/>
              </w:rPr>
              <w:t>Actual</w:t>
            </w:r>
          </w:p>
        </w:tc>
        <w:tc>
          <w:tcPr>
            <w:tcW w:w="90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9"/>
              </w:rPr>
              <w:t>Payout</w:t>
            </w:r>
          </w:p>
        </w:tc>
        <w:tc>
          <w:tcPr>
            <w:tcW w:w="920" w:type="dxa"/>
            <w:vAlign w:val="bottom"/>
          </w:tcPr>
          <w:p>
            <w:pPr>
              <w:spacing w:after="0"/>
              <w:rPr>
                <w:sz w:val="15"/>
                <w:szCs w:val="15"/>
                <w:color w:val="auto"/>
              </w:rPr>
            </w:pPr>
          </w:p>
        </w:tc>
        <w:tc>
          <w:tcPr>
            <w:tcW w:w="920" w:type="dxa"/>
            <w:vAlign w:val="bottom"/>
            <w:tcBorders>
              <w:top w:val="single" w:sz="8" w:color="BD03F7"/>
            </w:tcBorders>
          </w:tcPr>
          <w:p>
            <w:pPr>
              <w:ind w:left="200"/>
              <w:spacing w:after="0" w:line="182" w:lineRule="exact"/>
              <w:rPr>
                <w:sz w:val="20"/>
                <w:szCs w:val="20"/>
                <w:color w:val="auto"/>
              </w:rPr>
            </w:pPr>
            <w:r>
              <w:rPr>
                <w:rFonts w:ascii="Arial" w:cs="Arial" w:eastAsia="Arial" w:hAnsi="Arial"/>
                <w:sz w:val="18"/>
                <w:szCs w:val="18"/>
                <w:b w:val="1"/>
                <w:bCs w:val="1"/>
                <w:color w:val="auto"/>
              </w:rPr>
              <w:t>Actual</w:t>
            </w:r>
          </w:p>
        </w:tc>
        <w:tc>
          <w:tcPr>
            <w:tcW w:w="940" w:type="dxa"/>
            <w:vAlign w:val="bottom"/>
            <w:tcBorders>
              <w:top w:val="single" w:sz="8" w:color="BD03F7"/>
            </w:tcBorders>
          </w:tcPr>
          <w:p>
            <w:pPr>
              <w:jc w:val="center"/>
              <w:spacing w:after="0" w:line="182" w:lineRule="exact"/>
              <w:rPr>
                <w:sz w:val="20"/>
                <w:szCs w:val="20"/>
                <w:color w:val="auto"/>
              </w:rPr>
            </w:pPr>
            <w:r>
              <w:rPr>
                <w:rFonts w:ascii="Arial" w:cs="Arial" w:eastAsia="Arial" w:hAnsi="Arial"/>
                <w:sz w:val="18"/>
                <w:szCs w:val="18"/>
                <w:b w:val="1"/>
                <w:bCs w:val="1"/>
                <w:color w:val="auto"/>
                <w:w w:val="99"/>
              </w:rPr>
              <w:t>Payout</w:t>
            </w:r>
          </w:p>
        </w:tc>
        <w:tc>
          <w:tcPr>
            <w:tcW w:w="0" w:type="dxa"/>
            <w:vAlign w:val="bottom"/>
          </w:tcPr>
          <w:p>
            <w:pPr>
              <w:spacing w:after="0"/>
              <w:rPr>
                <w:sz w:val="1"/>
                <w:szCs w:val="1"/>
                <w:color w:val="auto"/>
              </w:rPr>
            </w:pPr>
          </w:p>
        </w:tc>
      </w:tr>
      <w:tr>
        <w:trPr>
          <w:trHeight w:val="268"/>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Year</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rPr>
              <w:t>Result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8"/>
              </w:rPr>
              <w:t>Factor</w:t>
            </w:r>
          </w:p>
        </w:tc>
        <w:tc>
          <w:tcPr>
            <w:tcW w:w="9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rPr>
              <w:t>Result</w:t>
            </w:r>
          </w:p>
        </w:tc>
        <w:tc>
          <w:tcPr>
            <w:tcW w:w="18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8"/>
              </w:rPr>
              <w:t>Factor</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8"/>
              </w:rPr>
              <w:t>Result</w:t>
            </w:r>
          </w:p>
        </w:tc>
        <w:tc>
          <w:tcPr>
            <w:tcW w:w="18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8"/>
              </w:rPr>
              <w:t>Factor</w:t>
            </w: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rPr>
              <w:t>Result</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rPr>
              <w:t>Factor</w:t>
            </w:r>
          </w:p>
        </w:tc>
        <w:tc>
          <w:tcPr>
            <w:tcW w:w="0" w:type="dxa"/>
            <w:vAlign w:val="bottom"/>
          </w:tcPr>
          <w:p>
            <w:pPr>
              <w:spacing w:after="0"/>
              <w:rPr>
                <w:sz w:val="1"/>
                <w:szCs w:val="1"/>
                <w:color w:val="auto"/>
              </w:rPr>
            </w:pPr>
          </w:p>
        </w:tc>
      </w:tr>
      <w:tr>
        <w:trPr>
          <w:trHeight w:val="215"/>
        </w:trPr>
        <w:tc>
          <w:tcPr>
            <w:tcW w:w="940" w:type="dxa"/>
            <w:vAlign w:val="bottom"/>
            <w:tcBorders>
              <w:top w:val="single" w:sz="8" w:color="BD03F7"/>
            </w:tcBorders>
          </w:tcPr>
          <w:p>
            <w:pPr>
              <w:spacing w:after="0"/>
              <w:rPr>
                <w:sz w:val="18"/>
                <w:szCs w:val="18"/>
                <w:color w:val="auto"/>
              </w:rPr>
            </w:pPr>
          </w:p>
        </w:tc>
        <w:tc>
          <w:tcPr>
            <w:tcW w:w="960" w:type="dxa"/>
            <w:vAlign w:val="bottom"/>
            <w:tcBorders>
              <w:top w:val="single" w:sz="8" w:color="BD03F7"/>
            </w:tcBorders>
          </w:tcPr>
          <w:p>
            <w:pPr>
              <w:spacing w:after="0"/>
              <w:rPr>
                <w:sz w:val="18"/>
                <w:szCs w:val="18"/>
                <w:color w:val="auto"/>
              </w:rPr>
            </w:pPr>
          </w:p>
        </w:tc>
        <w:tc>
          <w:tcPr>
            <w:tcW w:w="880" w:type="dxa"/>
            <w:vAlign w:val="bottom"/>
            <w:tcBorders>
              <w:top w:val="single" w:sz="8" w:color="BD03F7"/>
            </w:tcBorders>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Borders>
              <w:top w:val="single" w:sz="8" w:color="BD03F7"/>
            </w:tcBorders>
          </w:tcPr>
          <w:p>
            <w:pPr>
              <w:spacing w:after="0"/>
              <w:rPr>
                <w:sz w:val="18"/>
                <w:szCs w:val="18"/>
                <w:color w:val="auto"/>
              </w:rPr>
            </w:pPr>
          </w:p>
        </w:tc>
        <w:tc>
          <w:tcPr>
            <w:tcW w:w="900" w:type="dxa"/>
            <w:vAlign w:val="bottom"/>
            <w:tcBorders>
              <w:top w:val="single" w:sz="8" w:color="BD03F7"/>
            </w:tcBorders>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Borders>
              <w:top w:val="single" w:sz="8" w:color="BD03F7"/>
            </w:tcBorders>
          </w:tcPr>
          <w:p>
            <w:pPr>
              <w:jc w:val="center"/>
              <w:spacing w:after="0"/>
              <w:rPr>
                <w:sz w:val="20"/>
                <w:szCs w:val="20"/>
                <w:color w:val="auto"/>
              </w:rPr>
            </w:pPr>
            <w:r>
              <w:rPr>
                <w:rFonts w:ascii="Arial" w:cs="Arial" w:eastAsia="Arial" w:hAnsi="Arial"/>
                <w:sz w:val="18"/>
                <w:szCs w:val="18"/>
                <w:color w:val="auto"/>
                <w:w w:val="99"/>
              </w:rPr>
              <w:t>Achieved</w:t>
            </w:r>
          </w:p>
        </w:tc>
        <w:tc>
          <w:tcPr>
            <w:tcW w:w="900" w:type="dxa"/>
            <w:vAlign w:val="bottom"/>
            <w:tcBorders>
              <w:top w:val="single" w:sz="8" w:color="BD03F7"/>
            </w:tcBorders>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Borders>
              <w:top w:val="single" w:sz="8" w:color="BD03F7"/>
            </w:tcBorders>
          </w:tcPr>
          <w:p>
            <w:pPr>
              <w:spacing w:after="0"/>
              <w:rPr>
                <w:sz w:val="18"/>
                <w:szCs w:val="18"/>
                <w:color w:val="auto"/>
              </w:rPr>
            </w:pPr>
          </w:p>
        </w:tc>
        <w:tc>
          <w:tcPr>
            <w:tcW w:w="940" w:type="dxa"/>
            <w:vAlign w:val="bottom"/>
            <w:tcBorders>
              <w:top w:val="single" w:sz="8" w:color="BD03F7"/>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2025</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Above</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Above</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jc w:val="center"/>
              <w:spacing w:after="0" w:line="182" w:lineRule="exact"/>
              <w:rPr>
                <w:sz w:val="20"/>
                <w:szCs w:val="20"/>
                <w:color w:val="auto"/>
              </w:rPr>
            </w:pPr>
            <w:r>
              <w:rPr>
                <w:rFonts w:ascii="Arial" w:cs="Arial" w:eastAsia="Arial" w:hAnsi="Arial"/>
                <w:sz w:val="18"/>
                <w:szCs w:val="18"/>
                <w:color w:val="auto"/>
                <w:w w:val="99"/>
              </w:rPr>
              <w:t>cumulative</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9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80" w:type="dxa"/>
            <w:vAlign w:val="bottom"/>
            <w:vMerge w:val="restart"/>
          </w:tcPr>
          <w:p>
            <w:pPr>
              <w:jc w:val="center"/>
              <w:spacing w:after="0" w:line="180" w:lineRule="exact"/>
              <w:rPr>
                <w:sz w:val="20"/>
                <w:szCs w:val="20"/>
                <w:color w:val="auto"/>
              </w:rPr>
            </w:pPr>
            <w:r>
              <w:rPr>
                <w:rFonts w:ascii="Arial" w:cs="Arial" w:eastAsia="Arial" w:hAnsi="Arial"/>
                <w:sz w:val="18"/>
                <w:szCs w:val="18"/>
                <w:color w:val="auto"/>
                <w:w w:val="99"/>
              </w:rPr>
              <w:t>200%</w:t>
            </w:r>
          </w:p>
        </w:tc>
        <w:tc>
          <w:tcPr>
            <w:tcW w:w="9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900" w:type="dxa"/>
            <w:vAlign w:val="bottom"/>
            <w:vMerge w:val="restart"/>
          </w:tcPr>
          <w:p>
            <w:pPr>
              <w:jc w:val="center"/>
              <w:spacing w:after="0" w:line="180" w:lineRule="exact"/>
              <w:rPr>
                <w:sz w:val="20"/>
                <w:szCs w:val="20"/>
                <w:color w:val="auto"/>
              </w:rPr>
            </w:pPr>
            <w:r>
              <w:rPr>
                <w:rFonts w:ascii="Arial" w:cs="Arial" w:eastAsia="Arial" w:hAnsi="Arial"/>
                <w:sz w:val="18"/>
                <w:szCs w:val="18"/>
                <w:color w:val="auto"/>
                <w:w w:val="99"/>
              </w:rPr>
              <w:t>200%</w:t>
            </w:r>
          </w:p>
        </w:tc>
        <w:tc>
          <w:tcPr>
            <w:tcW w:w="900" w:type="dxa"/>
            <w:vAlign w:val="bottom"/>
          </w:tcPr>
          <w:p>
            <w:pPr>
              <w:spacing w:after="0"/>
              <w:rPr>
                <w:sz w:val="7"/>
                <w:szCs w:val="7"/>
                <w:color w:val="auto"/>
              </w:rPr>
            </w:pPr>
          </w:p>
        </w:tc>
        <w:tc>
          <w:tcPr>
            <w:tcW w:w="1080" w:type="dxa"/>
            <w:vAlign w:val="bottom"/>
            <w:vMerge w:val="restart"/>
          </w:tcPr>
          <w:p>
            <w:pPr>
              <w:jc w:val="center"/>
              <w:spacing w:after="0" w:line="180" w:lineRule="exact"/>
              <w:rPr>
                <w:sz w:val="20"/>
                <w:szCs w:val="20"/>
                <w:color w:val="auto"/>
              </w:rPr>
            </w:pPr>
            <w:r>
              <w:rPr>
                <w:rFonts w:ascii="Arial" w:cs="Arial" w:eastAsia="Arial" w:hAnsi="Arial"/>
                <w:sz w:val="18"/>
                <w:szCs w:val="18"/>
                <w:color w:val="auto"/>
                <w:w w:val="99"/>
              </w:rPr>
              <w:t>HBM</w:t>
            </w:r>
          </w:p>
        </w:tc>
        <w:tc>
          <w:tcPr>
            <w:tcW w:w="900" w:type="dxa"/>
            <w:vAlign w:val="bottom"/>
            <w:vMerge w:val="restart"/>
          </w:tcPr>
          <w:p>
            <w:pPr>
              <w:jc w:val="center"/>
              <w:spacing w:after="0" w:line="180" w:lineRule="exact"/>
              <w:rPr>
                <w:sz w:val="20"/>
                <w:szCs w:val="20"/>
                <w:color w:val="auto"/>
              </w:rPr>
            </w:pPr>
            <w:r>
              <w:rPr>
                <w:rFonts w:ascii="Arial" w:cs="Arial" w:eastAsia="Arial" w:hAnsi="Arial"/>
                <w:sz w:val="18"/>
                <w:szCs w:val="18"/>
                <w:color w:val="auto"/>
                <w:w w:val="99"/>
              </w:rPr>
              <w:t>33%</w:t>
            </w:r>
          </w:p>
        </w:tc>
        <w:tc>
          <w:tcPr>
            <w:tcW w:w="920" w:type="dxa"/>
            <w:vAlign w:val="bottom"/>
          </w:tcPr>
          <w:p>
            <w:pPr>
              <w:spacing w:after="0"/>
              <w:rPr>
                <w:sz w:val="7"/>
                <w:szCs w:val="7"/>
                <w:color w:val="auto"/>
              </w:rPr>
            </w:pPr>
          </w:p>
        </w:tc>
        <w:tc>
          <w:tcPr>
            <w:tcW w:w="920" w:type="dxa"/>
            <w:vAlign w:val="bottom"/>
            <w:vMerge w:val="restart"/>
          </w:tcPr>
          <w:p>
            <w:pPr>
              <w:ind w:left="80"/>
              <w:spacing w:after="0" w:line="180" w:lineRule="exact"/>
              <w:rPr>
                <w:sz w:val="20"/>
                <w:szCs w:val="20"/>
                <w:color w:val="auto"/>
              </w:rPr>
            </w:pPr>
            <w:r>
              <w:rPr>
                <w:rFonts w:ascii="Arial" w:cs="Arial" w:eastAsia="Arial" w:hAnsi="Arial"/>
                <w:sz w:val="18"/>
                <w:szCs w:val="18"/>
                <w:color w:val="auto"/>
              </w:rPr>
              <w:t>+14ppts</w:t>
            </w:r>
          </w:p>
        </w:tc>
        <w:tc>
          <w:tcPr>
            <w:tcW w:w="940" w:type="dxa"/>
            <w:vAlign w:val="bottom"/>
            <w:vMerge w:val="restart"/>
          </w:tcPr>
          <w:p>
            <w:pPr>
              <w:jc w:val="center"/>
              <w:spacing w:after="0" w:line="180"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94"/>
        </w:trPr>
        <w:tc>
          <w:tcPr>
            <w:tcW w:w="940" w:type="dxa"/>
            <w:vAlign w:val="bottom"/>
            <w:vMerge w:val="continue"/>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maximum</w:t>
            </w:r>
          </w:p>
        </w:tc>
        <w:tc>
          <w:tcPr>
            <w:tcW w:w="8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maximum</w:t>
            </w:r>
          </w:p>
        </w:tc>
        <w:tc>
          <w:tcPr>
            <w:tcW w:w="9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vMerge w:val="restart"/>
          </w:tcPr>
          <w:p>
            <w:pPr>
              <w:jc w:val="center"/>
              <w:spacing w:after="0" w:line="188" w:lineRule="exact"/>
              <w:rPr>
                <w:sz w:val="20"/>
                <w:szCs w:val="20"/>
                <w:color w:val="auto"/>
              </w:rPr>
            </w:pPr>
            <w:r>
              <w:rPr>
                <w:rFonts w:ascii="Arial" w:cs="Arial" w:eastAsia="Arial" w:hAnsi="Arial"/>
                <w:sz w:val="18"/>
                <w:szCs w:val="18"/>
                <w:color w:val="auto"/>
              </w:rPr>
              <w:t>revenue</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-459740</wp:posOffset>
            </wp:positionV>
            <wp:extent cx="7132955" cy="6057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955" cy="6057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29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certified that the following additional shares had been earned by our Named Executive Officers under the 2023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PRSU Awards:</w:t>
      </w: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Fiscal 2023</w:t>
            </w:r>
          </w:p>
        </w:tc>
        <w:tc>
          <w:tcPr>
            <w:tcW w:w="2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Fiscal 2023</w:t>
            </w:r>
          </w:p>
        </w:tc>
        <w:tc>
          <w:tcPr>
            <w:tcW w:w="28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Fiscal 2023</w:t>
            </w:r>
          </w:p>
        </w:tc>
      </w:tr>
      <w:tr>
        <w:trPr>
          <w:trHeight w:val="254"/>
        </w:trPr>
        <w:tc>
          <w:tcPr>
            <w:tcW w:w="2380" w:type="dxa"/>
            <w:vAlign w:val="bottom"/>
          </w:tcPr>
          <w:p>
            <w:pPr>
              <w:spacing w:after="0"/>
              <w:rPr>
                <w:sz w:val="22"/>
                <w:szCs w:val="22"/>
                <w:color w:val="auto"/>
              </w:rPr>
            </w:pPr>
          </w:p>
        </w:tc>
        <w:tc>
          <w:tcPr>
            <w:tcW w:w="2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DRAM Shares</w:t>
            </w:r>
          </w:p>
        </w:tc>
        <w:tc>
          <w:tcPr>
            <w:tcW w:w="2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NAND Shares</w:t>
            </w:r>
          </w:p>
        </w:tc>
        <w:tc>
          <w:tcPr>
            <w:tcW w:w="28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rTSR Shares</w:t>
            </w:r>
          </w:p>
        </w:tc>
      </w:tr>
      <w:tr>
        <w:trPr>
          <w:trHeight w:val="196"/>
        </w:trPr>
        <w:tc>
          <w:tcPr>
            <w:tcW w:w="2380" w:type="dxa"/>
            <w:vAlign w:val="bottom"/>
          </w:tcPr>
          <w:p>
            <w:pPr>
              <w:spacing w:after="0"/>
              <w:rPr>
                <w:sz w:val="17"/>
                <w:szCs w:val="17"/>
                <w:color w:val="auto"/>
              </w:rPr>
            </w:pPr>
          </w:p>
        </w:tc>
        <w:tc>
          <w:tcPr>
            <w:tcW w:w="1460" w:type="dxa"/>
            <w:vAlign w:val="bottom"/>
            <w:tcBorders>
              <w:top w:val="single" w:sz="8" w:color="BD03F7"/>
            </w:tcBorders>
          </w:tcPr>
          <w:p>
            <w:pPr>
              <w:jc w:val="center"/>
              <w:spacing w:after="0" w:line="196" w:lineRule="exact"/>
              <w:rPr>
                <w:sz w:val="20"/>
                <w:szCs w:val="20"/>
                <w:color w:val="auto"/>
              </w:rPr>
            </w:pPr>
            <w:r>
              <w:rPr>
                <w:rFonts w:ascii="Arial" w:cs="Arial" w:eastAsia="Arial" w:hAnsi="Arial"/>
                <w:sz w:val="18"/>
                <w:szCs w:val="18"/>
                <w:b w:val="1"/>
                <w:bCs w:val="1"/>
                <w:color w:val="auto"/>
                <w:w w:val="98"/>
              </w:rPr>
              <w:t>Incremental</w:t>
            </w:r>
          </w:p>
        </w:tc>
        <w:tc>
          <w:tcPr>
            <w:tcW w:w="1380" w:type="dxa"/>
            <w:vAlign w:val="bottom"/>
            <w:tcBorders>
              <w:top w:val="single" w:sz="8" w:color="BD03F7"/>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BD03F7"/>
            </w:tcBorders>
          </w:tcPr>
          <w:p>
            <w:pPr>
              <w:jc w:val="center"/>
              <w:spacing w:after="0" w:line="196" w:lineRule="exact"/>
              <w:rPr>
                <w:sz w:val="20"/>
                <w:szCs w:val="20"/>
                <w:color w:val="auto"/>
              </w:rPr>
            </w:pPr>
            <w:r>
              <w:rPr>
                <w:rFonts w:ascii="Arial" w:cs="Arial" w:eastAsia="Arial" w:hAnsi="Arial"/>
                <w:sz w:val="18"/>
                <w:szCs w:val="18"/>
                <w:b w:val="1"/>
                <w:bCs w:val="1"/>
                <w:color w:val="auto"/>
                <w:w w:val="98"/>
              </w:rPr>
              <w:t>Incremental</w:t>
            </w:r>
          </w:p>
        </w:tc>
        <w:tc>
          <w:tcPr>
            <w:tcW w:w="1380" w:type="dxa"/>
            <w:vAlign w:val="bottom"/>
            <w:tcBorders>
              <w:top w:val="single" w:sz="8" w:color="BD03F7"/>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BD03F7"/>
            </w:tcBorders>
          </w:tcPr>
          <w:p>
            <w:pPr>
              <w:jc w:val="center"/>
              <w:spacing w:after="0" w:line="196" w:lineRule="exact"/>
              <w:rPr>
                <w:sz w:val="20"/>
                <w:szCs w:val="20"/>
                <w:color w:val="auto"/>
              </w:rPr>
            </w:pPr>
            <w:r>
              <w:rPr>
                <w:rFonts w:ascii="Arial" w:cs="Arial" w:eastAsia="Arial" w:hAnsi="Arial"/>
                <w:sz w:val="18"/>
                <w:szCs w:val="18"/>
                <w:b w:val="1"/>
                <w:bCs w:val="1"/>
                <w:color w:val="auto"/>
                <w:w w:val="98"/>
              </w:rPr>
              <w:t>Incremental</w:t>
            </w:r>
          </w:p>
        </w:tc>
        <w:tc>
          <w:tcPr>
            <w:tcW w:w="1360" w:type="dxa"/>
            <w:vAlign w:val="bottom"/>
            <w:tcBorders>
              <w:top w:val="single" w:sz="8" w:color="BD03F7"/>
            </w:tcBorders>
          </w:tcPr>
          <w:p>
            <w:pPr>
              <w:spacing w:after="0"/>
              <w:rPr>
                <w:sz w:val="17"/>
                <w:szCs w:val="17"/>
                <w:color w:val="auto"/>
              </w:rPr>
            </w:pPr>
          </w:p>
        </w:tc>
      </w:tr>
      <w:tr>
        <w:trPr>
          <w:trHeight w:val="202"/>
        </w:trPr>
        <w:tc>
          <w:tcPr>
            <w:tcW w:w="2380" w:type="dxa"/>
            <w:vAlign w:val="bottom"/>
          </w:tcPr>
          <w:p>
            <w:pPr>
              <w:spacing w:after="0"/>
              <w:rPr>
                <w:sz w:val="17"/>
                <w:szCs w:val="17"/>
                <w:color w:val="auto"/>
              </w:rPr>
            </w:pPr>
          </w:p>
        </w:tc>
        <w:tc>
          <w:tcPr>
            <w:tcW w:w="1460" w:type="dxa"/>
            <w:vAlign w:val="bottom"/>
          </w:tcPr>
          <w:p>
            <w:pPr>
              <w:jc w:val="right"/>
              <w:ind w:right="30"/>
              <w:spacing w:after="0" w:line="201" w:lineRule="exact"/>
              <w:rPr>
                <w:sz w:val="20"/>
                <w:szCs w:val="20"/>
                <w:color w:val="auto"/>
              </w:rPr>
            </w:pPr>
            <w:r>
              <w:rPr>
                <w:rFonts w:ascii="Arial" w:cs="Arial" w:eastAsia="Arial" w:hAnsi="Arial"/>
                <w:sz w:val="18"/>
                <w:szCs w:val="18"/>
                <w:b w:val="1"/>
                <w:bCs w:val="1"/>
                <w:color w:val="auto"/>
              </w:rPr>
              <w:t>Shares Earned</w:t>
            </w:r>
          </w:p>
        </w:tc>
        <w:tc>
          <w:tcPr>
            <w:tcW w:w="1480" w:type="dxa"/>
            <w:vAlign w:val="bottom"/>
            <w:gridSpan w:val="2"/>
          </w:tcPr>
          <w:p>
            <w:pPr>
              <w:jc w:val="center"/>
              <w:ind w:right="140"/>
              <w:spacing w:after="0" w:line="201" w:lineRule="exact"/>
              <w:rPr>
                <w:sz w:val="20"/>
                <w:szCs w:val="20"/>
                <w:color w:val="auto"/>
              </w:rPr>
            </w:pPr>
            <w:r>
              <w:rPr>
                <w:rFonts w:ascii="Arial" w:cs="Arial" w:eastAsia="Arial" w:hAnsi="Arial"/>
                <w:sz w:val="18"/>
                <w:szCs w:val="18"/>
                <w:b w:val="1"/>
                <w:bCs w:val="1"/>
                <w:color w:val="auto"/>
                <w:w w:val="98"/>
              </w:rPr>
              <w:t>Total Shares</w:t>
            </w:r>
          </w:p>
        </w:tc>
        <w:tc>
          <w:tcPr>
            <w:tcW w:w="14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Shares Earned</w:t>
            </w:r>
          </w:p>
        </w:tc>
        <w:tc>
          <w:tcPr>
            <w:tcW w:w="1480" w:type="dxa"/>
            <w:vAlign w:val="bottom"/>
            <w:gridSpan w:val="2"/>
          </w:tcPr>
          <w:p>
            <w:pPr>
              <w:jc w:val="center"/>
              <w:ind w:right="180"/>
              <w:spacing w:after="0" w:line="201" w:lineRule="exact"/>
              <w:rPr>
                <w:sz w:val="20"/>
                <w:szCs w:val="20"/>
                <w:color w:val="auto"/>
              </w:rPr>
            </w:pPr>
            <w:r>
              <w:rPr>
                <w:rFonts w:ascii="Arial" w:cs="Arial" w:eastAsia="Arial" w:hAnsi="Arial"/>
                <w:sz w:val="18"/>
                <w:szCs w:val="18"/>
                <w:b w:val="1"/>
                <w:bCs w:val="1"/>
                <w:color w:val="auto"/>
                <w:w w:val="98"/>
              </w:rPr>
              <w:t>Total Shares</w:t>
            </w:r>
          </w:p>
        </w:tc>
        <w:tc>
          <w:tcPr>
            <w:tcW w:w="14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Shares Earned</w:t>
            </w:r>
          </w:p>
        </w:tc>
        <w:tc>
          <w:tcPr>
            <w:tcW w:w="1360" w:type="dxa"/>
            <w:vAlign w:val="bottom"/>
          </w:tcPr>
          <w:p>
            <w:pPr>
              <w:jc w:val="right"/>
              <w:ind w:right="90"/>
              <w:spacing w:after="0" w:line="201" w:lineRule="exact"/>
              <w:rPr>
                <w:sz w:val="20"/>
                <w:szCs w:val="20"/>
                <w:color w:val="auto"/>
              </w:rPr>
            </w:pPr>
            <w:r>
              <w:rPr>
                <w:rFonts w:ascii="Arial" w:cs="Arial" w:eastAsia="Arial" w:hAnsi="Arial"/>
                <w:sz w:val="18"/>
                <w:szCs w:val="18"/>
                <w:b w:val="1"/>
                <w:bCs w:val="1"/>
                <w:color w:val="auto"/>
              </w:rPr>
              <w:t>Total Shares</w:t>
            </w:r>
          </w:p>
        </w:tc>
      </w:tr>
      <w:tr>
        <w:trPr>
          <w:trHeight w:val="188"/>
        </w:trPr>
        <w:tc>
          <w:tcPr>
            <w:tcW w:w="238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&amp; Vested for</w:t>
            </w:r>
          </w:p>
        </w:tc>
        <w:tc>
          <w:tcPr>
            <w:tcW w:w="1480" w:type="dxa"/>
            <w:vAlign w:val="bottom"/>
            <w:gridSpan w:val="2"/>
          </w:tcPr>
          <w:p>
            <w:pPr>
              <w:jc w:val="center"/>
              <w:ind w:right="160"/>
              <w:spacing w:after="0" w:line="189" w:lineRule="exact"/>
              <w:rPr>
                <w:sz w:val="20"/>
                <w:szCs w:val="20"/>
                <w:color w:val="auto"/>
              </w:rPr>
            </w:pPr>
            <w:r>
              <w:rPr>
                <w:rFonts w:ascii="Arial" w:cs="Arial" w:eastAsia="Arial" w:hAnsi="Arial"/>
                <w:sz w:val="18"/>
                <w:szCs w:val="18"/>
                <w:b w:val="1"/>
                <w:bCs w:val="1"/>
                <w:color w:val="auto"/>
              </w:rPr>
              <w:t>Earned &amp;</w:t>
            </w:r>
          </w:p>
        </w:tc>
        <w:tc>
          <w:tcPr>
            <w:tcW w:w="14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&amp; Vested for</w:t>
            </w:r>
          </w:p>
        </w:tc>
        <w:tc>
          <w:tcPr>
            <w:tcW w:w="1480" w:type="dxa"/>
            <w:vAlign w:val="bottom"/>
            <w:gridSpan w:val="2"/>
          </w:tcPr>
          <w:p>
            <w:pPr>
              <w:jc w:val="center"/>
              <w:ind w:right="160"/>
              <w:spacing w:after="0" w:line="189" w:lineRule="exact"/>
              <w:rPr>
                <w:sz w:val="20"/>
                <w:szCs w:val="20"/>
                <w:color w:val="auto"/>
              </w:rPr>
            </w:pPr>
            <w:r>
              <w:rPr>
                <w:rFonts w:ascii="Arial" w:cs="Arial" w:eastAsia="Arial" w:hAnsi="Arial"/>
                <w:sz w:val="18"/>
                <w:szCs w:val="18"/>
                <w:b w:val="1"/>
                <w:bCs w:val="1"/>
                <w:color w:val="auto"/>
              </w:rPr>
              <w:t>Earned &amp;</w:t>
            </w: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&amp; Vested for</w:t>
            </w:r>
          </w:p>
        </w:tc>
        <w:tc>
          <w:tcPr>
            <w:tcW w:w="136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Earned &amp;</w:t>
            </w:r>
          </w:p>
        </w:tc>
      </w:tr>
      <w:tr>
        <w:trPr>
          <w:trHeight w:val="268"/>
        </w:trPr>
        <w:tc>
          <w:tcPr>
            <w:tcW w:w="2380" w:type="dxa"/>
            <w:vAlign w:val="bottom"/>
            <w:tcBorders>
              <w:bottom w:val="single" w:sz="8" w:color="BD03F7"/>
            </w:tcBorders>
          </w:tcPr>
          <w:p>
            <w:pPr>
              <w:spacing w:after="0"/>
              <w:rPr>
                <w:sz w:val="20"/>
                <w:szCs w:val="20"/>
                <w:color w:val="auto"/>
              </w:rPr>
            </w:pPr>
            <w:r>
              <w:rPr>
                <w:rFonts w:ascii="Arial" w:cs="Arial" w:eastAsia="Arial" w:hAnsi="Arial"/>
                <w:sz w:val="18"/>
                <w:szCs w:val="18"/>
                <w:b w:val="1"/>
                <w:bCs w:val="1"/>
                <w:color w:val="auto"/>
              </w:rPr>
              <w:t>Executive</w:t>
            </w:r>
          </w:p>
        </w:tc>
        <w:tc>
          <w:tcPr>
            <w:tcW w:w="14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7"/>
              </w:rPr>
              <w:t>FY25</w:t>
            </w:r>
          </w:p>
        </w:tc>
        <w:tc>
          <w:tcPr>
            <w:tcW w:w="1480" w:type="dxa"/>
            <w:vAlign w:val="bottom"/>
            <w:tcBorders>
              <w:bottom w:val="single" w:sz="8" w:color="BD03F7"/>
            </w:tcBorders>
            <w:gridSpan w:val="2"/>
          </w:tcPr>
          <w:p>
            <w:pPr>
              <w:jc w:val="center"/>
              <w:ind w:right="160"/>
              <w:spacing w:after="0"/>
              <w:rPr>
                <w:sz w:val="20"/>
                <w:szCs w:val="20"/>
                <w:color w:val="auto"/>
              </w:rPr>
            </w:pPr>
            <w:r>
              <w:rPr>
                <w:rFonts w:ascii="Arial" w:cs="Arial" w:eastAsia="Arial" w:hAnsi="Arial"/>
                <w:sz w:val="18"/>
                <w:szCs w:val="18"/>
                <w:b w:val="1"/>
                <w:bCs w:val="1"/>
                <w:color w:val="auto"/>
              </w:rPr>
              <w:t>Vested</w:t>
            </w:r>
            <w:r>
              <w:rPr>
                <w:rFonts w:ascii="Arial" w:cs="Arial" w:eastAsia="Arial" w:hAnsi="Arial"/>
                <w:sz w:val="17"/>
                <w:szCs w:val="17"/>
                <w:b w:val="1"/>
                <w:bCs w:val="1"/>
                <w:color w:val="auto"/>
              </w:rPr>
              <w:t>(1)</w:t>
            </w:r>
          </w:p>
        </w:tc>
        <w:tc>
          <w:tcPr>
            <w:tcW w:w="148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w w:val="97"/>
              </w:rPr>
              <w:t>FY25</w:t>
            </w:r>
          </w:p>
        </w:tc>
        <w:tc>
          <w:tcPr>
            <w:tcW w:w="1480" w:type="dxa"/>
            <w:vAlign w:val="bottom"/>
            <w:tcBorders>
              <w:bottom w:val="single" w:sz="8" w:color="BD03F7"/>
            </w:tcBorders>
            <w:gridSpan w:val="2"/>
          </w:tcPr>
          <w:p>
            <w:pPr>
              <w:jc w:val="center"/>
              <w:ind w:right="160"/>
              <w:spacing w:after="0"/>
              <w:rPr>
                <w:sz w:val="20"/>
                <w:szCs w:val="20"/>
                <w:color w:val="auto"/>
              </w:rPr>
            </w:pPr>
            <w:r>
              <w:rPr>
                <w:rFonts w:ascii="Arial" w:cs="Arial" w:eastAsia="Arial" w:hAnsi="Arial"/>
                <w:sz w:val="18"/>
                <w:szCs w:val="18"/>
                <w:b w:val="1"/>
                <w:bCs w:val="1"/>
                <w:color w:val="auto"/>
              </w:rPr>
              <w:t>Vested</w:t>
            </w:r>
            <w:r>
              <w:rPr>
                <w:rFonts w:ascii="Arial" w:cs="Arial" w:eastAsia="Arial" w:hAnsi="Arial"/>
                <w:sz w:val="17"/>
                <w:szCs w:val="17"/>
                <w:b w:val="1"/>
                <w:bCs w:val="1"/>
                <w:color w:val="auto"/>
              </w:rPr>
              <w:t>(1)</w:t>
            </w:r>
          </w:p>
        </w:tc>
        <w:tc>
          <w:tcPr>
            <w:tcW w:w="1460" w:type="dxa"/>
            <w:vAlign w:val="bottom"/>
            <w:tcBorders>
              <w:bottom w:val="single" w:sz="8" w:color="BD03F7"/>
            </w:tcBorders>
          </w:tcPr>
          <w:p>
            <w:pPr>
              <w:jc w:val="center"/>
              <w:spacing w:after="0"/>
              <w:rPr>
                <w:sz w:val="20"/>
                <w:szCs w:val="20"/>
                <w:color w:val="auto"/>
              </w:rPr>
            </w:pPr>
            <w:r>
              <w:rPr>
                <w:rFonts w:ascii="Arial" w:cs="Arial" w:eastAsia="Arial" w:hAnsi="Arial"/>
                <w:sz w:val="18"/>
                <w:szCs w:val="18"/>
                <w:b w:val="1"/>
                <w:bCs w:val="1"/>
                <w:color w:val="auto"/>
              </w:rPr>
              <w:t>FY25</w:t>
            </w:r>
          </w:p>
        </w:tc>
        <w:tc>
          <w:tcPr>
            <w:tcW w:w="1360" w:type="dxa"/>
            <w:vAlign w:val="bottom"/>
            <w:tcBorders>
              <w:bottom w:val="single" w:sz="8" w:color="BD03F7"/>
            </w:tcBorders>
          </w:tcPr>
          <w:p>
            <w:pPr>
              <w:jc w:val="right"/>
              <w:ind w:right="210"/>
              <w:spacing w:after="0"/>
              <w:rPr>
                <w:sz w:val="20"/>
                <w:szCs w:val="20"/>
                <w:color w:val="auto"/>
              </w:rPr>
            </w:pPr>
            <w:r>
              <w:rPr>
                <w:rFonts w:ascii="Arial" w:cs="Arial" w:eastAsia="Arial" w:hAnsi="Arial"/>
                <w:sz w:val="18"/>
                <w:szCs w:val="18"/>
                <w:b w:val="1"/>
                <w:bCs w:val="1"/>
                <w:color w:val="auto"/>
              </w:rPr>
              <w:t>Vested</w:t>
            </w:r>
            <w:r>
              <w:rPr>
                <w:rFonts w:ascii="Arial" w:cs="Arial" w:eastAsia="Arial" w:hAnsi="Arial"/>
                <w:sz w:val="17"/>
                <w:szCs w:val="17"/>
                <w:b w:val="1"/>
                <w:bCs w:val="1"/>
                <w:color w:val="auto"/>
              </w:rPr>
              <w:t>(1)</w:t>
            </w:r>
          </w:p>
        </w:tc>
      </w:tr>
      <w:tr>
        <w:trPr>
          <w:trHeight w:val="40"/>
        </w:trPr>
        <w:tc>
          <w:tcPr>
            <w:tcW w:w="23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5"/>
        </w:trPr>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Sanjay Mehrotra</w:t>
            </w:r>
          </w:p>
        </w:tc>
        <w:tc>
          <w:tcPr>
            <w:tcW w:w="14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99,052</w:t>
            </w:r>
          </w:p>
        </w:tc>
        <w:tc>
          <w:tcPr>
            <w:tcW w:w="1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131,132</w:t>
            </w:r>
          </w:p>
        </w:tc>
        <w:tc>
          <w:tcPr>
            <w:tcW w:w="100" w:type="dxa"/>
            <w:vAlign w:val="bottom"/>
            <w:shd w:val="clear" w:color="auto" w:fill="F2F2F2"/>
          </w:tcPr>
          <w:p>
            <w:pPr>
              <w:spacing w:after="0"/>
              <w:rPr>
                <w:sz w:val="22"/>
                <w:szCs w:val="22"/>
                <w:color w:val="auto"/>
              </w:rPr>
            </w:pPr>
          </w:p>
        </w:tc>
        <w:tc>
          <w:tcPr>
            <w:tcW w:w="148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18,572</w:t>
            </w:r>
          </w:p>
        </w:tc>
        <w:tc>
          <w:tcPr>
            <w:tcW w:w="1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131,132</w:t>
            </w:r>
          </w:p>
        </w:tc>
        <w:tc>
          <w:tcPr>
            <w:tcW w:w="100" w:type="dxa"/>
            <w:vAlign w:val="bottom"/>
            <w:shd w:val="clear" w:color="auto" w:fill="F2F2F2"/>
          </w:tcPr>
          <w:p>
            <w:pPr>
              <w:spacing w:after="0"/>
              <w:rPr>
                <w:sz w:val="22"/>
                <w:szCs w:val="22"/>
                <w:color w:val="auto"/>
              </w:rPr>
            </w:pPr>
          </w:p>
        </w:tc>
        <w:tc>
          <w:tcPr>
            <w:tcW w:w="14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17,753</w:t>
            </w:r>
          </w:p>
        </w:tc>
        <w:tc>
          <w:tcPr>
            <w:tcW w:w="13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113,619</w:t>
            </w:r>
          </w:p>
        </w:tc>
      </w:tr>
      <w:tr>
        <w:trPr>
          <w:trHeight w:val="255"/>
        </w:trPr>
        <w:tc>
          <w:tcPr>
            <w:tcW w:w="2380" w:type="dxa"/>
            <w:vAlign w:val="bottom"/>
          </w:tcPr>
          <w:p>
            <w:pPr>
              <w:spacing w:after="0"/>
              <w:rPr>
                <w:sz w:val="20"/>
                <w:szCs w:val="20"/>
                <w:color w:val="auto"/>
              </w:rPr>
            </w:pPr>
            <w:r>
              <w:rPr>
                <w:rFonts w:ascii="Arial" w:cs="Arial" w:eastAsia="Arial" w:hAnsi="Arial"/>
                <w:sz w:val="18"/>
                <w:szCs w:val="18"/>
                <w:color w:val="auto"/>
              </w:rPr>
              <w:t>Mark Murphy</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32,322</w:t>
            </w:r>
          </w:p>
        </w:tc>
        <w:tc>
          <w:tcPr>
            <w:tcW w:w="1380" w:type="dxa"/>
            <w:vAlign w:val="bottom"/>
          </w:tcPr>
          <w:p>
            <w:pPr>
              <w:jc w:val="right"/>
              <w:spacing w:after="0"/>
              <w:rPr>
                <w:sz w:val="20"/>
                <w:szCs w:val="20"/>
                <w:color w:val="auto"/>
              </w:rPr>
            </w:pPr>
            <w:r>
              <w:rPr>
                <w:rFonts w:ascii="Arial" w:cs="Arial" w:eastAsia="Arial" w:hAnsi="Arial"/>
                <w:sz w:val="18"/>
                <w:szCs w:val="18"/>
                <w:color w:val="auto"/>
              </w:rPr>
              <w:t>42,790</w:t>
            </w:r>
          </w:p>
        </w:tc>
        <w:tc>
          <w:tcPr>
            <w:tcW w:w="10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6,060</w:t>
            </w:r>
          </w:p>
        </w:tc>
        <w:tc>
          <w:tcPr>
            <w:tcW w:w="1380" w:type="dxa"/>
            <w:vAlign w:val="bottom"/>
          </w:tcPr>
          <w:p>
            <w:pPr>
              <w:jc w:val="right"/>
              <w:spacing w:after="0"/>
              <w:rPr>
                <w:sz w:val="20"/>
                <w:szCs w:val="20"/>
                <w:color w:val="auto"/>
              </w:rPr>
            </w:pPr>
            <w:r>
              <w:rPr>
                <w:rFonts w:ascii="Arial" w:cs="Arial" w:eastAsia="Arial" w:hAnsi="Arial"/>
                <w:sz w:val="18"/>
                <w:szCs w:val="18"/>
                <w:color w:val="auto"/>
              </w:rPr>
              <w:t>42,790</w:t>
            </w:r>
          </w:p>
        </w:tc>
        <w:tc>
          <w:tcPr>
            <w:tcW w:w="100" w:type="dxa"/>
            <w:vAlign w:val="bottom"/>
          </w:tcPr>
          <w:p>
            <w:pPr>
              <w:spacing w:after="0"/>
              <w:rPr>
                <w:sz w:val="22"/>
                <w:szCs w:val="22"/>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5,793</w:t>
            </w:r>
          </w:p>
        </w:tc>
        <w:tc>
          <w:tcPr>
            <w:tcW w:w="1360" w:type="dxa"/>
            <w:vAlign w:val="bottom"/>
          </w:tcPr>
          <w:p>
            <w:pPr>
              <w:jc w:val="right"/>
              <w:spacing w:after="0"/>
              <w:rPr>
                <w:sz w:val="20"/>
                <w:szCs w:val="20"/>
                <w:color w:val="auto"/>
              </w:rPr>
            </w:pPr>
            <w:r>
              <w:rPr>
                <w:rFonts w:ascii="Arial" w:cs="Arial" w:eastAsia="Arial" w:hAnsi="Arial"/>
                <w:sz w:val="18"/>
                <w:szCs w:val="18"/>
                <w:color w:val="auto"/>
              </w:rPr>
              <w:t>37,075</w:t>
            </w:r>
          </w:p>
        </w:tc>
      </w:tr>
      <w:tr>
        <w:trPr>
          <w:trHeight w:val="255"/>
        </w:trPr>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Manish Bhatia</w:t>
            </w:r>
          </w:p>
        </w:tc>
        <w:tc>
          <w:tcPr>
            <w:tcW w:w="14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34,408</w:t>
            </w:r>
          </w:p>
        </w:tc>
        <w:tc>
          <w:tcPr>
            <w:tcW w:w="1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45,552</w:t>
            </w:r>
          </w:p>
        </w:tc>
        <w:tc>
          <w:tcPr>
            <w:tcW w:w="100" w:type="dxa"/>
            <w:vAlign w:val="bottom"/>
            <w:shd w:val="clear" w:color="auto" w:fill="F2F2F2"/>
          </w:tcPr>
          <w:p>
            <w:pPr>
              <w:spacing w:after="0"/>
              <w:rPr>
                <w:sz w:val="22"/>
                <w:szCs w:val="22"/>
                <w:color w:val="auto"/>
              </w:rPr>
            </w:pPr>
          </w:p>
        </w:tc>
        <w:tc>
          <w:tcPr>
            <w:tcW w:w="148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6,452</w:t>
            </w:r>
          </w:p>
        </w:tc>
        <w:tc>
          <w:tcPr>
            <w:tcW w:w="1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45,552</w:t>
            </w:r>
          </w:p>
        </w:tc>
        <w:tc>
          <w:tcPr>
            <w:tcW w:w="100" w:type="dxa"/>
            <w:vAlign w:val="bottom"/>
            <w:shd w:val="clear" w:color="auto" w:fill="F2F2F2"/>
          </w:tcPr>
          <w:p>
            <w:pPr>
              <w:spacing w:after="0"/>
              <w:rPr>
                <w:sz w:val="22"/>
                <w:szCs w:val="22"/>
                <w:color w:val="auto"/>
              </w:rPr>
            </w:pPr>
          </w:p>
        </w:tc>
        <w:tc>
          <w:tcPr>
            <w:tcW w:w="14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6,167</w:t>
            </w:r>
          </w:p>
        </w:tc>
        <w:tc>
          <w:tcPr>
            <w:tcW w:w="13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39,468</w:t>
            </w:r>
          </w:p>
        </w:tc>
      </w:tr>
      <w:tr>
        <w:trPr>
          <w:trHeight w:val="255"/>
        </w:trPr>
        <w:tc>
          <w:tcPr>
            <w:tcW w:w="2380" w:type="dxa"/>
            <w:vAlign w:val="bottom"/>
          </w:tcPr>
          <w:p>
            <w:pPr>
              <w:spacing w:after="0"/>
              <w:rPr>
                <w:sz w:val="20"/>
                <w:szCs w:val="20"/>
                <w:color w:val="auto"/>
              </w:rPr>
            </w:pPr>
            <w:r>
              <w:rPr>
                <w:rFonts w:ascii="Arial" w:cs="Arial" w:eastAsia="Arial" w:hAnsi="Arial"/>
                <w:sz w:val="18"/>
                <w:szCs w:val="18"/>
                <w:color w:val="auto"/>
              </w:rPr>
              <w:t>Scott DeBoer</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27,109</w:t>
            </w:r>
          </w:p>
        </w:tc>
        <w:tc>
          <w:tcPr>
            <w:tcW w:w="1380" w:type="dxa"/>
            <w:vAlign w:val="bottom"/>
          </w:tcPr>
          <w:p>
            <w:pPr>
              <w:jc w:val="right"/>
              <w:spacing w:after="0"/>
              <w:rPr>
                <w:sz w:val="20"/>
                <w:szCs w:val="20"/>
                <w:color w:val="auto"/>
              </w:rPr>
            </w:pPr>
            <w:r>
              <w:rPr>
                <w:rFonts w:ascii="Arial" w:cs="Arial" w:eastAsia="Arial" w:hAnsi="Arial"/>
                <w:sz w:val="18"/>
                <w:szCs w:val="18"/>
                <w:color w:val="auto"/>
              </w:rPr>
              <w:t>35,889</w:t>
            </w:r>
          </w:p>
        </w:tc>
        <w:tc>
          <w:tcPr>
            <w:tcW w:w="10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5,083</w:t>
            </w:r>
          </w:p>
        </w:tc>
        <w:tc>
          <w:tcPr>
            <w:tcW w:w="1380" w:type="dxa"/>
            <w:vAlign w:val="bottom"/>
          </w:tcPr>
          <w:p>
            <w:pPr>
              <w:jc w:val="right"/>
              <w:spacing w:after="0"/>
              <w:rPr>
                <w:sz w:val="20"/>
                <w:szCs w:val="20"/>
                <w:color w:val="auto"/>
              </w:rPr>
            </w:pPr>
            <w:r>
              <w:rPr>
                <w:rFonts w:ascii="Arial" w:cs="Arial" w:eastAsia="Arial" w:hAnsi="Arial"/>
                <w:sz w:val="18"/>
                <w:szCs w:val="18"/>
                <w:color w:val="auto"/>
              </w:rPr>
              <w:t>35,889</w:t>
            </w:r>
          </w:p>
        </w:tc>
        <w:tc>
          <w:tcPr>
            <w:tcW w:w="100" w:type="dxa"/>
            <w:vAlign w:val="bottom"/>
          </w:tcPr>
          <w:p>
            <w:pPr>
              <w:spacing w:after="0"/>
              <w:rPr>
                <w:sz w:val="22"/>
                <w:szCs w:val="22"/>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4,858</w:t>
            </w:r>
          </w:p>
        </w:tc>
        <w:tc>
          <w:tcPr>
            <w:tcW w:w="1360" w:type="dxa"/>
            <w:vAlign w:val="bottom"/>
          </w:tcPr>
          <w:p>
            <w:pPr>
              <w:jc w:val="right"/>
              <w:spacing w:after="0"/>
              <w:rPr>
                <w:sz w:val="20"/>
                <w:szCs w:val="20"/>
                <w:color w:val="auto"/>
              </w:rPr>
            </w:pPr>
            <w:r>
              <w:rPr>
                <w:rFonts w:ascii="Arial" w:cs="Arial" w:eastAsia="Arial" w:hAnsi="Arial"/>
                <w:sz w:val="18"/>
                <w:szCs w:val="18"/>
                <w:color w:val="auto"/>
              </w:rPr>
              <w:t>31,096</w:t>
            </w:r>
          </w:p>
        </w:tc>
      </w:tr>
      <w:tr>
        <w:trPr>
          <w:trHeight w:val="255"/>
        </w:trPr>
        <w:tc>
          <w:tcPr>
            <w:tcW w:w="2380" w:type="dxa"/>
            <w:vAlign w:val="bottom"/>
            <w:tcBorders>
              <w:bottom w:val="single" w:sz="8" w:color="BD03F7"/>
            </w:tcBorders>
            <w:shd w:val="clear" w:color="auto" w:fill="F2F2F2"/>
          </w:tcPr>
          <w:p>
            <w:pPr>
              <w:spacing w:after="0"/>
              <w:rPr>
                <w:sz w:val="20"/>
                <w:szCs w:val="20"/>
                <w:color w:val="auto"/>
              </w:rPr>
            </w:pPr>
            <w:r>
              <w:rPr>
                <w:rFonts w:ascii="Arial" w:cs="Arial" w:eastAsia="Arial" w:hAnsi="Arial"/>
                <w:sz w:val="18"/>
                <w:szCs w:val="18"/>
                <w:color w:val="auto"/>
              </w:rPr>
              <w:t>Sumit Sadana</w:t>
            </w:r>
          </w:p>
        </w:tc>
        <w:tc>
          <w:tcPr>
            <w:tcW w:w="1460" w:type="dxa"/>
            <w:vAlign w:val="bottom"/>
            <w:tcBorders>
              <w:bottom w:val="single" w:sz="8" w:color="BD03F7"/>
            </w:tcBorders>
            <w:shd w:val="clear" w:color="auto" w:fill="F2F2F2"/>
          </w:tcPr>
          <w:p>
            <w:pPr>
              <w:jc w:val="right"/>
              <w:ind w:right="30"/>
              <w:spacing w:after="0"/>
              <w:rPr>
                <w:sz w:val="20"/>
                <w:szCs w:val="20"/>
                <w:color w:val="auto"/>
              </w:rPr>
            </w:pPr>
            <w:r>
              <w:rPr>
                <w:rFonts w:ascii="Arial" w:cs="Arial" w:eastAsia="Arial" w:hAnsi="Arial"/>
                <w:sz w:val="18"/>
                <w:szCs w:val="18"/>
                <w:color w:val="auto"/>
              </w:rPr>
              <w:t>35,450</w:t>
            </w:r>
          </w:p>
        </w:tc>
        <w:tc>
          <w:tcPr>
            <w:tcW w:w="13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tcBorders>
              <w:bottom w:val="single" w:sz="8" w:color="BD03F7"/>
            </w:tcBorders>
            <w:shd w:val="clear" w:color="auto" w:fill="F2F2F2"/>
          </w:tcPr>
          <w:p>
            <w:pPr>
              <w:spacing w:after="0"/>
              <w:rPr>
                <w:sz w:val="22"/>
                <w:szCs w:val="22"/>
                <w:color w:val="auto"/>
              </w:rPr>
            </w:pPr>
          </w:p>
        </w:tc>
        <w:tc>
          <w:tcPr>
            <w:tcW w:w="1480" w:type="dxa"/>
            <w:vAlign w:val="bottom"/>
            <w:tcBorders>
              <w:bottom w:val="single" w:sz="8" w:color="BD03F7"/>
            </w:tcBorders>
            <w:shd w:val="clear" w:color="auto" w:fill="F2F2F2"/>
          </w:tcPr>
          <w:p>
            <w:pPr>
              <w:jc w:val="right"/>
              <w:ind w:right="30"/>
              <w:spacing w:after="0"/>
              <w:rPr>
                <w:sz w:val="20"/>
                <w:szCs w:val="20"/>
                <w:color w:val="auto"/>
              </w:rPr>
            </w:pPr>
            <w:r>
              <w:rPr>
                <w:rFonts w:ascii="Arial" w:cs="Arial" w:eastAsia="Arial" w:hAnsi="Arial"/>
                <w:sz w:val="18"/>
                <w:szCs w:val="18"/>
                <w:color w:val="auto"/>
              </w:rPr>
              <w:t>6,647</w:t>
            </w:r>
          </w:p>
        </w:tc>
        <w:tc>
          <w:tcPr>
            <w:tcW w:w="13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tcBorders>
              <w:bottom w:val="single" w:sz="8" w:color="BD03F7"/>
            </w:tcBorders>
            <w:shd w:val="clear" w:color="auto" w:fill="F2F2F2"/>
          </w:tcPr>
          <w:p>
            <w:pPr>
              <w:spacing w:after="0"/>
              <w:rPr>
                <w:sz w:val="22"/>
                <w:szCs w:val="22"/>
                <w:color w:val="auto"/>
              </w:rPr>
            </w:pPr>
          </w:p>
        </w:tc>
        <w:tc>
          <w:tcPr>
            <w:tcW w:w="1460" w:type="dxa"/>
            <w:vAlign w:val="bottom"/>
            <w:tcBorders>
              <w:bottom w:val="single" w:sz="8" w:color="BD03F7"/>
            </w:tcBorders>
            <w:shd w:val="clear" w:color="auto" w:fill="F2F2F2"/>
          </w:tcPr>
          <w:p>
            <w:pPr>
              <w:jc w:val="right"/>
              <w:ind w:right="30"/>
              <w:spacing w:after="0"/>
              <w:rPr>
                <w:sz w:val="20"/>
                <w:szCs w:val="20"/>
                <w:color w:val="auto"/>
              </w:rPr>
            </w:pPr>
            <w:r>
              <w:rPr>
                <w:rFonts w:ascii="Arial" w:cs="Arial" w:eastAsia="Arial" w:hAnsi="Arial"/>
                <w:sz w:val="18"/>
                <w:szCs w:val="18"/>
                <w:color w:val="auto"/>
              </w:rPr>
              <w:t>6,353</w:t>
            </w:r>
          </w:p>
        </w:tc>
        <w:tc>
          <w:tcPr>
            <w:tcW w:w="13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40,664</w:t>
            </w:r>
          </w:p>
        </w:tc>
      </w:tr>
    </w:tbl>
    <w:p>
      <w:pPr>
        <w:spacing w:after="0" w:line="71" w:lineRule="exact"/>
        <w:rPr>
          <w:sz w:val="20"/>
          <w:szCs w:val="20"/>
          <w:color w:val="auto"/>
        </w:rPr>
      </w:pPr>
    </w:p>
    <w:p>
      <w:pPr>
        <w:ind w:right="180" w:firstLine="7"/>
        <w:spacing w:after="0" w:line="303" w:lineRule="auto"/>
        <w:tabs>
          <w:tab w:leader="none" w:pos="215"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shares earned and vested or banked on the first Certification Date (which followed Fiscal 2024). Any shares that were banked on the first Certification Date vested on the second Certification Date (which followed Fiscal 2025).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CONSIDERATION OF TAX CONSEQUENCES WHEN MAKING COMPENSATION DECISIONS</w:t>
      </w:r>
    </w:p>
    <w:p>
      <w:pPr>
        <w:spacing w:after="0" w:line="25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Code Section 162(m) generally disallows a tax deduction to public companies such as Micron for annual compensation over $1,000,000 per person paid to our Named Executive Officers and certain other current or former executive officers. Although the Compensation Committee considers the deductibility of compensation under Section 162(m), it reserves the right to grant or approve compensation or awards that may be non-deductible when it believes such compensation or awards are in the best interests of Micron and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OTHER COMPENSATION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29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OFFICER STOCK OWNERSHIP GUIDELINES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established stock ownership guidelines for our executive officers. The Compensation Committee believes that our executive officers will more effectively manage the Company in the best interests of the shareholders if they are also shareholders. The minimum ownership guideline for our Chief Executive Officer is to hold shares with a value equal to six times his base salary. Our other executive officers are required to hold shares with a value equal to three times their base salary. Executive officers are given five years to meet the ownership guidelines. The Governance and Sustainability Committee reviews the stock ownership guidelines periodically and monitors each covered executive’s progress toward, and continued compliance with, the guidelines. Stock sales restrictions may be imposed upon executive officers if the stock ownership guidelines are not met. All our executive officers are currently in compliance with the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143510</wp:posOffset>
            </wp:positionV>
            <wp:extent cx="5784850" cy="784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84850"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Compliance is based on ownership (either directly in their name or jointly or separately by a spouse, children or trusts) of fully vested shares obtained through previous equity awards, unvested time-based equity awards and shares purchased on the open market. Unexercised options and unearned performance-based equity awards do not count towards ownership. As of Fiscal 2025 year-end, all Named Executive Officers were in compliance with the guidelines.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see page </w:t>
      </w:r>
      <w:r>
        <w:rPr>
          <w:rFonts w:ascii="Arial" w:cs="Arial" w:eastAsia="Arial" w:hAnsi="Arial"/>
          <w:sz w:val="18"/>
          <w:szCs w:val="18"/>
          <w:u w:val="single" w:color="auto"/>
          <w:color w:val="BD03F7"/>
        </w:rPr>
        <w:t>34</w:t>
      </w:r>
      <w:r>
        <w:rPr>
          <w:rFonts w:ascii="Arial" w:cs="Arial" w:eastAsia="Arial" w:hAnsi="Arial"/>
          <w:sz w:val="18"/>
          <w:szCs w:val="18"/>
          <w:color w:val="auto"/>
        </w:rPr>
        <w:t xml:space="preserve"> for information on stock ownership guidelines for our directors.</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RECOUPMENT (CLAWBACK) POLICY</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a compensation recoupment (clawback) policy, which we amended and restated effective in September 2023 for compliance with the listing standards of Nasdaq and Section 10D of the Exchange Act. In the event that the Company is required to prepare an accounting restatement due to its material noncompliance with any financial reporting requirement under U.S. securities law, the policy provides that the Company will recoup compensation from each current or former executive officer who, during the three-year period preceding the date on which a restatement is required, received compensation from incentive awards based on the erroneous financial data that exceeds the amount of incentive-based compensation the executive would have received based on the restatement. The Compensation Committee has sole discretion to determine how to seek recovery under the policy and may forgo recovery if it determines that recovery would be impracticable and either the cost of recovery would exceed the amount sought to be recovered, or that recovery would violate a home-country law that was adopted prior to November 28, 2022 or would cause an otherwise tax-qualified retirement plan broadly available to our employees to fail to meet applicable tax qualification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INSIDER TRADING, ANTI-HEDGING AND PLEDGING POLICIES</w:t>
      </w:r>
    </w:p>
    <w:p>
      <w:pPr>
        <w:spacing w:after="0" w:line="238"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have adopted an Insider Trading Policy containing policies and procedures governing the purchase, sale and/or other dispositions of our securities by Insiders (including officers and directors as well as certain other employees identified pursuant to the Insider Trading Policy), or by us. Such policies and procedures are reasonably designed to promote compliance with insider trading laws, rules and regulations, and any listing standards applicable to us. Our Insider Trading Policy has been filed as required by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prohibit Insiders from engaging in speculative transactions involving the Company's securities, including short sales, puts, calls or other options on our Common Stock, that hedge or offset, or are designed to hedge or offset, any decrease in the market value of the Company’s equity securities. Additionally, Insiders may not pledge Company securities as collateral for any loan or as part of any other pledging transaction.</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 AWARD GRANT PRACTICES</w:t>
      </w:r>
    </w:p>
    <w:p>
      <w:pPr>
        <w:spacing w:after="0" w:line="23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We have not granted stock options or other similar types of awards as part of our equity compensation programs since 2018. RSAs, RSUs, or other types of equity awards that we grant to directors, officers and employees do not include an exercise price.</w:t>
      </w:r>
    </w:p>
    <w:p>
      <w:pPr>
        <w:spacing w:after="0" w:line="181" w:lineRule="exact"/>
        <w:rPr>
          <w:sz w:val="20"/>
          <w:szCs w:val="20"/>
          <w:color w:val="auto"/>
        </w:rPr>
      </w:pPr>
    </w:p>
    <w:p>
      <w:pPr>
        <w:ind w:right="2440"/>
        <w:spacing w:after="0" w:line="285" w:lineRule="auto"/>
        <w:rPr>
          <w:sz w:val="20"/>
          <w:szCs w:val="20"/>
          <w:color w:val="auto"/>
        </w:rPr>
      </w:pPr>
      <w:r>
        <w:rPr>
          <w:rFonts w:ascii="Arial" w:cs="Arial" w:eastAsia="Arial" w:hAnsi="Arial"/>
          <w:sz w:val="18"/>
          <w:szCs w:val="18"/>
          <w:color w:val="auto"/>
        </w:rPr>
        <w:t>Historically, long-term incentive awards for all executive officers have been made in the first quarter of the fiscal year, with the exact grant date occurring on or after the date of the Compensation Committee’s approval.</w:t>
      </w:r>
    </w:p>
    <w:p>
      <w:pPr>
        <w:spacing w:after="0" w:line="180" w:lineRule="exact"/>
        <w:rPr>
          <w:sz w:val="20"/>
          <w:szCs w:val="20"/>
          <w:color w:val="auto"/>
        </w:rPr>
      </w:pPr>
    </w:p>
    <w:p>
      <w:pPr>
        <w:ind w:right="460"/>
        <w:spacing w:after="0" w:line="316" w:lineRule="auto"/>
        <w:rPr>
          <w:sz w:val="20"/>
          <w:szCs w:val="20"/>
          <w:color w:val="auto"/>
        </w:rPr>
      </w:pPr>
      <w:r>
        <w:rPr>
          <w:rFonts w:ascii="Arial" w:cs="Arial" w:eastAsia="Arial" w:hAnsi="Arial"/>
          <w:sz w:val="17"/>
          <w:szCs w:val="17"/>
          <w:color w:val="auto"/>
        </w:rPr>
        <w:t>The Compensation Committee does not factor any material non-public information into the timing of grants of equity awards. Further, the Company does not time the disclosure of material non-public information for purposes of affecting the value of executive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FISCAL 2025 EMPLOYEE BENEFITS</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provide a competitive level of time-off, health, life, disability, and retirement benefits to substantially all employees. The Named Executive Officers are eligible to participate in the same such plans as our other employees. In addition, our executive officers are able to participate in our executive health benefit program, providing for various annual health screening options, while our Chief Executive Officer also participates in a health benefit program providing for certain concierge-type health care benefits. These supplemental executive health benefits were approved by the Compensation Committee.</w:t>
      </w:r>
    </w:p>
    <w:p>
      <w:pPr>
        <w:spacing w:after="0" w:line="20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Additionally, we pay for personal security arrangements for Mr. Mehrotra. We do not consider personal security measures to be a personal benefit to Mr. Mehrotra, but instead appropriate expenses for the benefit of the Company that arise out of his employment responsibilities, which are necessary for his job performance and to ensure the safety of Mr. Mehrotra and his family. In determining to authorize these security arrangements, the Compensation Committee evaluated the need to respond to specific incidents and threats, and reviewed recommendations from a leading independent security firm. In addition, the Compensation Committee has established a policy to review personal security costs quarterly. The Security Committee also has an annual process for oversight of the nature of security measures and will discontinue, adjust, or enhance security as appropriate.</w:t>
      </w:r>
    </w:p>
    <w:p>
      <w:pPr>
        <w:spacing w:after="0" w:line="20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 the interests of safety, security, and efficiency, the Compensation Committee has authorized Mr. Mehrotra to use the Company's aircraft for personal travel. The Compensation Committee also has established a policy to review costs for use of Company aircraft for personal travel on a quarterly basis.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See footnote 4 to the Summary Compensation Table for additional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SEVERANCE AND CHANGE IN CONTROL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4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At the time of his hire, we entered into an executive agreement with Mr. Mehrotra (the “Executive Agreement”) providing for severance benefits in certain circumstances. The Executive Agreement provides that if Mr. Mehrotra’s employment is terminated (i) as result of his death or “disability,” (ii) by us without “cause” or (iii) as a result of Mr. Mehrotra’s resignation for “good reason,” then in addition to receiving his accrued base salary, accrued vacation pay, and other earned and vested employee benefits, Mr. Mehrotra will receive the following severance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00" w:hanging="330"/>
        <w:spacing w:after="0" w:line="267" w:lineRule="auto"/>
        <w:tabs>
          <w:tab w:leader="none" w:pos="655" w:val="left"/>
        </w:tabs>
        <w:numPr>
          <w:ilvl w:val="0"/>
          <w:numId w:val="65"/>
        </w:numPr>
        <w:rPr>
          <w:rFonts w:ascii="Arial" w:cs="Arial" w:eastAsia="Arial" w:hAnsi="Arial"/>
          <w:sz w:val="18"/>
          <w:szCs w:val="18"/>
          <w:color w:val="BD03F7"/>
        </w:rPr>
      </w:pPr>
      <w:r>
        <w:rPr>
          <w:rFonts w:ascii="Arial" w:cs="Arial" w:eastAsia="Arial" w:hAnsi="Arial"/>
          <w:sz w:val="18"/>
          <w:szCs w:val="18"/>
          <w:color w:val="auto"/>
        </w:rPr>
        <w:t>salary continuation equal to two times Mr. Mehrotra’s salary in effect upon the date of termination paid in installments during the one-year period following termination (or paid in a lump sum if Mr. Mehrotra’s termination of employment occurs on, or within 12 months after, a “Change in Control”);</w:t>
      </w:r>
    </w:p>
    <w:p>
      <w:pPr>
        <w:spacing w:after="0" w:line="196" w:lineRule="exact"/>
        <w:rPr>
          <w:rFonts w:ascii="Arial" w:cs="Arial" w:eastAsia="Arial" w:hAnsi="Arial"/>
          <w:sz w:val="18"/>
          <w:szCs w:val="18"/>
          <w:color w:val="BD03F7"/>
        </w:rPr>
      </w:pPr>
    </w:p>
    <w:p>
      <w:pPr>
        <w:ind w:left="660" w:right="300" w:hanging="330"/>
        <w:spacing w:after="0" w:line="285" w:lineRule="auto"/>
        <w:tabs>
          <w:tab w:leader="none" w:pos="655" w:val="left"/>
        </w:tabs>
        <w:numPr>
          <w:ilvl w:val="0"/>
          <w:numId w:val="65"/>
        </w:numPr>
        <w:rPr>
          <w:rFonts w:ascii="Arial" w:cs="Arial" w:eastAsia="Arial" w:hAnsi="Arial"/>
          <w:sz w:val="18"/>
          <w:szCs w:val="18"/>
          <w:color w:val="BD03F7"/>
        </w:rPr>
      </w:pPr>
      <w:r>
        <w:rPr>
          <w:rFonts w:ascii="Arial" w:cs="Arial" w:eastAsia="Arial" w:hAnsi="Arial"/>
          <w:sz w:val="18"/>
          <w:szCs w:val="18"/>
          <w:color w:val="auto"/>
        </w:rPr>
        <w:t>a pro-rated annual bonus under the STI plan for the year of termination, subject to achievement of applicable performance criteria, paid in accordance with the terms of the STI plan;</w:t>
      </w:r>
    </w:p>
    <w:p>
      <w:pPr>
        <w:spacing w:after="0" w:line="180" w:lineRule="exact"/>
        <w:rPr>
          <w:rFonts w:ascii="Arial" w:cs="Arial" w:eastAsia="Arial" w:hAnsi="Arial"/>
          <w:sz w:val="18"/>
          <w:szCs w:val="18"/>
          <w:color w:val="BD03F7"/>
        </w:rPr>
      </w:pPr>
    </w:p>
    <w:p>
      <w:pPr>
        <w:ind w:left="660" w:right="260" w:hanging="330"/>
        <w:spacing w:after="0" w:line="285" w:lineRule="auto"/>
        <w:tabs>
          <w:tab w:leader="none" w:pos="655" w:val="left"/>
        </w:tabs>
        <w:numPr>
          <w:ilvl w:val="0"/>
          <w:numId w:val="65"/>
        </w:numPr>
        <w:rPr>
          <w:rFonts w:ascii="Arial" w:cs="Arial" w:eastAsia="Arial" w:hAnsi="Arial"/>
          <w:sz w:val="18"/>
          <w:szCs w:val="18"/>
          <w:color w:val="BD03F7"/>
        </w:rPr>
      </w:pPr>
      <w:r>
        <w:rPr>
          <w:rFonts w:ascii="Arial" w:cs="Arial" w:eastAsia="Arial" w:hAnsi="Arial"/>
          <w:sz w:val="18"/>
          <w:szCs w:val="18"/>
          <w:color w:val="auto"/>
        </w:rPr>
        <w:t>an additional bonus of two times Mr. Mehrotra’s target annual bonus under the STI plan for the year of termination paid on the one-year anniversary of Mr. Mehrotra’s termination;</w:t>
      </w:r>
    </w:p>
    <w:p>
      <w:pPr>
        <w:spacing w:after="0" w:line="180" w:lineRule="exact"/>
        <w:rPr>
          <w:rFonts w:ascii="Arial" w:cs="Arial" w:eastAsia="Arial" w:hAnsi="Arial"/>
          <w:sz w:val="18"/>
          <w:szCs w:val="18"/>
          <w:color w:val="BD03F7"/>
        </w:rPr>
      </w:pPr>
    </w:p>
    <w:p>
      <w:pPr>
        <w:jc w:val="both"/>
        <w:ind w:left="660" w:right="400" w:hanging="330"/>
        <w:spacing w:after="0" w:line="267" w:lineRule="auto"/>
        <w:tabs>
          <w:tab w:leader="none" w:pos="655" w:val="left"/>
        </w:tabs>
        <w:numPr>
          <w:ilvl w:val="0"/>
          <w:numId w:val="65"/>
        </w:numPr>
        <w:rPr>
          <w:rFonts w:ascii="Arial" w:cs="Arial" w:eastAsia="Arial" w:hAnsi="Arial"/>
          <w:sz w:val="18"/>
          <w:szCs w:val="18"/>
          <w:color w:val="BD03F7"/>
        </w:rPr>
      </w:pPr>
      <w:r>
        <w:rPr>
          <w:rFonts w:ascii="Arial" w:cs="Arial" w:eastAsia="Arial" w:hAnsi="Arial"/>
          <w:sz w:val="18"/>
          <w:szCs w:val="18"/>
          <w:color w:val="auto"/>
        </w:rPr>
        <w:t>continued vesting (and exercisability) of any options, restricted stock or other time-based awards, and, subject to achievement of applicable performance criteria, performance-based equity awards for the one-year period following Mr. Mehrotra’s termination of employment; and</w:t>
      </w:r>
    </w:p>
    <w:p>
      <w:pPr>
        <w:spacing w:after="0" w:line="196" w:lineRule="exact"/>
        <w:rPr>
          <w:rFonts w:ascii="Arial" w:cs="Arial" w:eastAsia="Arial" w:hAnsi="Arial"/>
          <w:sz w:val="18"/>
          <w:szCs w:val="18"/>
          <w:color w:val="BD03F7"/>
        </w:rPr>
      </w:pPr>
    </w:p>
    <w:p>
      <w:pPr>
        <w:jc w:val="both"/>
        <w:ind w:left="660" w:right="440" w:hanging="330"/>
        <w:spacing w:after="0" w:line="267" w:lineRule="auto"/>
        <w:tabs>
          <w:tab w:leader="none" w:pos="655" w:val="left"/>
        </w:tabs>
        <w:numPr>
          <w:ilvl w:val="0"/>
          <w:numId w:val="65"/>
        </w:numPr>
        <w:rPr>
          <w:rFonts w:ascii="Arial" w:cs="Arial" w:eastAsia="Arial" w:hAnsi="Arial"/>
          <w:sz w:val="18"/>
          <w:szCs w:val="18"/>
          <w:color w:val="BD03F7"/>
        </w:rPr>
      </w:pPr>
      <w:r>
        <w:rPr>
          <w:rFonts w:ascii="Arial" w:cs="Arial" w:eastAsia="Arial" w:hAnsi="Arial"/>
          <w:sz w:val="18"/>
          <w:szCs w:val="18"/>
          <w:color w:val="auto"/>
        </w:rPr>
        <w:t>a cash payment equal to the additional cost to Mr. Mehrotra for continuation of coverage in the Company’s non-cash benefits Mr. Mehrotra would have incurred and the employer qualified plan matching contributions Mr. Mehrotra would have received had Mr. Mehrotra remained a participant for an additional two years, paid in a lump sum following termination.</w:t>
      </w:r>
    </w:p>
    <w:p>
      <w:pPr>
        <w:spacing w:after="0" w:line="1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Mr. Mehrotra’s severance benefits become payable on account of his “good reason” resignation prior to a “Change in Control” and Mr. Mehrotra becomes employed within one year of his termination of employment, the unpaid portion of his salary continuation benefit will be forfeited. The Executive Agreement also includes a “cut-back” provision, which provides that Mr. Mehrotra’s benefits under the Executive Agreement will be reduced so that no excise tax will apply under Section 280G of the Code, if such reduction will result in a higher net after-tax benefit to Mr. Mehrotra. The Executive Agreement does not provide a tax gross-up for any such tax. Mr. Mehrotra’s entitlement to the severance benefits provided under the Executive Agreement is conditioned on Mr. Mehrotra signing a release of claims in favor of Micron and on Mr. Mehrotra’s compliance with terms of our non-competition, non-solicitation, and non-disclosure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Each of our other Named Executive Officers has a severance agreement (together, the “Named Executive Officer Severance Agreements”). The Named Executive Officer Severance Agreements provide for severance benefits upon certain terminations of employment. These benefits begin upon a “separation of service” as defined in Section 409A of the Code, regardless of when a termination of employment or loss of officer status occurs, and ends after one year (or 18 months, other than for Dr. DeBoer, if termination occurs on or within 12 months following a Change in Control). We believe severance agreements for certain of our officers are in the best interests of us and our shareholders, in that they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a general release of the Company, and our officers, directors, employees, and agents from claims.</w:t>
      </w:r>
    </w:p>
    <w:p>
      <w:pPr>
        <w:spacing w:after="0" w:line="18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Provided a Named Executive Officer complies with the post-employment obligations and restrictions described below and all other terms of the Named Executive Officer Severance Agreement, the Named Executive Officer is entitled to receive compensation during the 12- or 18-month period following termination of employment equivalent to the compensation and benefits customarily provided to such Named Executive Officer while employed including, but not limited to, salary, and in certain cases, continued vesting of outstanding stock options and restricted equity awards (that is, restricted stock and restricted stock units), along with amounts with respect to 401(k) plan matching contributions and COBRA premiums. In addition, the Named Executive Officer Severance Agreements for Messrs. Murphy, Bhatia and</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Sadana provide for payment of an annual bonus with respect to the year of termination, based on actual performance, or, in the event of a qualifying termination in connection with a Change in Control, at target levels. With respect to cash and equity awards that are performance-</w:t>
      </w:r>
    </w:p>
    <w:p>
      <w:pPr>
        <w:ind w:right="120"/>
        <w:spacing w:after="0" w:line="237" w:lineRule="auto"/>
        <w:rPr>
          <w:sz w:val="20"/>
          <w:szCs w:val="20"/>
          <w:color w:val="auto"/>
        </w:rPr>
      </w:pPr>
      <w:r>
        <w:rPr>
          <w:rFonts w:ascii="Arial" w:cs="Arial" w:eastAsia="Arial" w:hAnsi="Arial"/>
          <w:sz w:val="18"/>
          <w:szCs w:val="18"/>
          <w:color w:val="auto"/>
        </w:rPr>
        <w:t>based, the Named Executive Officer is entitled to receive such awards only if the goals are achieved before or during the 12- or 18-month period following termination of employment. Terminated Named Executive Officers are not entitled to receive any new awards under our equity plans or the STI plan (although Dr. DeBoer would be eligible to receive a bonus equal to the STI plan bonus he would have earned for the 12-month period following a qualifying termination) or to the payment of any compensation that would be deferred past the 12- or 18-month period following termination of employment due to payment criteria of an incentive program, as those criteria exist as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Named Executive Officer Severance Agreements provide that upon certain terminations of employment on or within 12 months following a Change in Control, all of the Named Executive Officer’s outstanding stock options and restricted equity awards will be treated as vested and earned. Mr. Murphy’s Named Executive Officer Severance Agreement also provides that, in connection with certain terminations of employment, any unvested shares granted as part of his new hire equity award will continue to vest at the same time and in the same amounts as if he had remained an employee through the applicable vesting date. The Named Executive Officer Severance Agreement for Dr. DeBoer, which was amended and restated in November 2023, is described further below.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Terminated Named Executive Officers are subject to the following post-termination obligations and restrictions:</w:t>
      </w:r>
    </w:p>
    <w:p>
      <w:pPr>
        <w:spacing w:after="0" w:line="250" w:lineRule="exact"/>
        <w:rPr>
          <w:sz w:val="20"/>
          <w:szCs w:val="20"/>
          <w:color w:val="auto"/>
        </w:rPr>
      </w:pPr>
    </w:p>
    <w:p>
      <w:pPr>
        <w:ind w:left="640" w:hanging="310"/>
        <w:spacing w:after="0"/>
        <w:tabs>
          <w:tab w:leader="none" w:pos="640" w:val="left"/>
        </w:tabs>
        <w:numPr>
          <w:ilvl w:val="0"/>
          <w:numId w:val="66"/>
        </w:numPr>
        <w:rPr>
          <w:rFonts w:ascii="Arial" w:cs="Arial" w:eastAsia="Arial" w:hAnsi="Arial"/>
          <w:sz w:val="18"/>
          <w:szCs w:val="18"/>
          <w:color w:val="BD03F7"/>
        </w:rPr>
      </w:pPr>
      <w:r>
        <w:rPr>
          <w:rFonts w:ascii="Arial" w:cs="Arial" w:eastAsia="Arial" w:hAnsi="Arial"/>
          <w:sz w:val="18"/>
          <w:szCs w:val="18"/>
          <w:color w:val="auto"/>
        </w:rPr>
        <w:t>a one-year non-competition obligation;</w:t>
      </w:r>
    </w:p>
    <w:p>
      <w:pPr>
        <w:spacing w:after="0" w:line="169" w:lineRule="exact"/>
        <w:rPr>
          <w:rFonts w:ascii="Arial" w:cs="Arial" w:eastAsia="Arial" w:hAnsi="Arial"/>
          <w:sz w:val="18"/>
          <w:szCs w:val="18"/>
          <w:color w:val="BD03F7"/>
        </w:rPr>
      </w:pPr>
    </w:p>
    <w:p>
      <w:pPr>
        <w:ind w:left="640" w:hanging="310"/>
        <w:spacing w:after="0"/>
        <w:tabs>
          <w:tab w:leader="none" w:pos="640" w:val="left"/>
        </w:tabs>
        <w:numPr>
          <w:ilvl w:val="0"/>
          <w:numId w:val="66"/>
        </w:numPr>
        <w:rPr>
          <w:rFonts w:ascii="Arial" w:cs="Arial" w:eastAsia="Arial" w:hAnsi="Arial"/>
          <w:sz w:val="18"/>
          <w:szCs w:val="18"/>
          <w:color w:val="BD03F7"/>
        </w:rPr>
      </w:pPr>
      <w:r>
        <w:rPr>
          <w:rFonts w:ascii="Arial" w:cs="Arial" w:eastAsia="Arial" w:hAnsi="Arial"/>
          <w:sz w:val="18"/>
          <w:szCs w:val="18"/>
          <w:color w:val="auto"/>
        </w:rPr>
        <w:t>confidentiality obligations related to our proprietary and confidential information that last indefinitely;</w:t>
      </w:r>
    </w:p>
    <w:p>
      <w:pPr>
        <w:spacing w:after="0" w:line="169" w:lineRule="exact"/>
        <w:rPr>
          <w:rFonts w:ascii="Arial" w:cs="Arial" w:eastAsia="Arial" w:hAnsi="Arial"/>
          <w:sz w:val="18"/>
          <w:szCs w:val="18"/>
          <w:color w:val="BD03F7"/>
        </w:rPr>
      </w:pPr>
    </w:p>
    <w:p>
      <w:pPr>
        <w:ind w:left="660" w:right="60" w:hanging="330"/>
        <w:spacing w:after="0" w:line="261" w:lineRule="auto"/>
        <w:tabs>
          <w:tab w:leader="none" w:pos="655" w:val="left"/>
        </w:tabs>
        <w:numPr>
          <w:ilvl w:val="0"/>
          <w:numId w:val="66"/>
        </w:numPr>
        <w:rPr>
          <w:rFonts w:ascii="Arial" w:cs="Arial" w:eastAsia="Arial" w:hAnsi="Arial"/>
          <w:sz w:val="18"/>
          <w:szCs w:val="18"/>
          <w:color w:val="BD03F7"/>
        </w:rPr>
      </w:pPr>
      <w:r>
        <w:rPr>
          <w:rFonts w:ascii="Arial" w:cs="Arial" w:eastAsia="Arial" w:hAnsi="Arial"/>
          <w:sz w:val="18"/>
          <w:szCs w:val="18"/>
          <w:color w:val="auto"/>
        </w:rPr>
        <w:t>a non-disparagement and confidentiality obligation surrounding the reasons for, and circumstances of, the Named Executive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120" w:lineRule="exact"/>
        <w:rPr>
          <w:rFonts w:ascii="Arial" w:cs="Arial" w:eastAsia="Arial" w:hAnsi="Arial"/>
          <w:sz w:val="18"/>
          <w:szCs w:val="18"/>
          <w:color w:val="BD03F7"/>
        </w:rPr>
      </w:pPr>
    </w:p>
    <w:p>
      <w:pPr>
        <w:ind w:left="640" w:hanging="310"/>
        <w:spacing w:after="0"/>
        <w:tabs>
          <w:tab w:leader="none" w:pos="640" w:val="left"/>
        </w:tabs>
        <w:numPr>
          <w:ilvl w:val="0"/>
          <w:numId w:val="66"/>
        </w:numPr>
        <w:rPr>
          <w:rFonts w:ascii="Arial" w:cs="Arial" w:eastAsia="Arial" w:hAnsi="Arial"/>
          <w:sz w:val="18"/>
          <w:szCs w:val="18"/>
          <w:color w:val="BD03F7"/>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5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Upon receipt of all benefits under the Named Executive Officer Severance Agreement for Messrs. Murphy, Bhatia and Sadana, we and the Named Executive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12- or 18-month period following termination of employment. Dr. DeBoer’s entitlement to the severance benefits provided under his Named Executive Officer Severance Agreement are conditioned on Dr. DeBoer signing a release of claims in favor of Micron.</w:t>
      </w:r>
    </w:p>
    <w:p>
      <w:pPr>
        <w:spacing w:after="0" w:line="194"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We entered into an amended and restated Severance Agreement with Dr. DeBoer after the close of Fiscal 2023. This amended and restated Severance Agreement provides for the following differences from the benefits described with respect to the Named Executive Officer</w:t>
      </w:r>
    </w:p>
    <w:p>
      <w:pPr>
        <w:spacing w:after="0"/>
        <w:rPr>
          <w:sz w:val="20"/>
          <w:szCs w:val="20"/>
          <w:color w:val="auto"/>
        </w:rPr>
      </w:pPr>
      <w:r>
        <w:rPr>
          <w:rFonts w:ascii="Arial" w:cs="Arial" w:eastAsia="Arial" w:hAnsi="Arial"/>
          <w:sz w:val="18"/>
          <w:szCs w:val="18"/>
          <w:color w:val="auto"/>
        </w:rPr>
        <w:t>Severance Agreements above:</w:t>
      </w:r>
    </w:p>
    <w:p>
      <w:pPr>
        <w:spacing w:after="0" w:line="232" w:lineRule="exact"/>
        <w:rPr>
          <w:sz w:val="20"/>
          <w:szCs w:val="20"/>
          <w:color w:val="auto"/>
        </w:rPr>
      </w:pPr>
    </w:p>
    <w:p>
      <w:pPr>
        <w:ind w:left="660" w:right="220" w:hanging="330"/>
        <w:spacing w:after="0" w:line="267" w:lineRule="auto"/>
        <w:tabs>
          <w:tab w:leader="none" w:pos="655" w:val="left"/>
        </w:tabs>
        <w:numPr>
          <w:ilvl w:val="0"/>
          <w:numId w:val="67"/>
        </w:numPr>
        <w:rPr>
          <w:rFonts w:ascii="Arial" w:cs="Arial" w:eastAsia="Arial" w:hAnsi="Arial"/>
          <w:sz w:val="18"/>
          <w:szCs w:val="18"/>
          <w:color w:val="BD03F7"/>
        </w:rPr>
      </w:pPr>
      <w:r>
        <w:rPr>
          <w:rFonts w:ascii="Arial" w:cs="Arial" w:eastAsia="Arial" w:hAnsi="Arial"/>
          <w:sz w:val="18"/>
          <w:szCs w:val="18"/>
          <w:color w:val="auto"/>
        </w:rPr>
        <w:t>it provides for an annual bonus under the STI plan for the year of termination, subject to achievement of applicable performance criteria, paid in accordance with the terms of the STI plan, along with an annual bonus that would have been payable under the STI plan based on actual attainment of performance goals for the 12-month period following termination;</w:t>
      </w:r>
    </w:p>
    <w:p>
      <w:pPr>
        <w:spacing w:after="0" w:line="115" w:lineRule="exact"/>
        <w:rPr>
          <w:rFonts w:ascii="Arial" w:cs="Arial" w:eastAsia="Arial" w:hAnsi="Arial"/>
          <w:sz w:val="18"/>
          <w:szCs w:val="18"/>
          <w:color w:val="BD03F7"/>
        </w:rPr>
      </w:pPr>
    </w:p>
    <w:p>
      <w:pPr>
        <w:ind w:left="660" w:right="20" w:hanging="330"/>
        <w:spacing w:after="0" w:line="267" w:lineRule="auto"/>
        <w:tabs>
          <w:tab w:leader="none" w:pos="655" w:val="left"/>
        </w:tabs>
        <w:numPr>
          <w:ilvl w:val="0"/>
          <w:numId w:val="67"/>
        </w:numPr>
        <w:rPr>
          <w:rFonts w:ascii="Arial" w:cs="Arial" w:eastAsia="Arial" w:hAnsi="Arial"/>
          <w:sz w:val="18"/>
          <w:szCs w:val="18"/>
          <w:color w:val="BD03F7"/>
        </w:rPr>
      </w:pPr>
      <w:r>
        <w:rPr>
          <w:rFonts w:ascii="Arial" w:cs="Arial" w:eastAsia="Arial" w:hAnsi="Arial"/>
          <w:sz w:val="18"/>
          <w:szCs w:val="18"/>
          <w:color w:val="auto"/>
        </w:rPr>
        <w:t>it provides for a cash payment equal to the additional cost to Dr. DeBoer for continuation of coverage in the Company’s non-cash benefits Dr. DeBoer would have incurred and the employer qualified plan matching contributions Dr. DeBoer would have received had Dr. DeBoer remained a participant for an additional two years, paid in a lump sum following termination;</w:t>
      </w:r>
    </w:p>
    <w:p>
      <w:pPr>
        <w:spacing w:after="0" w:line="115" w:lineRule="exact"/>
        <w:rPr>
          <w:rFonts w:ascii="Arial" w:cs="Arial" w:eastAsia="Arial" w:hAnsi="Arial"/>
          <w:sz w:val="18"/>
          <w:szCs w:val="18"/>
          <w:color w:val="BD03F7"/>
        </w:rPr>
      </w:pPr>
    </w:p>
    <w:p>
      <w:pPr>
        <w:jc w:val="both"/>
        <w:ind w:left="660" w:right="540" w:hanging="330"/>
        <w:spacing w:after="0" w:line="267" w:lineRule="auto"/>
        <w:tabs>
          <w:tab w:leader="none" w:pos="655" w:val="left"/>
        </w:tabs>
        <w:numPr>
          <w:ilvl w:val="0"/>
          <w:numId w:val="67"/>
        </w:numPr>
        <w:rPr>
          <w:rFonts w:ascii="Arial" w:cs="Arial" w:eastAsia="Arial" w:hAnsi="Arial"/>
          <w:sz w:val="18"/>
          <w:szCs w:val="18"/>
          <w:color w:val="BD03F7"/>
        </w:rPr>
      </w:pPr>
      <w:r>
        <w:rPr>
          <w:rFonts w:ascii="Arial" w:cs="Arial" w:eastAsia="Arial" w:hAnsi="Arial"/>
          <w:sz w:val="18"/>
          <w:szCs w:val="18"/>
          <w:color w:val="auto"/>
        </w:rPr>
        <w:t>it caps at Fiscal 2023 levels (prior to reduction) the salary and target bonus used to determine the compensation payable to Dr. DeBoer for the 12-month period following termination of employment in the event of a qualifying termination in the absence of a “Change in Control”;</w:t>
      </w:r>
    </w:p>
    <w:p>
      <w:pPr>
        <w:spacing w:after="0" w:line="196" w:lineRule="exact"/>
        <w:rPr>
          <w:rFonts w:ascii="Arial" w:cs="Arial" w:eastAsia="Arial" w:hAnsi="Arial"/>
          <w:sz w:val="18"/>
          <w:szCs w:val="18"/>
          <w:color w:val="BD03F7"/>
        </w:rPr>
      </w:pPr>
    </w:p>
    <w:p>
      <w:pPr>
        <w:ind w:left="660" w:hanging="330"/>
        <w:spacing w:after="0" w:line="285" w:lineRule="auto"/>
        <w:tabs>
          <w:tab w:leader="none" w:pos="655" w:val="left"/>
        </w:tabs>
        <w:numPr>
          <w:ilvl w:val="0"/>
          <w:numId w:val="67"/>
        </w:numPr>
        <w:rPr>
          <w:rFonts w:ascii="Arial" w:cs="Arial" w:eastAsia="Arial" w:hAnsi="Arial"/>
          <w:sz w:val="18"/>
          <w:szCs w:val="18"/>
          <w:color w:val="BD03F7"/>
        </w:rPr>
      </w:pPr>
      <w:r>
        <w:rPr>
          <w:rFonts w:ascii="Arial" w:cs="Arial" w:eastAsia="Arial" w:hAnsi="Arial"/>
          <w:sz w:val="18"/>
          <w:szCs w:val="18"/>
          <w:color w:val="auto"/>
        </w:rPr>
        <w:t>it provides that, in the event of Dr. DeBoer’s retirement, any such severance payments will be pursuant to a consulting agreement that will terminate upon Dr. DeBoer’s return from retirement;</w:t>
      </w:r>
    </w:p>
    <w:p>
      <w:pPr>
        <w:spacing w:after="0" w:line="99" w:lineRule="exact"/>
        <w:rPr>
          <w:rFonts w:ascii="Arial" w:cs="Arial" w:eastAsia="Arial" w:hAnsi="Arial"/>
          <w:sz w:val="18"/>
          <w:szCs w:val="18"/>
          <w:color w:val="BD03F7"/>
        </w:rPr>
      </w:pPr>
    </w:p>
    <w:p>
      <w:pPr>
        <w:ind w:left="660" w:right="100" w:hanging="330"/>
        <w:spacing w:after="0" w:line="267" w:lineRule="auto"/>
        <w:tabs>
          <w:tab w:leader="none" w:pos="655" w:val="left"/>
        </w:tabs>
        <w:numPr>
          <w:ilvl w:val="0"/>
          <w:numId w:val="67"/>
        </w:numPr>
        <w:rPr>
          <w:rFonts w:ascii="Arial" w:cs="Arial" w:eastAsia="Arial" w:hAnsi="Arial"/>
          <w:sz w:val="18"/>
          <w:szCs w:val="18"/>
          <w:color w:val="BD03F7"/>
        </w:rPr>
      </w:pPr>
      <w:r>
        <w:rPr>
          <w:rFonts w:ascii="Arial" w:cs="Arial" w:eastAsia="Arial" w:hAnsi="Arial"/>
          <w:sz w:val="18"/>
          <w:szCs w:val="18"/>
          <w:color w:val="auto"/>
        </w:rPr>
        <w:t>it provides that, in the event of Dr. DeBoer’s qualifying termination upon or within 12 months following a “Change in Control”, Dr. DeBoer will vest in full in his outstanding unvested options and restricted equity awards, with any unresolved performance conditions deemed to be met at target levels.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Severance Payments</w:t>
      </w:r>
    </w:p>
    <w:p>
      <w:pPr>
        <w:spacing w:after="0" w:line="169"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 xml:space="preserve">See “Potential Payments Upon Termination or Change in Control” on page </w:t>
      </w:r>
      <w:r>
        <w:rPr>
          <w:rFonts w:ascii="Arial" w:cs="Arial" w:eastAsia="Arial" w:hAnsi="Arial"/>
          <w:sz w:val="18"/>
          <w:szCs w:val="18"/>
          <w:u w:val="single" w:color="auto"/>
          <w:color w:val="BD03F7"/>
        </w:rPr>
        <w:t>74</w:t>
      </w:r>
      <w:r>
        <w:rPr>
          <w:rFonts w:ascii="Arial" w:cs="Arial" w:eastAsia="Arial" w:hAnsi="Arial"/>
          <w:sz w:val="18"/>
          <w:szCs w:val="18"/>
          <w:color w:val="auto"/>
        </w:rPr>
        <w:t xml:space="preserve"> for a description of the estimated severance amounts as of the end of Fiscal 2025 for the Named Executive Officers. Any cash severance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that would be payable to our executive officers are subject to the Executive Officer Cash Severance Policy described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Cash Severance Policy</w:t>
      </w:r>
    </w:p>
    <w:p>
      <w:pPr>
        <w:spacing w:after="0" w:line="2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62626"/>
        </w:rPr>
        <w:t xml:space="preserve">In October 2023, we adopted an Executive Officer Cash Severance Policy that provides that the Company will not enter into any new employment agreement, severance </w:t>
      </w:r>
      <w:r>
        <w:rPr>
          <w:rFonts w:ascii="Arial" w:cs="Arial" w:eastAsia="Arial" w:hAnsi="Arial"/>
          <w:sz w:val="18"/>
          <w:szCs w:val="18"/>
          <w:color w:val="000000"/>
        </w:rPr>
        <w:t>agreement or separation agreement with any executive officer—or establish any new severance plan or</w:t>
      </w:r>
      <w:r>
        <w:rPr>
          <w:rFonts w:ascii="Arial" w:cs="Arial" w:eastAsia="Arial" w:hAnsi="Arial"/>
          <w:sz w:val="18"/>
          <w:szCs w:val="18"/>
          <w:color w:val="262626"/>
        </w:rPr>
        <w:t xml:space="preserve"> </w:t>
      </w:r>
      <w:r>
        <w:rPr>
          <w:rFonts w:ascii="Arial" w:cs="Arial" w:eastAsia="Arial" w:hAnsi="Arial"/>
          <w:sz w:val="18"/>
          <w:szCs w:val="18"/>
          <w:color w:val="000000"/>
        </w:rPr>
        <w:t>policy covering any executive officer— in either case that provides for cash severance benefits exceeding 2.99 times the sum of the executive officer’s base salary plus target annual bonus opportunity, unless shareholders approve such arrangement. In addition, the Executive Officer Cash Severance Policy provides that any cash payments that may be owed under any existing agreement, plan or policy with an executive officer that was in place prior to adoption of the policy will be reduced as necessary to not exceed the 2.99 times limit unless shareholder approval is obtained. The Executive Officer Cash Severance Policy is administered by the Compensation Committee, which has full authority to interpret and enforce such policy.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2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do not have separate Change in Control agreements for our Named Executive Officers and directors. The Executive Agreement and the Named Executive Officer Severance Agreements referenced above provide for transitional benefits in the event of termination of employment, including following a Change in Control. In addition, under the terms of our STI plan and our equity compensation plans, awards may be substituted, assumed, or accelerated upon a Change in Control, depending upon the circumstances. Our equity plans provide for “double-trigger” vesting provisions in the event of a Change in Control. As a result, if awards are assumed by a successor in connection with a Change in Control, such awards will not automatically vest and pay out solely as a result of the Change in Control. Instead, vesting for such awards will accelerate if within one year after the effective date of the Change in Control, the participant’s employment is terminated without cause or, in the case of certain participants including our Named Executive Officers, if the participant resigns for good reason. The compensation that Named Executive Officers could receive if a Change in Control occurs is intended to enable them to objectively evaluate whether a potential Change in Control is in the best interest of us and our shareholders. The estimated value that the Named Executive Officers could receive from our Change in Control provisions can be found in “Potential Payments Upon Termination or Change in Control” on page </w:t>
      </w:r>
      <w:r>
        <w:rPr>
          <w:rFonts w:ascii="Arial" w:cs="Arial" w:eastAsia="Arial" w:hAnsi="Arial"/>
          <w:sz w:val="18"/>
          <w:szCs w:val="18"/>
          <w:u w:val="single" w:color="auto"/>
          <w:color w:val="BD03F7"/>
        </w:rPr>
        <w:t>74</w:t>
      </w:r>
      <w:r>
        <w:rPr>
          <w:rFonts w:ascii="Arial" w:cs="Arial" w:eastAsia="Arial" w:hAnsi="Arial"/>
          <w:sz w:val="18"/>
          <w:szCs w:val="18"/>
          <w:color w:val="auto"/>
        </w:rPr>
        <w:t>.</w:t>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1329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80"/>
        <w:spacing w:after="0" w:line="28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filing by Micron under the Securities Act of 1933 or the Exchange Act.</w:t>
      </w:r>
    </w:p>
    <w:p>
      <w:pPr>
        <w:spacing w:after="0" w:line="18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that the Compensation Discussion and Analysis be included in this Proxy Statement.</w:t>
      </w:r>
    </w:p>
    <w:p>
      <w:pPr>
        <w:spacing w:after="0" w:line="22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The Compensation Committee</w:t>
      </w:r>
    </w:p>
    <w:p>
      <w:pPr>
        <w:ind w:left="5300"/>
        <w:spacing w:after="0" w:line="202" w:lineRule="auto"/>
        <w:rPr>
          <w:sz w:val="20"/>
          <w:szCs w:val="20"/>
          <w:color w:val="auto"/>
        </w:rPr>
      </w:pPr>
      <w:r>
        <w:rPr>
          <w:rFonts w:ascii="Arial" w:cs="Arial" w:eastAsia="Arial" w:hAnsi="Arial"/>
          <w:sz w:val="18"/>
          <w:szCs w:val="18"/>
          <w:color w:val="auto"/>
        </w:rPr>
        <w:t>Richard M. Beyer (Chair)</w:t>
      </w:r>
    </w:p>
    <w:p>
      <w:pPr>
        <w:ind w:left="5300"/>
        <w:spacing w:after="0" w:line="218" w:lineRule="auto"/>
        <w:rPr>
          <w:sz w:val="20"/>
          <w:szCs w:val="20"/>
          <w:color w:val="auto"/>
        </w:rPr>
      </w:pPr>
      <w:r>
        <w:rPr>
          <w:rFonts w:ascii="Arial" w:cs="Arial" w:eastAsia="Arial" w:hAnsi="Arial"/>
          <w:sz w:val="18"/>
          <w:szCs w:val="18"/>
          <w:color w:val="auto"/>
        </w:rPr>
        <w:t>Lynn A. Dugle</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MaryAnn Wright</w:t>
      </w:r>
    </w:p>
    <w:p>
      <w:pPr>
        <w:spacing w:after="0" w:line="3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265"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No member of the Compensation Committee is or has been one of our officers or employees or an officer or employee of any of our subsidiaries during Fiscal 2025. During Fiscal 2025, none of our executive officers served on the compensation committee (or equivalent) or the board of directors of another entity whose executive officer(s) served on our Compensation Committee or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ind w:left="990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0650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FISCAL 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0650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2025, 2024, and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Non-Equity</w:t>
            </w:r>
          </w:p>
        </w:tc>
        <w:tc>
          <w:tcPr>
            <w:tcW w:w="140" w:type="dxa"/>
            <w:vAlign w:val="bottom"/>
          </w:tcPr>
          <w:p>
            <w:pPr>
              <w:spacing w:after="0"/>
              <w:rPr>
                <w:sz w:val="16"/>
                <w:szCs w:val="16"/>
                <w:color w:val="auto"/>
              </w:rPr>
            </w:pPr>
          </w:p>
        </w:tc>
        <w:tc>
          <w:tcPr>
            <w:tcW w:w="14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All Other</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7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4"/>
                <w:szCs w:val="14"/>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Salary(1)</w:t>
            </w:r>
          </w:p>
        </w:tc>
        <w:tc>
          <w:tcPr>
            <w:tcW w:w="240" w:type="dxa"/>
            <w:vAlign w:val="bottom"/>
          </w:tcPr>
          <w:p>
            <w:pPr>
              <w:spacing w:after="0"/>
              <w:rPr>
                <w:sz w:val="14"/>
                <w:szCs w:val="14"/>
                <w:color w:val="auto"/>
              </w:rPr>
            </w:pPr>
          </w:p>
        </w:tc>
        <w:tc>
          <w:tcPr>
            <w:tcW w:w="11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Bonus</w:t>
            </w: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Incentive Plan</w:t>
            </w:r>
          </w:p>
        </w:tc>
        <w:tc>
          <w:tcPr>
            <w:tcW w:w="1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740" w:type="dxa"/>
            <w:vAlign w:val="bottom"/>
            <w:tcBorders>
              <w:bottom w:val="single" w:sz="8" w:color="BD03F7"/>
            </w:tcBorders>
            <w:vMerge w:val="continue"/>
          </w:tcPr>
          <w:p>
            <w:pPr>
              <w:spacing w:after="0"/>
              <w:rPr>
                <w:sz w:val="18"/>
                <w:szCs w:val="18"/>
                <w:color w:val="auto"/>
              </w:rPr>
            </w:pPr>
          </w:p>
        </w:tc>
        <w:tc>
          <w:tcPr>
            <w:tcW w:w="700" w:type="dxa"/>
            <w:vAlign w:val="bottom"/>
            <w:tcBorders>
              <w:bottom w:val="single" w:sz="8" w:color="BD03F7"/>
            </w:tcBorders>
            <w:vMerge w:val="continue"/>
          </w:tcPr>
          <w:p>
            <w:pPr>
              <w:spacing w:after="0"/>
              <w:rPr>
                <w:sz w:val="18"/>
                <w:szCs w:val="18"/>
                <w:color w:val="auto"/>
              </w:rPr>
            </w:pPr>
          </w:p>
        </w:tc>
        <w:tc>
          <w:tcPr>
            <w:tcW w:w="180" w:type="dxa"/>
            <w:vAlign w:val="bottom"/>
            <w:tcBorders>
              <w:bottom w:val="single" w:sz="8" w:color="BD03F7"/>
            </w:tcBorders>
          </w:tcPr>
          <w:p>
            <w:pPr>
              <w:spacing w:after="0"/>
              <w:rPr>
                <w:sz w:val="18"/>
                <w:szCs w:val="18"/>
                <w:color w:val="auto"/>
              </w:rPr>
            </w:pPr>
          </w:p>
        </w:tc>
        <w:tc>
          <w:tcPr>
            <w:tcW w:w="960" w:type="dxa"/>
            <w:vAlign w:val="bottom"/>
            <w:tcBorders>
              <w:bottom w:val="single" w:sz="8" w:color="BD03F7"/>
            </w:tcBorders>
            <w:vMerge w:val="continue"/>
          </w:tcPr>
          <w:p>
            <w:pPr>
              <w:spacing w:after="0"/>
              <w:rPr>
                <w:sz w:val="18"/>
                <w:szCs w:val="18"/>
                <w:color w:val="auto"/>
              </w:rPr>
            </w:pPr>
          </w:p>
        </w:tc>
        <w:tc>
          <w:tcPr>
            <w:tcW w:w="240" w:type="dxa"/>
            <w:vAlign w:val="bottom"/>
            <w:tcBorders>
              <w:bottom w:val="single" w:sz="8" w:color="BD03F7"/>
            </w:tcBorders>
          </w:tcPr>
          <w:p>
            <w:pPr>
              <w:spacing w:after="0"/>
              <w:rPr>
                <w:sz w:val="18"/>
                <w:szCs w:val="18"/>
                <w:color w:val="auto"/>
              </w:rPr>
            </w:pPr>
          </w:p>
        </w:tc>
        <w:tc>
          <w:tcPr>
            <w:tcW w:w="1100" w:type="dxa"/>
            <w:vAlign w:val="bottom"/>
            <w:tcBorders>
              <w:bottom w:val="single" w:sz="8" w:color="BD03F7"/>
            </w:tcBorders>
            <w:vMerge w:val="continue"/>
          </w:tcPr>
          <w:p>
            <w:pPr>
              <w:spacing w:after="0"/>
              <w:rPr>
                <w:sz w:val="18"/>
                <w:szCs w:val="18"/>
                <w:color w:val="auto"/>
              </w:rPr>
            </w:pPr>
          </w:p>
        </w:tc>
        <w:tc>
          <w:tcPr>
            <w:tcW w:w="1020" w:type="dxa"/>
            <w:vAlign w:val="bottom"/>
            <w:tcBorders>
              <w:bottom w:val="single" w:sz="8" w:color="BD03F7"/>
            </w:tcBorders>
          </w:tcPr>
          <w:p>
            <w:pPr>
              <w:jc w:val="right"/>
              <w:ind w:right="119"/>
              <w:spacing w:after="0"/>
              <w:rPr>
                <w:sz w:val="20"/>
                <w:szCs w:val="20"/>
                <w:color w:val="auto"/>
              </w:rPr>
            </w:pPr>
            <w:r>
              <w:rPr>
                <w:rFonts w:ascii="Arial" w:cs="Arial" w:eastAsia="Arial" w:hAnsi="Arial"/>
                <w:sz w:val="16"/>
                <w:szCs w:val="16"/>
                <w:b w:val="1"/>
                <w:bCs w:val="1"/>
                <w:color w:val="auto"/>
              </w:rPr>
              <w:t>Awards(2)</w:t>
            </w:r>
          </w:p>
        </w:tc>
        <w:tc>
          <w:tcPr>
            <w:tcW w:w="140" w:type="dxa"/>
            <w:vAlign w:val="bottom"/>
            <w:tcBorders>
              <w:bottom w:val="single" w:sz="8" w:color="BD03F7"/>
            </w:tcBorders>
          </w:tcPr>
          <w:p>
            <w:pPr>
              <w:spacing w:after="0"/>
              <w:rPr>
                <w:sz w:val="18"/>
                <w:szCs w:val="18"/>
                <w:color w:val="auto"/>
              </w:rPr>
            </w:pPr>
          </w:p>
        </w:tc>
        <w:tc>
          <w:tcPr>
            <w:tcW w:w="1400" w:type="dxa"/>
            <w:vAlign w:val="bottom"/>
            <w:tcBorders>
              <w:bottom w:val="single" w:sz="8" w:color="BD03F7"/>
            </w:tcBorders>
          </w:tcPr>
          <w:p>
            <w:pPr>
              <w:jc w:val="center"/>
              <w:spacing w:after="0"/>
              <w:rPr>
                <w:sz w:val="20"/>
                <w:szCs w:val="20"/>
                <w:color w:val="auto"/>
              </w:rPr>
            </w:pPr>
            <w:r>
              <w:rPr>
                <w:rFonts w:ascii="Arial" w:cs="Arial" w:eastAsia="Arial" w:hAnsi="Arial"/>
                <w:sz w:val="16"/>
                <w:szCs w:val="16"/>
                <w:b w:val="1"/>
                <w:bCs w:val="1"/>
                <w:color w:val="auto"/>
              </w:rPr>
              <w:t>Compensation(3)</w:t>
            </w:r>
          </w:p>
        </w:tc>
        <w:tc>
          <w:tcPr>
            <w:tcW w:w="140" w:type="dxa"/>
            <w:vAlign w:val="bottom"/>
            <w:tcBorders>
              <w:bottom w:val="single" w:sz="8" w:color="BD03F7"/>
            </w:tcBorders>
          </w:tcPr>
          <w:p>
            <w:pPr>
              <w:spacing w:after="0"/>
              <w:rPr>
                <w:sz w:val="18"/>
                <w:szCs w:val="18"/>
                <w:color w:val="auto"/>
              </w:rPr>
            </w:pPr>
          </w:p>
        </w:tc>
        <w:tc>
          <w:tcPr>
            <w:tcW w:w="1420" w:type="dxa"/>
            <w:vAlign w:val="bottom"/>
            <w:tcBorders>
              <w:bottom w:val="single" w:sz="8" w:color="BD03F7"/>
            </w:tcBorders>
          </w:tcPr>
          <w:p>
            <w:pPr>
              <w:jc w:val="right"/>
              <w:ind w:right="19"/>
              <w:spacing w:after="0"/>
              <w:rPr>
                <w:sz w:val="20"/>
                <w:szCs w:val="20"/>
                <w:color w:val="auto"/>
              </w:rPr>
            </w:pPr>
            <w:r>
              <w:rPr>
                <w:rFonts w:ascii="Arial" w:cs="Arial" w:eastAsia="Arial" w:hAnsi="Arial"/>
                <w:sz w:val="16"/>
                <w:szCs w:val="16"/>
                <w:b w:val="1"/>
                <w:bCs w:val="1"/>
                <w:color w:val="auto"/>
                <w:w w:val="99"/>
              </w:rPr>
              <w:t>Compensation(4)</w:t>
            </w:r>
          </w:p>
        </w:tc>
        <w:tc>
          <w:tcPr>
            <w:tcW w:w="220" w:type="dxa"/>
            <w:vAlign w:val="bottom"/>
            <w:tcBorders>
              <w:bottom w:val="single" w:sz="8" w:color="BD03F7"/>
            </w:tcBorders>
          </w:tcPr>
          <w:p>
            <w:pPr>
              <w:spacing w:after="0"/>
              <w:rPr>
                <w:sz w:val="18"/>
                <w:szCs w:val="18"/>
                <w:color w:val="auto"/>
              </w:rPr>
            </w:pPr>
          </w:p>
        </w:tc>
        <w:tc>
          <w:tcPr>
            <w:tcW w:w="980" w:type="dxa"/>
            <w:vAlign w:val="bottom"/>
            <w:tcBorders>
              <w:bottom w:val="single" w:sz="8" w:color="BD03F7"/>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740" w:type="dxa"/>
            <w:vAlign w:val="bottom"/>
            <w:shd w:val="clear" w:color="auto" w:fill="F2F2F2"/>
          </w:tcPr>
          <w:p>
            <w:pPr>
              <w:ind w:left="20"/>
              <w:spacing w:after="0"/>
              <w:rPr>
                <w:sz w:val="20"/>
                <w:szCs w:val="20"/>
                <w:color w:val="auto"/>
              </w:rPr>
            </w:pPr>
            <w:r>
              <w:rPr>
                <w:rFonts w:ascii="Arial" w:cs="Arial" w:eastAsia="Arial" w:hAnsi="Arial"/>
                <w:sz w:val="16"/>
                <w:szCs w:val="16"/>
                <w:color w:val="auto"/>
              </w:rPr>
              <w:t>Sanjay Mehrotra</w:t>
            </w:r>
          </w:p>
        </w:tc>
        <w:tc>
          <w:tcPr>
            <w:tcW w:w="7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1,446,185</w:t>
            </w:r>
          </w:p>
        </w:tc>
        <w:tc>
          <w:tcPr>
            <w:tcW w:w="240" w:type="dxa"/>
            <w:vAlign w:val="bottom"/>
            <w:shd w:val="clear" w:color="auto" w:fill="F2F2F2"/>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F2F2F2"/>
          </w:tcPr>
          <w:p>
            <w:pPr>
              <w:ind w:left="70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25,360,029</w:t>
            </w: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3,894,990</w:t>
            </w: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238,942</w:t>
            </w:r>
          </w:p>
        </w:tc>
        <w:tc>
          <w:tcPr>
            <w:tcW w:w="220" w:type="dxa"/>
            <w:vAlign w:val="bottom"/>
            <w:shd w:val="clear" w:color="auto" w:fill="F2F2F2"/>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30,940,146</w:t>
            </w:r>
          </w:p>
        </w:tc>
        <w:tc>
          <w:tcPr>
            <w:tcW w:w="0" w:type="dxa"/>
            <w:vAlign w:val="bottom"/>
          </w:tcPr>
          <w:p>
            <w:pPr>
              <w:spacing w:after="0"/>
              <w:rPr>
                <w:sz w:val="1"/>
                <w:szCs w:val="1"/>
                <w:color w:val="auto"/>
              </w:rPr>
            </w:pPr>
          </w:p>
        </w:tc>
      </w:tr>
      <w:tr>
        <w:trPr>
          <w:trHeight w:val="214"/>
        </w:trPr>
        <w:tc>
          <w:tcPr>
            <w:tcW w:w="27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Chairman, President and Chief</w:t>
            </w:r>
          </w:p>
        </w:tc>
        <w:tc>
          <w:tcPr>
            <w:tcW w:w="7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F2F2F2"/>
          </w:tcPr>
          <w:p>
            <w:pPr>
              <w:spacing w:after="0"/>
              <w:rPr>
                <w:sz w:val="18"/>
                <w:szCs w:val="18"/>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1,416,909</w:t>
            </w:r>
          </w:p>
        </w:tc>
        <w:tc>
          <w:tcPr>
            <w:tcW w:w="240" w:type="dxa"/>
            <w:vAlign w:val="bottom"/>
            <w:shd w:val="clear" w:color="auto" w:fill="F2F2F2"/>
          </w:tcPr>
          <w:p>
            <w:pPr>
              <w:spacing w:after="0"/>
              <w:rPr>
                <w:sz w:val="18"/>
                <w:szCs w:val="18"/>
                <w:color w:val="auto"/>
              </w:rPr>
            </w:pPr>
          </w:p>
        </w:tc>
        <w:tc>
          <w:tcPr>
            <w:tcW w:w="1100" w:type="dxa"/>
            <w:vAlign w:val="bottom"/>
            <w:shd w:val="clear" w:color="auto" w:fill="F2F2F2"/>
          </w:tcPr>
          <w:p>
            <w:pPr>
              <w:ind w:left="7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23,749,623</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4,847,433</w:t>
            </w:r>
          </w:p>
        </w:tc>
        <w:tc>
          <w:tcPr>
            <w:tcW w:w="140" w:type="dxa"/>
            <w:vAlign w:val="bottom"/>
            <w:shd w:val="clear" w:color="auto" w:fill="F2F2F2"/>
          </w:tcPr>
          <w:p>
            <w:pPr>
              <w:spacing w:after="0"/>
              <w:rPr>
                <w:sz w:val="18"/>
                <w:szCs w:val="18"/>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46,161</w:t>
            </w:r>
          </w:p>
        </w:tc>
        <w:tc>
          <w:tcPr>
            <w:tcW w:w="22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30,060,126</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B6B6B6"/>
            </w:tcBorders>
            <w:shd w:val="clear" w:color="auto" w:fill="F2F2F2"/>
          </w:tcPr>
          <w:p>
            <w:pPr>
              <w:ind w:left="100"/>
              <w:spacing w:after="0"/>
              <w:rPr>
                <w:sz w:val="20"/>
                <w:szCs w:val="20"/>
                <w:color w:val="auto"/>
              </w:rPr>
            </w:pPr>
            <w:r>
              <w:rPr>
                <w:rFonts w:ascii="Arial" w:cs="Arial" w:eastAsia="Arial" w:hAnsi="Arial"/>
                <w:sz w:val="16"/>
                <w:szCs w:val="16"/>
                <w:color w:val="auto"/>
              </w:rPr>
              <w:t>Executive Officer</w:t>
            </w:r>
          </w:p>
        </w:tc>
        <w:tc>
          <w:tcPr>
            <w:tcW w:w="700" w:type="dxa"/>
            <w:vAlign w:val="bottom"/>
            <w:tcBorders>
              <w:bottom w:val="single" w:sz="8" w:color="B6B6B6"/>
            </w:tcBorders>
            <w:shd w:val="clear" w:color="auto" w:fill="F2F2F2"/>
          </w:tcPr>
          <w:p>
            <w:pPr>
              <w:ind w:left="18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1,255,476</w:t>
            </w:r>
          </w:p>
        </w:tc>
        <w:tc>
          <w:tcPr>
            <w:tcW w:w="240" w:type="dxa"/>
            <w:vAlign w:val="bottom"/>
            <w:tcBorders>
              <w:bottom w:val="single" w:sz="8" w:color="B6B6B6"/>
            </w:tcBorders>
            <w:shd w:val="clear" w:color="auto" w:fill="F2F2F2"/>
          </w:tcPr>
          <w:p>
            <w:pPr>
              <w:spacing w:after="0"/>
              <w:rPr>
                <w:sz w:val="18"/>
                <w:szCs w:val="18"/>
                <w:color w:val="auto"/>
              </w:rPr>
            </w:pPr>
          </w:p>
        </w:tc>
        <w:tc>
          <w:tcPr>
            <w:tcW w:w="1100" w:type="dxa"/>
            <w:vAlign w:val="bottom"/>
            <w:tcBorders>
              <w:bottom w:val="single" w:sz="8" w:color="B6B6B6"/>
            </w:tcBorders>
            <w:shd w:val="clear" w:color="auto" w:fill="F2F2F2"/>
          </w:tcPr>
          <w:p>
            <w:pPr>
              <w:ind w:left="7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23,750,005</w:t>
            </w:r>
          </w:p>
        </w:tc>
        <w:tc>
          <w:tcPr>
            <w:tcW w:w="140" w:type="dxa"/>
            <w:vAlign w:val="bottom"/>
            <w:tcBorders>
              <w:bottom w:val="single" w:sz="8" w:color="B6B6B6"/>
            </w:tcBorders>
            <w:shd w:val="clear" w:color="auto" w:fill="F2F2F2"/>
          </w:tcPr>
          <w:p>
            <w:pPr>
              <w:spacing w:after="0"/>
              <w:rPr>
                <w:sz w:val="18"/>
                <w:szCs w:val="18"/>
                <w:color w:val="auto"/>
              </w:rPr>
            </w:pPr>
          </w:p>
        </w:tc>
        <w:tc>
          <w:tcPr>
            <w:tcW w:w="140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6B6B6"/>
            </w:tcBorders>
            <w:shd w:val="clear" w:color="auto" w:fill="F2F2F2"/>
          </w:tcPr>
          <w:p>
            <w:pPr>
              <w:spacing w:after="0"/>
              <w:rPr>
                <w:sz w:val="18"/>
                <w:szCs w:val="18"/>
                <w:color w:val="auto"/>
              </w:rPr>
            </w:pPr>
          </w:p>
        </w:tc>
        <w:tc>
          <w:tcPr>
            <w:tcW w:w="142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271,472</w:t>
            </w:r>
          </w:p>
        </w:tc>
        <w:tc>
          <w:tcPr>
            <w:tcW w:w="220" w:type="dxa"/>
            <w:vAlign w:val="bottom"/>
            <w:tcBorders>
              <w:bottom w:val="single" w:sz="8" w:color="B6B6B6"/>
            </w:tcBorders>
            <w:shd w:val="clear" w:color="auto" w:fill="F2F2F2"/>
          </w:tcPr>
          <w:p>
            <w:pPr>
              <w:spacing w:after="0"/>
              <w:rPr>
                <w:sz w:val="18"/>
                <w:szCs w:val="18"/>
                <w:color w:val="auto"/>
              </w:rPr>
            </w:pPr>
          </w:p>
        </w:tc>
        <w:tc>
          <w:tcPr>
            <w:tcW w:w="9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25,276,953</w:t>
            </w: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Arial" w:cs="Arial" w:eastAsia="Arial" w:hAnsi="Arial"/>
                <w:sz w:val="16"/>
                <w:szCs w:val="16"/>
                <w:color w:val="auto"/>
              </w:rPr>
              <w:t>Mark Murphy</w:t>
            </w:r>
          </w:p>
        </w:tc>
        <w:tc>
          <w:tcPr>
            <w:tcW w:w="700" w:type="dxa"/>
            <w:vAlign w:val="bottom"/>
          </w:tcPr>
          <w:p>
            <w:pPr>
              <w:ind w:left="18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815,956</w:t>
            </w:r>
          </w:p>
        </w:tc>
        <w:tc>
          <w:tcPr>
            <w:tcW w:w="240" w:type="dxa"/>
            <w:vAlign w:val="bottom"/>
          </w:tcPr>
          <w:p>
            <w:pPr>
              <w:spacing w:after="0"/>
              <w:rPr>
                <w:sz w:val="18"/>
                <w:szCs w:val="18"/>
                <w:color w:val="auto"/>
              </w:rPr>
            </w:pPr>
          </w:p>
        </w:tc>
        <w:tc>
          <w:tcPr>
            <w:tcW w:w="1100" w:type="dxa"/>
            <w:vAlign w:val="bottom"/>
          </w:tcPr>
          <w:p>
            <w:pPr>
              <w:ind w:left="7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9,000,040</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1,185,425</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115,284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11,116,705</w:t>
            </w:r>
          </w:p>
        </w:tc>
        <w:tc>
          <w:tcPr>
            <w:tcW w:w="0" w:type="dxa"/>
            <w:vAlign w:val="bottom"/>
          </w:tcPr>
          <w:p>
            <w:pPr>
              <w:spacing w:after="0"/>
              <w:rPr>
                <w:sz w:val="1"/>
                <w:szCs w:val="1"/>
                <w:color w:val="auto"/>
              </w:rPr>
            </w:pPr>
          </w:p>
        </w:tc>
      </w:tr>
      <w:tr>
        <w:trPr>
          <w:trHeight w:val="214"/>
        </w:trPr>
        <w:tc>
          <w:tcPr>
            <w:tcW w:w="2740" w:type="dxa"/>
            <w:vAlign w:val="bottom"/>
          </w:tcPr>
          <w:p>
            <w:pPr>
              <w:ind w:left="100"/>
              <w:spacing w:after="0"/>
              <w:rPr>
                <w:sz w:val="20"/>
                <w:szCs w:val="20"/>
                <w:color w:val="auto"/>
              </w:rPr>
            </w:pPr>
            <w:r>
              <w:rPr>
                <w:rFonts w:ascii="Arial" w:cs="Arial" w:eastAsia="Arial" w:hAnsi="Arial"/>
                <w:sz w:val="16"/>
                <w:szCs w:val="16"/>
                <w:color w:val="auto"/>
              </w:rPr>
              <w:t>Executive Vice President and</w:t>
            </w:r>
          </w:p>
        </w:tc>
        <w:tc>
          <w:tcPr>
            <w:tcW w:w="700" w:type="dxa"/>
            <w:vAlign w:val="bottom"/>
          </w:tcPr>
          <w:p>
            <w:pPr>
              <w:ind w:left="18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765,654</w:t>
            </w:r>
          </w:p>
        </w:tc>
        <w:tc>
          <w:tcPr>
            <w:tcW w:w="240" w:type="dxa"/>
            <w:vAlign w:val="bottom"/>
          </w:tcPr>
          <w:p>
            <w:pPr>
              <w:spacing w:after="0"/>
              <w:rPr>
                <w:sz w:val="18"/>
                <w:szCs w:val="18"/>
                <w:color w:val="auto"/>
              </w:rPr>
            </w:pPr>
          </w:p>
        </w:tc>
        <w:tc>
          <w:tcPr>
            <w:tcW w:w="1100" w:type="dxa"/>
            <w:vAlign w:val="bottom"/>
          </w:tcPr>
          <w:p>
            <w:pPr>
              <w:ind w:left="7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8,499,848</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1,540,313</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26,188</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10,832,003</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B6B6B6"/>
            </w:tcBorders>
          </w:tcPr>
          <w:p>
            <w:pPr>
              <w:ind w:left="100"/>
              <w:spacing w:after="0"/>
              <w:rPr>
                <w:sz w:val="20"/>
                <w:szCs w:val="20"/>
                <w:color w:val="auto"/>
              </w:rPr>
            </w:pPr>
            <w:r>
              <w:rPr>
                <w:rFonts w:ascii="Arial" w:cs="Arial" w:eastAsia="Arial" w:hAnsi="Arial"/>
                <w:sz w:val="16"/>
                <w:szCs w:val="16"/>
                <w:color w:val="auto"/>
              </w:rPr>
              <w:t>Chief Financial Officer</w:t>
            </w:r>
          </w:p>
        </w:tc>
        <w:tc>
          <w:tcPr>
            <w:tcW w:w="70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639,827</w:t>
            </w:r>
          </w:p>
        </w:tc>
        <w:tc>
          <w:tcPr>
            <w:tcW w:w="24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ind w:left="7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7,749,991</w:t>
            </w:r>
          </w:p>
        </w:tc>
        <w:tc>
          <w:tcPr>
            <w:tcW w:w="140" w:type="dxa"/>
            <w:vAlign w:val="bottom"/>
            <w:tcBorders>
              <w:bottom w:val="single" w:sz="8" w:color="B6B6B6"/>
            </w:tcBorders>
          </w:tcPr>
          <w:p>
            <w:pPr>
              <w:spacing w:after="0"/>
              <w:rPr>
                <w:sz w:val="18"/>
                <w:szCs w:val="18"/>
                <w:color w:val="auto"/>
              </w:rPr>
            </w:pPr>
          </w:p>
        </w:tc>
        <w:tc>
          <w:tcPr>
            <w:tcW w:w="14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6B6B6"/>
            </w:tcBorders>
          </w:tcPr>
          <w:p>
            <w:pPr>
              <w:spacing w:after="0"/>
              <w:rPr>
                <w:sz w:val="18"/>
                <w:szCs w:val="18"/>
                <w:color w:val="auto"/>
              </w:rPr>
            </w:pPr>
          </w:p>
        </w:tc>
        <w:tc>
          <w:tcPr>
            <w:tcW w:w="14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14,284</w:t>
            </w:r>
          </w:p>
        </w:tc>
        <w:tc>
          <w:tcPr>
            <w:tcW w:w="220" w:type="dxa"/>
            <w:vAlign w:val="bottom"/>
            <w:tcBorders>
              <w:bottom w:val="single" w:sz="8" w:color="B6B6B6"/>
            </w:tcBorders>
          </w:tcPr>
          <w:p>
            <w:pPr>
              <w:spacing w:after="0"/>
              <w:rPr>
                <w:sz w:val="18"/>
                <w:szCs w:val="18"/>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8,404,102</w:t>
            </w:r>
          </w:p>
        </w:tc>
        <w:tc>
          <w:tcPr>
            <w:tcW w:w="0" w:type="dxa"/>
            <w:vAlign w:val="bottom"/>
          </w:tcPr>
          <w:p>
            <w:pPr>
              <w:spacing w:after="0"/>
              <w:rPr>
                <w:sz w:val="1"/>
                <w:szCs w:val="1"/>
                <w:color w:val="auto"/>
              </w:rPr>
            </w:pPr>
          </w:p>
        </w:tc>
      </w:tr>
      <w:tr>
        <w:trPr>
          <w:trHeight w:val="208"/>
        </w:trPr>
        <w:tc>
          <w:tcPr>
            <w:tcW w:w="2740" w:type="dxa"/>
            <w:vAlign w:val="bottom"/>
            <w:shd w:val="clear" w:color="auto" w:fill="F2F2F2"/>
          </w:tcPr>
          <w:p>
            <w:pPr>
              <w:ind w:left="20"/>
              <w:spacing w:after="0"/>
              <w:rPr>
                <w:sz w:val="20"/>
                <w:szCs w:val="20"/>
                <w:color w:val="auto"/>
              </w:rPr>
            </w:pPr>
            <w:r>
              <w:rPr>
                <w:rFonts w:ascii="Arial" w:cs="Arial" w:eastAsia="Arial" w:hAnsi="Arial"/>
                <w:sz w:val="16"/>
                <w:szCs w:val="16"/>
                <w:color w:val="auto"/>
              </w:rPr>
              <w:t>Manish Bhatia</w:t>
            </w:r>
          </w:p>
        </w:tc>
        <w:tc>
          <w:tcPr>
            <w:tcW w:w="7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F2F2F2"/>
          </w:tcPr>
          <w:p>
            <w:pPr>
              <w:spacing w:after="0"/>
              <w:rPr>
                <w:sz w:val="18"/>
                <w:szCs w:val="18"/>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842,277</w:t>
            </w:r>
          </w:p>
        </w:tc>
        <w:tc>
          <w:tcPr>
            <w:tcW w:w="240" w:type="dxa"/>
            <w:vAlign w:val="bottom"/>
            <w:shd w:val="clear" w:color="auto" w:fill="F2F2F2"/>
          </w:tcPr>
          <w:p>
            <w:pPr>
              <w:spacing w:after="0"/>
              <w:rPr>
                <w:sz w:val="18"/>
                <w:szCs w:val="18"/>
                <w:color w:val="auto"/>
              </w:rPr>
            </w:pPr>
          </w:p>
        </w:tc>
        <w:tc>
          <w:tcPr>
            <w:tcW w:w="1100" w:type="dxa"/>
            <w:vAlign w:val="bottom"/>
            <w:shd w:val="clear" w:color="auto" w:fill="F2F2F2"/>
          </w:tcPr>
          <w:p>
            <w:pPr>
              <w:ind w:left="7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9,499,906</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1,397,801</w:t>
            </w:r>
          </w:p>
        </w:tc>
        <w:tc>
          <w:tcPr>
            <w:tcW w:w="140" w:type="dxa"/>
            <w:vAlign w:val="bottom"/>
            <w:shd w:val="clear" w:color="auto" w:fill="F2F2F2"/>
          </w:tcPr>
          <w:p>
            <w:pPr>
              <w:spacing w:after="0"/>
              <w:rPr>
                <w:sz w:val="18"/>
                <w:szCs w:val="18"/>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21,932</w:t>
            </w:r>
          </w:p>
        </w:tc>
        <w:tc>
          <w:tcPr>
            <w:tcW w:w="22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11,761,916</w:t>
            </w:r>
          </w:p>
        </w:tc>
        <w:tc>
          <w:tcPr>
            <w:tcW w:w="0" w:type="dxa"/>
            <w:vAlign w:val="bottom"/>
          </w:tcPr>
          <w:p>
            <w:pPr>
              <w:spacing w:after="0"/>
              <w:rPr>
                <w:sz w:val="1"/>
                <w:szCs w:val="1"/>
                <w:color w:val="auto"/>
              </w:rPr>
            </w:pPr>
          </w:p>
        </w:tc>
      </w:tr>
      <w:tr>
        <w:trPr>
          <w:trHeight w:val="214"/>
        </w:trPr>
        <w:tc>
          <w:tcPr>
            <w:tcW w:w="27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Executive Vice President,</w:t>
            </w:r>
          </w:p>
        </w:tc>
        <w:tc>
          <w:tcPr>
            <w:tcW w:w="7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F2F2F2"/>
          </w:tcPr>
          <w:p>
            <w:pPr>
              <w:spacing w:after="0"/>
              <w:rPr>
                <w:sz w:val="18"/>
                <w:szCs w:val="18"/>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791,203</w:t>
            </w:r>
          </w:p>
        </w:tc>
        <w:tc>
          <w:tcPr>
            <w:tcW w:w="240" w:type="dxa"/>
            <w:vAlign w:val="bottom"/>
            <w:shd w:val="clear" w:color="auto" w:fill="F2F2F2"/>
          </w:tcPr>
          <w:p>
            <w:pPr>
              <w:spacing w:after="0"/>
              <w:rPr>
                <w:sz w:val="18"/>
                <w:szCs w:val="18"/>
                <w:color w:val="auto"/>
              </w:rPr>
            </w:pPr>
          </w:p>
        </w:tc>
        <w:tc>
          <w:tcPr>
            <w:tcW w:w="1100" w:type="dxa"/>
            <w:vAlign w:val="bottom"/>
            <w:shd w:val="clear" w:color="auto" w:fill="F2F2F2"/>
          </w:tcPr>
          <w:p>
            <w:pPr>
              <w:ind w:left="7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8,999,852</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1,590,000</w:t>
            </w:r>
          </w:p>
        </w:tc>
        <w:tc>
          <w:tcPr>
            <w:tcW w:w="140" w:type="dxa"/>
            <w:vAlign w:val="bottom"/>
            <w:shd w:val="clear" w:color="auto" w:fill="F2F2F2"/>
          </w:tcPr>
          <w:p>
            <w:pPr>
              <w:spacing w:after="0"/>
              <w:rPr>
                <w:sz w:val="18"/>
                <w:szCs w:val="18"/>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17,250</w:t>
            </w:r>
          </w:p>
        </w:tc>
        <w:tc>
          <w:tcPr>
            <w:tcW w:w="22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11,398,305</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B6B6B6"/>
            </w:tcBorders>
            <w:shd w:val="clear" w:color="auto" w:fill="F2F2F2"/>
          </w:tcPr>
          <w:p>
            <w:pPr>
              <w:ind w:left="100"/>
              <w:spacing w:after="0"/>
              <w:rPr>
                <w:sz w:val="20"/>
                <w:szCs w:val="20"/>
                <w:color w:val="auto"/>
              </w:rPr>
            </w:pPr>
            <w:r>
              <w:rPr>
                <w:rFonts w:ascii="Arial" w:cs="Arial" w:eastAsia="Arial" w:hAnsi="Arial"/>
                <w:sz w:val="16"/>
                <w:szCs w:val="16"/>
                <w:color w:val="auto"/>
              </w:rPr>
              <w:t>Global Operations</w:t>
            </w:r>
          </w:p>
        </w:tc>
        <w:tc>
          <w:tcPr>
            <w:tcW w:w="700" w:type="dxa"/>
            <w:vAlign w:val="bottom"/>
            <w:tcBorders>
              <w:bottom w:val="single" w:sz="8" w:color="B6B6B6"/>
            </w:tcBorders>
            <w:shd w:val="clear" w:color="auto" w:fill="F2F2F2"/>
          </w:tcPr>
          <w:p>
            <w:pPr>
              <w:ind w:left="18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667,020</w:t>
            </w:r>
          </w:p>
        </w:tc>
        <w:tc>
          <w:tcPr>
            <w:tcW w:w="240" w:type="dxa"/>
            <w:vAlign w:val="bottom"/>
            <w:tcBorders>
              <w:bottom w:val="single" w:sz="8" w:color="B6B6B6"/>
            </w:tcBorders>
            <w:shd w:val="clear" w:color="auto" w:fill="F2F2F2"/>
          </w:tcPr>
          <w:p>
            <w:pPr>
              <w:spacing w:after="0"/>
              <w:rPr>
                <w:sz w:val="18"/>
                <w:szCs w:val="18"/>
                <w:color w:val="auto"/>
              </w:rPr>
            </w:pPr>
          </w:p>
        </w:tc>
        <w:tc>
          <w:tcPr>
            <w:tcW w:w="1100" w:type="dxa"/>
            <w:vAlign w:val="bottom"/>
            <w:tcBorders>
              <w:bottom w:val="single" w:sz="8" w:color="B6B6B6"/>
            </w:tcBorders>
            <w:shd w:val="clear" w:color="auto" w:fill="F2F2F2"/>
          </w:tcPr>
          <w:p>
            <w:pPr>
              <w:ind w:left="7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8,250,009</w:t>
            </w:r>
          </w:p>
        </w:tc>
        <w:tc>
          <w:tcPr>
            <w:tcW w:w="140" w:type="dxa"/>
            <w:vAlign w:val="bottom"/>
            <w:tcBorders>
              <w:bottom w:val="single" w:sz="8" w:color="B6B6B6"/>
            </w:tcBorders>
            <w:shd w:val="clear" w:color="auto" w:fill="F2F2F2"/>
          </w:tcPr>
          <w:p>
            <w:pPr>
              <w:spacing w:after="0"/>
              <w:rPr>
                <w:sz w:val="18"/>
                <w:szCs w:val="18"/>
                <w:color w:val="auto"/>
              </w:rPr>
            </w:pPr>
          </w:p>
        </w:tc>
        <w:tc>
          <w:tcPr>
            <w:tcW w:w="140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6B6B6"/>
            </w:tcBorders>
            <w:shd w:val="clear" w:color="auto" w:fill="F2F2F2"/>
          </w:tcPr>
          <w:p>
            <w:pPr>
              <w:spacing w:after="0"/>
              <w:rPr>
                <w:sz w:val="18"/>
                <w:szCs w:val="18"/>
                <w:color w:val="auto"/>
              </w:rPr>
            </w:pPr>
          </w:p>
        </w:tc>
        <w:tc>
          <w:tcPr>
            <w:tcW w:w="142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17,118</w:t>
            </w:r>
          </w:p>
        </w:tc>
        <w:tc>
          <w:tcPr>
            <w:tcW w:w="220" w:type="dxa"/>
            <w:vAlign w:val="bottom"/>
            <w:tcBorders>
              <w:bottom w:val="single" w:sz="8" w:color="B6B6B6"/>
            </w:tcBorders>
            <w:shd w:val="clear" w:color="auto" w:fill="F2F2F2"/>
          </w:tcPr>
          <w:p>
            <w:pPr>
              <w:spacing w:after="0"/>
              <w:rPr>
                <w:sz w:val="18"/>
                <w:szCs w:val="18"/>
                <w:color w:val="auto"/>
              </w:rPr>
            </w:pPr>
          </w:p>
        </w:tc>
        <w:tc>
          <w:tcPr>
            <w:tcW w:w="9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8,934,147</w:t>
            </w: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Arial" w:cs="Arial" w:eastAsia="Arial" w:hAnsi="Arial"/>
                <w:sz w:val="16"/>
                <w:szCs w:val="16"/>
                <w:color w:val="auto"/>
              </w:rPr>
              <w:t>Scott DeBoer</w:t>
            </w:r>
          </w:p>
        </w:tc>
        <w:tc>
          <w:tcPr>
            <w:tcW w:w="700" w:type="dxa"/>
            <w:vAlign w:val="bottom"/>
          </w:tcPr>
          <w:p>
            <w:pPr>
              <w:ind w:left="18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749,323</w:t>
            </w:r>
          </w:p>
        </w:tc>
        <w:tc>
          <w:tcPr>
            <w:tcW w:w="240" w:type="dxa"/>
            <w:vAlign w:val="bottom"/>
          </w:tcPr>
          <w:p>
            <w:pPr>
              <w:spacing w:after="0"/>
              <w:rPr>
                <w:sz w:val="18"/>
                <w:szCs w:val="18"/>
                <w:color w:val="auto"/>
              </w:rPr>
            </w:pPr>
          </w:p>
        </w:tc>
        <w:tc>
          <w:tcPr>
            <w:tcW w:w="1100" w:type="dxa"/>
            <w:vAlign w:val="bottom"/>
          </w:tcPr>
          <w:p>
            <w:pPr>
              <w:ind w:left="7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8,249,981</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1,199,999</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25,312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10,224,615</w:t>
            </w:r>
          </w:p>
        </w:tc>
        <w:tc>
          <w:tcPr>
            <w:tcW w:w="0" w:type="dxa"/>
            <w:vAlign w:val="bottom"/>
          </w:tcPr>
          <w:p>
            <w:pPr>
              <w:spacing w:after="0"/>
              <w:rPr>
                <w:sz w:val="1"/>
                <w:szCs w:val="1"/>
                <w:color w:val="auto"/>
              </w:rPr>
            </w:pPr>
          </w:p>
        </w:tc>
      </w:tr>
      <w:tr>
        <w:trPr>
          <w:trHeight w:val="214"/>
        </w:trPr>
        <w:tc>
          <w:tcPr>
            <w:tcW w:w="2740" w:type="dxa"/>
            <w:vAlign w:val="bottom"/>
          </w:tcPr>
          <w:p>
            <w:pPr>
              <w:ind w:left="100"/>
              <w:spacing w:after="0"/>
              <w:rPr>
                <w:sz w:val="20"/>
                <w:szCs w:val="20"/>
                <w:color w:val="auto"/>
              </w:rPr>
            </w:pPr>
            <w:r>
              <w:rPr>
                <w:rFonts w:ascii="Arial" w:cs="Arial" w:eastAsia="Arial" w:hAnsi="Arial"/>
                <w:sz w:val="16"/>
                <w:szCs w:val="16"/>
                <w:color w:val="auto"/>
              </w:rPr>
              <w:t>Executive Vice President,</w:t>
            </w:r>
          </w:p>
        </w:tc>
        <w:tc>
          <w:tcPr>
            <w:tcW w:w="700" w:type="dxa"/>
            <w:vAlign w:val="bottom"/>
          </w:tcPr>
          <w:p>
            <w:pPr>
              <w:ind w:left="18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690,668</w:t>
            </w:r>
          </w:p>
        </w:tc>
        <w:tc>
          <w:tcPr>
            <w:tcW w:w="240" w:type="dxa"/>
            <w:vAlign w:val="bottom"/>
          </w:tcPr>
          <w:p>
            <w:pPr>
              <w:spacing w:after="0"/>
              <w:rPr>
                <w:sz w:val="18"/>
                <w:szCs w:val="18"/>
                <w:color w:val="auto"/>
              </w:rPr>
            </w:pPr>
          </w:p>
        </w:tc>
        <w:tc>
          <w:tcPr>
            <w:tcW w:w="1100" w:type="dxa"/>
            <w:vAlign w:val="bottom"/>
          </w:tcPr>
          <w:p>
            <w:pPr>
              <w:ind w:left="7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7,249,849</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1,335,600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18,450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9,294,567</w:t>
            </w:r>
          </w:p>
        </w:tc>
        <w:tc>
          <w:tcPr>
            <w:tcW w:w="0" w:type="dxa"/>
            <w:vAlign w:val="bottom"/>
          </w:tcPr>
          <w:p>
            <w:pPr>
              <w:spacing w:after="0"/>
              <w:rPr>
                <w:sz w:val="1"/>
                <w:szCs w:val="1"/>
                <w:color w:val="auto"/>
              </w:rPr>
            </w:pPr>
          </w:p>
        </w:tc>
      </w:tr>
      <w:tr>
        <w:trPr>
          <w:trHeight w:val="163"/>
        </w:trPr>
        <w:tc>
          <w:tcPr>
            <w:tcW w:w="2740" w:type="dxa"/>
            <w:vAlign w:val="bottom"/>
          </w:tcPr>
          <w:p>
            <w:pPr>
              <w:ind w:left="100"/>
              <w:spacing w:after="0" w:line="163" w:lineRule="exact"/>
              <w:rPr>
                <w:sz w:val="20"/>
                <w:szCs w:val="20"/>
                <w:color w:val="auto"/>
              </w:rPr>
            </w:pPr>
            <w:r>
              <w:rPr>
                <w:rFonts w:ascii="Arial" w:cs="Arial" w:eastAsia="Arial" w:hAnsi="Arial"/>
                <w:sz w:val="16"/>
                <w:szCs w:val="16"/>
                <w:color w:val="auto"/>
              </w:rPr>
              <w:t>Chief Technology and Products</w:t>
            </w:r>
          </w:p>
        </w:tc>
        <w:tc>
          <w:tcPr>
            <w:tcW w:w="700" w:type="dxa"/>
            <w:vAlign w:val="bottom"/>
            <w:vMerge w:val="restart"/>
          </w:tcPr>
          <w:p>
            <w:pPr>
              <w:ind w:left="18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571,046</w:t>
            </w:r>
          </w:p>
        </w:tc>
        <w:tc>
          <w:tcPr>
            <w:tcW w:w="240" w:type="dxa"/>
            <w:vAlign w:val="bottom"/>
          </w:tcPr>
          <w:p>
            <w:pPr>
              <w:spacing w:after="0"/>
              <w:rPr>
                <w:sz w:val="14"/>
                <w:szCs w:val="14"/>
                <w:color w:val="auto"/>
              </w:rPr>
            </w:pPr>
          </w:p>
        </w:tc>
        <w:tc>
          <w:tcPr>
            <w:tcW w:w="1100" w:type="dxa"/>
            <w:vAlign w:val="bottom"/>
            <w:vMerge w:val="restart"/>
          </w:tcPr>
          <w:p>
            <w:pPr>
              <w:ind w:left="7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6,500,022</w:t>
            </w: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18,352</w:t>
            </w: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7,089,420</w:t>
            </w:r>
          </w:p>
        </w:tc>
        <w:tc>
          <w:tcPr>
            <w:tcW w:w="0" w:type="dxa"/>
            <w:vAlign w:val="bottom"/>
          </w:tcPr>
          <w:p>
            <w:pPr>
              <w:spacing w:after="0"/>
              <w:rPr>
                <w:sz w:val="1"/>
                <w:szCs w:val="1"/>
                <w:color w:val="auto"/>
              </w:rPr>
            </w:pPr>
          </w:p>
        </w:tc>
      </w:tr>
      <w:tr>
        <w:trPr>
          <w:trHeight w:val="214"/>
        </w:trPr>
        <w:tc>
          <w:tcPr>
            <w:tcW w:w="2740" w:type="dxa"/>
            <w:vAlign w:val="bottom"/>
            <w:tcBorders>
              <w:bottom w:val="single" w:sz="8" w:color="B6B6B6"/>
            </w:tcBorders>
          </w:tcPr>
          <w:p>
            <w:pPr>
              <w:ind w:left="100"/>
              <w:spacing w:after="0"/>
              <w:rPr>
                <w:sz w:val="20"/>
                <w:szCs w:val="20"/>
                <w:color w:val="auto"/>
              </w:rPr>
            </w:pPr>
            <w:r>
              <w:rPr>
                <w:rFonts w:ascii="Arial" w:cs="Arial" w:eastAsia="Arial" w:hAnsi="Arial"/>
                <w:sz w:val="16"/>
                <w:szCs w:val="16"/>
                <w:color w:val="auto"/>
              </w:rPr>
              <w:t>Officer</w:t>
            </w:r>
          </w:p>
        </w:tc>
        <w:tc>
          <w:tcPr>
            <w:tcW w:w="700" w:type="dxa"/>
            <w:vAlign w:val="bottom"/>
            <w:tcBorders>
              <w:bottom w:val="single" w:sz="8" w:color="B6B6B6"/>
            </w:tcBorders>
            <w:vMerge w:val="continue"/>
          </w:tcPr>
          <w:p>
            <w:pPr>
              <w:spacing w:after="0"/>
              <w:rPr>
                <w:sz w:val="18"/>
                <w:szCs w:val="18"/>
                <w:color w:val="auto"/>
              </w:rPr>
            </w:pPr>
          </w:p>
        </w:tc>
        <w:tc>
          <w:tcPr>
            <w:tcW w:w="18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vMerge w:val="continue"/>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vMerge w:val="continue"/>
          </w:tcPr>
          <w:p>
            <w:pPr>
              <w:spacing w:after="0"/>
              <w:rPr>
                <w:sz w:val="18"/>
                <w:szCs w:val="18"/>
                <w:color w:val="auto"/>
              </w:rPr>
            </w:pPr>
          </w:p>
        </w:tc>
        <w:tc>
          <w:tcPr>
            <w:tcW w:w="1020" w:type="dxa"/>
            <w:vAlign w:val="bottom"/>
            <w:tcBorders>
              <w:bottom w:val="single" w:sz="8" w:color="B6B6B6"/>
            </w:tcBorders>
            <w:vMerge w:val="continue"/>
          </w:tcPr>
          <w:p>
            <w:pPr>
              <w:spacing w:after="0"/>
              <w:rPr>
                <w:sz w:val="18"/>
                <w:szCs w:val="18"/>
                <w:color w:val="auto"/>
              </w:rPr>
            </w:pPr>
          </w:p>
        </w:tc>
        <w:tc>
          <w:tcPr>
            <w:tcW w:w="140" w:type="dxa"/>
            <w:vAlign w:val="bottom"/>
            <w:tcBorders>
              <w:bottom w:val="single" w:sz="8" w:color="B6B6B6"/>
            </w:tcBorders>
          </w:tcPr>
          <w:p>
            <w:pPr>
              <w:spacing w:after="0"/>
              <w:rPr>
                <w:sz w:val="18"/>
                <w:szCs w:val="18"/>
                <w:color w:val="auto"/>
              </w:rPr>
            </w:pPr>
          </w:p>
        </w:tc>
        <w:tc>
          <w:tcPr>
            <w:tcW w:w="1400" w:type="dxa"/>
            <w:vAlign w:val="bottom"/>
            <w:tcBorders>
              <w:bottom w:val="single" w:sz="8" w:color="B6B6B6"/>
            </w:tcBorders>
            <w:vMerge w:val="continue"/>
          </w:tcPr>
          <w:p>
            <w:pPr>
              <w:spacing w:after="0"/>
              <w:rPr>
                <w:sz w:val="18"/>
                <w:szCs w:val="18"/>
                <w:color w:val="auto"/>
              </w:rPr>
            </w:pPr>
          </w:p>
        </w:tc>
        <w:tc>
          <w:tcPr>
            <w:tcW w:w="140" w:type="dxa"/>
            <w:vAlign w:val="bottom"/>
            <w:tcBorders>
              <w:bottom w:val="single" w:sz="8" w:color="B6B6B6"/>
            </w:tcBorders>
          </w:tcPr>
          <w:p>
            <w:pPr>
              <w:spacing w:after="0"/>
              <w:rPr>
                <w:sz w:val="18"/>
                <w:szCs w:val="18"/>
                <w:color w:val="auto"/>
              </w:rPr>
            </w:pPr>
          </w:p>
        </w:tc>
        <w:tc>
          <w:tcPr>
            <w:tcW w:w="1420" w:type="dxa"/>
            <w:vAlign w:val="bottom"/>
            <w:tcBorders>
              <w:bottom w:val="single" w:sz="8" w:color="B6B6B6"/>
            </w:tcBorders>
            <w:vMerge w:val="continue"/>
          </w:tcPr>
          <w:p>
            <w:pPr>
              <w:spacing w:after="0"/>
              <w:rPr>
                <w:sz w:val="18"/>
                <w:szCs w:val="18"/>
                <w:color w:val="auto"/>
              </w:rPr>
            </w:pPr>
          </w:p>
        </w:tc>
        <w:tc>
          <w:tcPr>
            <w:tcW w:w="220" w:type="dxa"/>
            <w:vAlign w:val="bottom"/>
            <w:tcBorders>
              <w:bottom w:val="single" w:sz="8" w:color="B6B6B6"/>
            </w:tcBorders>
          </w:tcPr>
          <w:p>
            <w:pPr>
              <w:spacing w:after="0"/>
              <w:rPr>
                <w:sz w:val="18"/>
                <w:szCs w:val="18"/>
                <w:color w:val="auto"/>
              </w:rPr>
            </w:pPr>
          </w:p>
        </w:tc>
        <w:tc>
          <w:tcPr>
            <w:tcW w:w="980" w:type="dxa"/>
            <w:vAlign w:val="bottom"/>
            <w:tcBorders>
              <w:bottom w:val="single" w:sz="8" w:color="B6B6B6"/>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shd w:val="clear" w:color="auto" w:fill="F2F2F2"/>
          </w:tcPr>
          <w:p>
            <w:pPr>
              <w:ind w:left="20"/>
              <w:spacing w:after="0"/>
              <w:rPr>
                <w:sz w:val="20"/>
                <w:szCs w:val="20"/>
                <w:color w:val="auto"/>
              </w:rPr>
            </w:pPr>
            <w:r>
              <w:rPr>
                <w:rFonts w:ascii="Arial" w:cs="Arial" w:eastAsia="Arial" w:hAnsi="Arial"/>
                <w:sz w:val="16"/>
                <w:szCs w:val="16"/>
                <w:color w:val="auto"/>
              </w:rPr>
              <w:t>Sumit Sadana</w:t>
            </w:r>
          </w:p>
        </w:tc>
        <w:tc>
          <w:tcPr>
            <w:tcW w:w="7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F2F2F2"/>
          </w:tcPr>
          <w:p>
            <w:pPr>
              <w:spacing w:after="0"/>
              <w:rPr>
                <w:sz w:val="18"/>
                <w:szCs w:val="18"/>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861,332</w:t>
            </w:r>
          </w:p>
        </w:tc>
        <w:tc>
          <w:tcPr>
            <w:tcW w:w="240" w:type="dxa"/>
            <w:vAlign w:val="bottom"/>
            <w:shd w:val="clear" w:color="auto" w:fill="F2F2F2"/>
          </w:tcPr>
          <w:p>
            <w:pPr>
              <w:spacing w:after="0"/>
              <w:rPr>
                <w:sz w:val="18"/>
                <w:szCs w:val="18"/>
                <w:color w:val="auto"/>
              </w:rPr>
            </w:pPr>
          </w:p>
        </w:tc>
        <w:tc>
          <w:tcPr>
            <w:tcW w:w="1100" w:type="dxa"/>
            <w:vAlign w:val="bottom"/>
            <w:shd w:val="clear" w:color="auto" w:fill="F2F2F2"/>
          </w:tcPr>
          <w:p>
            <w:pPr>
              <w:ind w:left="7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9,499,906</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1,427,883</w:t>
            </w:r>
          </w:p>
        </w:tc>
        <w:tc>
          <w:tcPr>
            <w:tcW w:w="140" w:type="dxa"/>
            <w:vAlign w:val="bottom"/>
            <w:shd w:val="clear" w:color="auto" w:fill="F2F2F2"/>
          </w:tcPr>
          <w:p>
            <w:pPr>
              <w:spacing w:after="0"/>
              <w:rPr>
                <w:sz w:val="18"/>
                <w:szCs w:val="18"/>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25,101</w:t>
            </w:r>
          </w:p>
        </w:tc>
        <w:tc>
          <w:tcPr>
            <w:tcW w:w="22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11,814,222</w:t>
            </w:r>
          </w:p>
        </w:tc>
        <w:tc>
          <w:tcPr>
            <w:tcW w:w="0" w:type="dxa"/>
            <w:vAlign w:val="bottom"/>
          </w:tcPr>
          <w:p>
            <w:pPr>
              <w:spacing w:after="0"/>
              <w:rPr>
                <w:sz w:val="1"/>
                <w:szCs w:val="1"/>
                <w:color w:val="auto"/>
              </w:rPr>
            </w:pPr>
          </w:p>
        </w:tc>
      </w:tr>
      <w:tr>
        <w:trPr>
          <w:trHeight w:val="214"/>
        </w:trPr>
        <w:tc>
          <w:tcPr>
            <w:tcW w:w="27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Executive Vice President</w:t>
            </w:r>
          </w:p>
        </w:tc>
        <w:tc>
          <w:tcPr>
            <w:tcW w:w="7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F2F2F2"/>
          </w:tcPr>
          <w:p>
            <w:pPr>
              <w:spacing w:after="0"/>
              <w:rPr>
                <w:sz w:val="18"/>
                <w:szCs w:val="18"/>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819,452</w:t>
            </w:r>
          </w:p>
        </w:tc>
        <w:tc>
          <w:tcPr>
            <w:tcW w:w="240" w:type="dxa"/>
            <w:vAlign w:val="bottom"/>
            <w:shd w:val="clear" w:color="auto" w:fill="F2F2F2"/>
          </w:tcPr>
          <w:p>
            <w:pPr>
              <w:spacing w:after="0"/>
              <w:rPr>
                <w:sz w:val="18"/>
                <w:szCs w:val="18"/>
                <w:color w:val="auto"/>
              </w:rPr>
            </w:pPr>
          </w:p>
        </w:tc>
        <w:tc>
          <w:tcPr>
            <w:tcW w:w="1100" w:type="dxa"/>
            <w:vAlign w:val="bottom"/>
            <w:shd w:val="clear" w:color="auto" w:fill="F2F2F2"/>
          </w:tcPr>
          <w:p>
            <w:pPr>
              <w:ind w:left="7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8,999,852</w:t>
            </w:r>
          </w:p>
        </w:tc>
        <w:tc>
          <w:tcPr>
            <w:tcW w:w="14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1,803,656</w:t>
            </w:r>
          </w:p>
        </w:tc>
        <w:tc>
          <w:tcPr>
            <w:tcW w:w="140" w:type="dxa"/>
            <w:vAlign w:val="bottom"/>
            <w:shd w:val="clear" w:color="auto" w:fill="F2F2F2"/>
          </w:tcPr>
          <w:p>
            <w:pPr>
              <w:spacing w:after="0"/>
              <w:rPr>
                <w:sz w:val="18"/>
                <w:szCs w:val="18"/>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17,250</w:t>
            </w:r>
          </w:p>
        </w:tc>
        <w:tc>
          <w:tcPr>
            <w:tcW w:w="22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11,640,210</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BD03F7"/>
            </w:tcBorders>
            <w:shd w:val="clear" w:color="auto" w:fill="F2F2F2"/>
          </w:tcPr>
          <w:p>
            <w:pPr>
              <w:ind w:left="100"/>
              <w:spacing w:after="0"/>
              <w:rPr>
                <w:sz w:val="20"/>
                <w:szCs w:val="20"/>
                <w:color w:val="auto"/>
              </w:rPr>
            </w:pPr>
            <w:r>
              <w:rPr>
                <w:rFonts w:ascii="Arial" w:cs="Arial" w:eastAsia="Arial" w:hAnsi="Arial"/>
                <w:sz w:val="16"/>
                <w:szCs w:val="16"/>
                <w:color w:val="auto"/>
              </w:rPr>
              <w:t>and Chief Business Officer</w:t>
            </w:r>
          </w:p>
        </w:tc>
        <w:tc>
          <w:tcPr>
            <w:tcW w:w="700" w:type="dxa"/>
            <w:vAlign w:val="bottom"/>
            <w:tcBorders>
              <w:bottom w:val="single" w:sz="8" w:color="BD03F7"/>
            </w:tcBorders>
            <w:shd w:val="clear" w:color="auto" w:fill="F2F2F2"/>
          </w:tcPr>
          <w:p>
            <w:pPr>
              <w:ind w:left="18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BD03F7"/>
            </w:tcBorders>
            <w:shd w:val="clear" w:color="auto" w:fill="F2F2F2"/>
          </w:tcPr>
          <w:p>
            <w:pPr>
              <w:spacing w:after="0"/>
              <w:rPr>
                <w:sz w:val="18"/>
                <w:szCs w:val="18"/>
                <w:color w:val="auto"/>
              </w:rPr>
            </w:pPr>
          </w:p>
        </w:tc>
        <w:tc>
          <w:tcPr>
            <w:tcW w:w="9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715,007</w:t>
            </w:r>
          </w:p>
        </w:tc>
        <w:tc>
          <w:tcPr>
            <w:tcW w:w="240" w:type="dxa"/>
            <w:vAlign w:val="bottom"/>
            <w:tcBorders>
              <w:bottom w:val="single" w:sz="8" w:color="BD03F7"/>
            </w:tcBorders>
            <w:shd w:val="clear" w:color="auto" w:fill="F2F2F2"/>
          </w:tcPr>
          <w:p>
            <w:pPr>
              <w:spacing w:after="0"/>
              <w:rPr>
                <w:sz w:val="18"/>
                <w:szCs w:val="18"/>
                <w:color w:val="auto"/>
              </w:rPr>
            </w:pPr>
          </w:p>
        </w:tc>
        <w:tc>
          <w:tcPr>
            <w:tcW w:w="1100" w:type="dxa"/>
            <w:vAlign w:val="bottom"/>
            <w:tcBorders>
              <w:bottom w:val="single" w:sz="8" w:color="BD03F7"/>
            </w:tcBorders>
            <w:shd w:val="clear" w:color="auto" w:fill="F2F2F2"/>
          </w:tcPr>
          <w:p>
            <w:pPr>
              <w:ind w:left="7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8,500,024</w:t>
            </w:r>
          </w:p>
        </w:tc>
        <w:tc>
          <w:tcPr>
            <w:tcW w:w="140" w:type="dxa"/>
            <w:vAlign w:val="bottom"/>
            <w:tcBorders>
              <w:bottom w:val="single" w:sz="8" w:color="BD03F7"/>
            </w:tcBorders>
            <w:shd w:val="clear" w:color="auto" w:fill="F2F2F2"/>
          </w:tcPr>
          <w:p>
            <w:pPr>
              <w:spacing w:after="0"/>
              <w:rPr>
                <w:sz w:val="18"/>
                <w:szCs w:val="18"/>
                <w:color w:val="auto"/>
              </w:rPr>
            </w:pPr>
          </w:p>
        </w:tc>
        <w:tc>
          <w:tcPr>
            <w:tcW w:w="140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D03F7"/>
            </w:tcBorders>
            <w:shd w:val="clear" w:color="auto" w:fill="F2F2F2"/>
          </w:tcPr>
          <w:p>
            <w:pPr>
              <w:spacing w:after="0"/>
              <w:rPr>
                <w:sz w:val="18"/>
                <w:szCs w:val="18"/>
                <w:color w:val="auto"/>
              </w:rPr>
            </w:pPr>
          </w:p>
        </w:tc>
        <w:tc>
          <w:tcPr>
            <w:tcW w:w="14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16,500</w:t>
            </w:r>
          </w:p>
        </w:tc>
        <w:tc>
          <w:tcPr>
            <w:tcW w:w="220" w:type="dxa"/>
            <w:vAlign w:val="bottom"/>
            <w:tcBorders>
              <w:bottom w:val="single" w:sz="8" w:color="BD03F7"/>
            </w:tcBorders>
            <w:shd w:val="clear" w:color="auto" w:fill="F2F2F2"/>
          </w:tcPr>
          <w:p>
            <w:pPr>
              <w:spacing w:after="0"/>
              <w:rPr>
                <w:sz w:val="18"/>
                <w:szCs w:val="18"/>
                <w:color w:val="auto"/>
              </w:rPr>
            </w:pPr>
          </w:p>
        </w:tc>
        <w:tc>
          <w:tcPr>
            <w:tcW w:w="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9,231,531</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640" w:hanging="333"/>
        <w:spacing w:after="0" w:line="285" w:lineRule="auto"/>
        <w:tabs>
          <w:tab w:leader="none" w:pos="3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fiscal year is the 52-week period ending on the Thursday closest to August 31. Fiscal 2025, 2024, and 2023 each contained 52 weeks.</w:t>
      </w:r>
    </w:p>
    <w:p>
      <w:pPr>
        <w:spacing w:after="0" w:line="180" w:lineRule="exact"/>
        <w:rPr>
          <w:rFonts w:ascii="Arial" w:cs="Arial" w:eastAsia="Arial" w:hAnsi="Arial"/>
          <w:sz w:val="18"/>
          <w:szCs w:val="18"/>
          <w:color w:val="auto"/>
        </w:rPr>
      </w:pPr>
    </w:p>
    <w:p>
      <w:pPr>
        <w:ind w:left="340" w:right="120" w:hanging="333"/>
        <w:spacing w:after="0" w:line="255" w:lineRule="auto"/>
        <w:tabs>
          <w:tab w:leader="none" w:pos="3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grant date fair values for the stock awards are based on the closing price on the last market trading day prior to the date of grant. The grant date fair value of the performance-based awards granted in Fiscal 2025, 2024, and 2023 was computed by multiplying (i) the target number of restricted shares or units awarded to each Named Executive Officer, which was the assumed probable outcome as of the grant date, by (ii) either (a) the closing price of our Common Stock on the last market trading day prior to the date of grant; or (b) the fair value per share as calculated by the use of a Monte Carlo simulation, which represents the most likely value, if the award had a market condition performance goal. The following table includes the assumptions used in the Monte Carlo simulation to calculate the grant date fair value of the rTSR PRSU awards for Fiscal 2025, 2024 and 2023.</w:t>
      </w:r>
    </w:p>
    <w:tbl>
      <w:tblPr>
        <w:tblLayout w:type="fixed"/>
        <w:tblInd w:w="660"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w w:val="99"/>
              </w:rPr>
              <w:t>Fair Value ($)</w:t>
            </w:r>
          </w:p>
        </w:tc>
        <w:tc>
          <w:tcPr>
            <w:tcW w:w="1380" w:type="dxa"/>
            <w:vAlign w:val="bottom"/>
          </w:tcPr>
          <w:p>
            <w:pPr>
              <w:jc w:val="right"/>
              <w:ind w:right="334"/>
              <w:spacing w:after="0" w:line="172" w:lineRule="exact"/>
              <w:rPr>
                <w:sz w:val="20"/>
                <w:szCs w:val="20"/>
                <w:color w:val="auto"/>
              </w:rPr>
            </w:pPr>
            <w:r>
              <w:rPr>
                <w:rFonts w:ascii="Arial" w:cs="Arial" w:eastAsia="Arial" w:hAnsi="Arial"/>
                <w:sz w:val="16"/>
                <w:szCs w:val="16"/>
                <w:b w:val="1"/>
                <w:bCs w:val="1"/>
                <w:color w:val="auto"/>
              </w:rPr>
              <w:t>Historical</w:t>
            </w:r>
          </w:p>
        </w:tc>
        <w:tc>
          <w:tcPr>
            <w:tcW w:w="1440" w:type="dxa"/>
            <w:vAlign w:val="bottom"/>
          </w:tcPr>
          <w:p>
            <w:pPr>
              <w:jc w:val="right"/>
              <w:ind w:right="194"/>
              <w:spacing w:after="0" w:line="172" w:lineRule="exact"/>
              <w:rPr>
                <w:sz w:val="20"/>
                <w:szCs w:val="20"/>
                <w:color w:val="auto"/>
              </w:rPr>
            </w:pPr>
            <w:r>
              <w:rPr>
                <w:rFonts w:ascii="Arial" w:cs="Arial" w:eastAsia="Arial" w:hAnsi="Arial"/>
                <w:sz w:val="16"/>
                <w:szCs w:val="16"/>
                <w:b w:val="1"/>
                <w:bCs w:val="1"/>
                <w:color w:val="auto"/>
              </w:rPr>
              <w:t>Compounded</w:t>
            </w:r>
          </w:p>
        </w:tc>
        <w:tc>
          <w:tcPr>
            <w:tcW w:w="14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Dividend Yield</w:t>
            </w:r>
          </w:p>
        </w:tc>
        <w:tc>
          <w:tcPr>
            <w:tcW w:w="254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Remaining Performance Period</w:t>
            </w:r>
          </w:p>
        </w:tc>
        <w:tc>
          <w:tcPr>
            <w:tcW w:w="0" w:type="dxa"/>
            <w:vAlign w:val="bottom"/>
          </w:tcPr>
          <w:p>
            <w:pPr>
              <w:spacing w:after="0"/>
              <w:rPr>
                <w:sz w:val="1"/>
                <w:szCs w:val="1"/>
                <w:color w:val="auto"/>
              </w:rPr>
            </w:pPr>
          </w:p>
        </w:tc>
      </w:tr>
      <w:tr>
        <w:trPr>
          <w:trHeight w:val="215"/>
        </w:trPr>
        <w:tc>
          <w:tcPr>
            <w:tcW w:w="2120" w:type="dxa"/>
            <w:vAlign w:val="bottom"/>
            <w:tcBorders>
              <w:bottom w:val="single" w:sz="8" w:color="BD03F7"/>
            </w:tcBorders>
          </w:tcPr>
          <w:p>
            <w:pPr>
              <w:spacing w:after="0"/>
              <w:rPr>
                <w:sz w:val="18"/>
                <w:szCs w:val="18"/>
                <w:color w:val="auto"/>
              </w:rPr>
            </w:pPr>
          </w:p>
        </w:tc>
        <w:tc>
          <w:tcPr>
            <w:tcW w:w="520" w:type="dxa"/>
            <w:vAlign w:val="bottom"/>
            <w:tcBorders>
              <w:bottom w:val="single" w:sz="8" w:color="BD03F7"/>
            </w:tcBorders>
          </w:tcPr>
          <w:p>
            <w:pPr>
              <w:spacing w:after="0"/>
              <w:rPr>
                <w:sz w:val="18"/>
                <w:szCs w:val="18"/>
                <w:color w:val="auto"/>
              </w:rPr>
            </w:pPr>
          </w:p>
        </w:tc>
        <w:tc>
          <w:tcPr>
            <w:tcW w:w="1280" w:type="dxa"/>
            <w:vAlign w:val="bottom"/>
            <w:tcBorders>
              <w:bottom w:val="single" w:sz="8" w:color="BD03F7"/>
            </w:tcBorders>
            <w:vMerge w:val="continue"/>
          </w:tcPr>
          <w:p>
            <w:pPr>
              <w:spacing w:after="0"/>
              <w:rPr>
                <w:sz w:val="18"/>
                <w:szCs w:val="18"/>
                <w:color w:val="auto"/>
              </w:rPr>
            </w:pPr>
          </w:p>
        </w:tc>
        <w:tc>
          <w:tcPr>
            <w:tcW w:w="1380" w:type="dxa"/>
            <w:vAlign w:val="bottom"/>
            <w:tcBorders>
              <w:bottom w:val="single" w:sz="8" w:color="BD03F7"/>
            </w:tcBorders>
          </w:tcPr>
          <w:p>
            <w:pPr>
              <w:jc w:val="right"/>
              <w:ind w:right="374"/>
              <w:spacing w:after="0"/>
              <w:rPr>
                <w:sz w:val="20"/>
                <w:szCs w:val="20"/>
                <w:color w:val="auto"/>
              </w:rPr>
            </w:pPr>
            <w:r>
              <w:rPr>
                <w:rFonts w:ascii="Arial" w:cs="Arial" w:eastAsia="Arial" w:hAnsi="Arial"/>
                <w:sz w:val="16"/>
                <w:szCs w:val="16"/>
                <w:b w:val="1"/>
                <w:bCs w:val="1"/>
                <w:color w:val="auto"/>
              </w:rPr>
              <w:t>Volatility</w:t>
            </w:r>
          </w:p>
        </w:tc>
        <w:tc>
          <w:tcPr>
            <w:tcW w:w="1440" w:type="dxa"/>
            <w:vAlign w:val="bottom"/>
            <w:tcBorders>
              <w:bottom w:val="single" w:sz="8" w:color="BD03F7"/>
            </w:tcBorders>
          </w:tcPr>
          <w:p>
            <w:pPr>
              <w:jc w:val="right"/>
              <w:ind w:right="174"/>
              <w:spacing w:after="0"/>
              <w:rPr>
                <w:sz w:val="20"/>
                <w:szCs w:val="20"/>
                <w:color w:val="auto"/>
              </w:rPr>
            </w:pPr>
            <w:r>
              <w:rPr>
                <w:rFonts w:ascii="Arial" w:cs="Arial" w:eastAsia="Arial" w:hAnsi="Arial"/>
                <w:sz w:val="16"/>
                <w:szCs w:val="16"/>
                <w:b w:val="1"/>
                <w:bCs w:val="1"/>
                <w:color w:val="auto"/>
              </w:rPr>
              <w:t>Risk-free Rate</w:t>
            </w:r>
          </w:p>
        </w:tc>
        <w:tc>
          <w:tcPr>
            <w:tcW w:w="1400" w:type="dxa"/>
            <w:vAlign w:val="bottom"/>
            <w:tcBorders>
              <w:bottom w:val="single" w:sz="8" w:color="BD03F7"/>
            </w:tcBorders>
            <w:vMerge w:val="continue"/>
          </w:tcPr>
          <w:p>
            <w:pPr>
              <w:spacing w:after="0"/>
              <w:rPr>
                <w:sz w:val="18"/>
                <w:szCs w:val="18"/>
                <w:color w:val="auto"/>
              </w:rPr>
            </w:pPr>
          </w:p>
        </w:tc>
        <w:tc>
          <w:tcPr>
            <w:tcW w:w="2540" w:type="dxa"/>
            <w:vAlign w:val="bottom"/>
            <w:tcBorders>
              <w:bottom w:val="single" w:sz="8" w:color="BD03F7"/>
            </w:tcBorders>
          </w:tcPr>
          <w:p>
            <w:pPr>
              <w:jc w:val="right"/>
              <w:ind w:right="214"/>
              <w:spacing w:after="0"/>
              <w:rPr>
                <w:sz w:val="20"/>
                <w:szCs w:val="20"/>
                <w:color w:val="auto"/>
              </w:rPr>
            </w:pPr>
            <w:r>
              <w:rPr>
                <w:rFonts w:ascii="Arial" w:cs="Arial" w:eastAsia="Arial" w:hAnsi="Arial"/>
                <w:sz w:val="16"/>
                <w:szCs w:val="16"/>
                <w:b w:val="1"/>
                <w:bCs w:val="1"/>
                <w:color w:val="auto"/>
              </w:rPr>
              <w:t>on the Grant Date (years)</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10/13/24 rTSR PRSU</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123.89</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44.55 %</w:t>
            </w:r>
          </w:p>
        </w:tc>
        <w:tc>
          <w:tcPr>
            <w:tcW w:w="1440" w:type="dxa"/>
            <w:vAlign w:val="bottom"/>
          </w:tcPr>
          <w:p>
            <w:pPr>
              <w:jc w:val="right"/>
              <w:spacing w:after="0"/>
              <w:rPr>
                <w:sz w:val="20"/>
                <w:szCs w:val="20"/>
                <w:color w:val="auto"/>
              </w:rPr>
            </w:pPr>
            <w:r>
              <w:rPr>
                <w:rFonts w:ascii="Arial" w:cs="Arial" w:eastAsia="Arial" w:hAnsi="Arial"/>
                <w:sz w:val="18"/>
                <w:szCs w:val="18"/>
                <w:color w:val="auto"/>
              </w:rPr>
              <w:t>3.79 %</w:t>
            </w:r>
          </w:p>
        </w:tc>
        <w:tc>
          <w:tcPr>
            <w:tcW w:w="1400" w:type="dxa"/>
            <w:vAlign w:val="bottom"/>
          </w:tcPr>
          <w:p>
            <w:pPr>
              <w:ind w:left="940"/>
              <w:spacing w:after="0"/>
              <w:rPr>
                <w:sz w:val="20"/>
                <w:szCs w:val="20"/>
                <w:color w:val="auto"/>
              </w:rPr>
            </w:pPr>
            <w:r>
              <w:rPr>
                <w:rFonts w:ascii="Arial" w:cs="Arial" w:eastAsia="Arial" w:hAnsi="Arial"/>
                <w:sz w:val="18"/>
                <w:szCs w:val="18"/>
                <w:color w:val="auto"/>
              </w:rPr>
              <w:t>— %</w:t>
            </w:r>
          </w:p>
        </w:tc>
        <w:tc>
          <w:tcPr>
            <w:tcW w:w="25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8"/>
        </w:trPr>
        <w:tc>
          <w:tcPr>
            <w:tcW w:w="2120" w:type="dxa"/>
            <w:vAlign w:val="bottom"/>
          </w:tcPr>
          <w:p>
            <w:pPr>
              <w:ind w:left="20"/>
              <w:spacing w:after="0"/>
              <w:rPr>
                <w:sz w:val="20"/>
                <w:szCs w:val="20"/>
                <w:color w:val="auto"/>
              </w:rPr>
            </w:pPr>
            <w:r>
              <w:rPr>
                <w:rFonts w:ascii="Arial" w:cs="Arial" w:eastAsia="Arial" w:hAnsi="Arial"/>
                <w:sz w:val="18"/>
                <w:szCs w:val="18"/>
                <w:color w:val="auto"/>
              </w:rPr>
              <w:t>10/13/23 rTSR PRSU</w:t>
            </w:r>
          </w:p>
        </w:tc>
        <w:tc>
          <w:tcPr>
            <w:tcW w:w="52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77.85</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41.86 %</w:t>
            </w:r>
          </w:p>
        </w:tc>
        <w:tc>
          <w:tcPr>
            <w:tcW w:w="1440" w:type="dxa"/>
            <w:vAlign w:val="bottom"/>
          </w:tcPr>
          <w:p>
            <w:pPr>
              <w:jc w:val="right"/>
              <w:spacing w:after="0"/>
              <w:rPr>
                <w:sz w:val="20"/>
                <w:szCs w:val="20"/>
                <w:color w:val="auto"/>
              </w:rPr>
            </w:pPr>
            <w:r>
              <w:rPr>
                <w:rFonts w:ascii="Arial" w:cs="Arial" w:eastAsia="Arial" w:hAnsi="Arial"/>
                <w:sz w:val="18"/>
                <w:szCs w:val="18"/>
                <w:color w:val="auto"/>
              </w:rPr>
              <w:t>4.74 %</w:t>
            </w:r>
          </w:p>
        </w:tc>
        <w:tc>
          <w:tcPr>
            <w:tcW w:w="1400" w:type="dxa"/>
            <w:vAlign w:val="bottom"/>
          </w:tcPr>
          <w:p>
            <w:pPr>
              <w:ind w:left="940"/>
              <w:spacing w:after="0"/>
              <w:rPr>
                <w:sz w:val="20"/>
                <w:szCs w:val="20"/>
                <w:color w:val="auto"/>
              </w:rPr>
            </w:pPr>
            <w:r>
              <w:rPr>
                <w:rFonts w:ascii="Arial" w:cs="Arial" w:eastAsia="Arial" w:hAnsi="Arial"/>
                <w:sz w:val="18"/>
                <w:szCs w:val="18"/>
                <w:color w:val="auto"/>
              </w:rPr>
              <w:t>— %</w:t>
            </w:r>
          </w:p>
        </w:tc>
        <w:tc>
          <w:tcPr>
            <w:tcW w:w="25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4"/>
        </w:trPr>
        <w:tc>
          <w:tcPr>
            <w:tcW w:w="2120" w:type="dxa"/>
            <w:vAlign w:val="bottom"/>
            <w:tcBorders>
              <w:bottom w:val="single" w:sz="8" w:color="BD03F7"/>
            </w:tcBorders>
          </w:tcPr>
          <w:p>
            <w:pPr>
              <w:ind w:left="20"/>
              <w:spacing w:after="0"/>
              <w:rPr>
                <w:sz w:val="20"/>
                <w:szCs w:val="20"/>
                <w:color w:val="auto"/>
              </w:rPr>
            </w:pPr>
            <w:r>
              <w:rPr>
                <w:rFonts w:ascii="Arial" w:cs="Arial" w:eastAsia="Arial" w:hAnsi="Arial"/>
                <w:sz w:val="18"/>
                <w:szCs w:val="18"/>
                <w:color w:val="auto"/>
              </w:rPr>
              <w:t>10/13/22 rTSR PRSU</w:t>
            </w:r>
          </w:p>
        </w:tc>
        <w:tc>
          <w:tcPr>
            <w:tcW w:w="520" w:type="dxa"/>
            <w:vAlign w:val="bottom"/>
            <w:tcBorders>
              <w:bottom w:val="single" w:sz="8" w:color="BD03F7"/>
            </w:tcBorders>
          </w:tcPr>
          <w:p>
            <w:pPr>
              <w:spacing w:after="0"/>
              <w:rPr>
                <w:sz w:val="20"/>
                <w:szCs w:val="20"/>
                <w:color w:val="auto"/>
              </w:rPr>
            </w:pPr>
          </w:p>
        </w:tc>
        <w:tc>
          <w:tcPr>
            <w:tcW w:w="1280" w:type="dxa"/>
            <w:vAlign w:val="bottom"/>
            <w:tcBorders>
              <w:bottom w:val="single" w:sz="8" w:color="BD03F7"/>
            </w:tcBorders>
          </w:tcPr>
          <w:p>
            <w:pPr>
              <w:jc w:val="right"/>
              <w:ind w:right="113"/>
              <w:spacing w:after="0"/>
              <w:rPr>
                <w:sz w:val="20"/>
                <w:szCs w:val="20"/>
                <w:color w:val="auto"/>
              </w:rPr>
            </w:pPr>
            <w:r>
              <w:rPr>
                <w:rFonts w:ascii="Arial" w:cs="Arial" w:eastAsia="Arial" w:hAnsi="Arial"/>
                <w:sz w:val="18"/>
                <w:szCs w:val="18"/>
                <w:color w:val="auto"/>
              </w:rPr>
              <w:t>66.89</w:t>
            </w:r>
          </w:p>
        </w:tc>
        <w:tc>
          <w:tcPr>
            <w:tcW w:w="1380" w:type="dxa"/>
            <w:vAlign w:val="bottom"/>
            <w:tcBorders>
              <w:bottom w:val="single" w:sz="8" w:color="BD03F7"/>
            </w:tcBorders>
          </w:tcPr>
          <w:p>
            <w:pPr>
              <w:jc w:val="right"/>
              <w:ind w:right="14"/>
              <w:spacing w:after="0"/>
              <w:rPr>
                <w:sz w:val="20"/>
                <w:szCs w:val="20"/>
                <w:color w:val="auto"/>
              </w:rPr>
            </w:pPr>
            <w:r>
              <w:rPr>
                <w:rFonts w:ascii="Arial" w:cs="Arial" w:eastAsia="Arial" w:hAnsi="Arial"/>
                <w:sz w:val="18"/>
                <w:szCs w:val="18"/>
                <w:color w:val="auto"/>
              </w:rPr>
              <w:t>49.08 %</w:t>
            </w:r>
          </w:p>
        </w:tc>
        <w:tc>
          <w:tcPr>
            <w:tcW w:w="144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4.22 %</w:t>
            </w:r>
          </w:p>
        </w:tc>
        <w:tc>
          <w:tcPr>
            <w:tcW w:w="1400" w:type="dxa"/>
            <w:vAlign w:val="bottom"/>
            <w:tcBorders>
              <w:bottom w:val="single" w:sz="8" w:color="BD03F7"/>
            </w:tcBorders>
          </w:tcPr>
          <w:p>
            <w:pPr>
              <w:ind w:left="940"/>
              <w:spacing w:after="0"/>
              <w:rPr>
                <w:sz w:val="20"/>
                <w:szCs w:val="20"/>
                <w:color w:val="auto"/>
              </w:rPr>
            </w:pPr>
            <w:r>
              <w:rPr>
                <w:rFonts w:ascii="Arial" w:cs="Arial" w:eastAsia="Arial" w:hAnsi="Arial"/>
                <w:sz w:val="18"/>
                <w:szCs w:val="18"/>
                <w:color w:val="auto"/>
              </w:rPr>
              <w:t>— %</w:t>
            </w:r>
          </w:p>
        </w:tc>
        <w:tc>
          <w:tcPr>
            <w:tcW w:w="254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40" w:right="380"/>
        <w:spacing w:after="0" w:line="267" w:lineRule="auto"/>
        <w:rPr>
          <w:sz w:val="20"/>
          <w:szCs w:val="20"/>
          <w:color w:val="auto"/>
        </w:rPr>
      </w:pPr>
      <w:r>
        <w:rPr>
          <w:rFonts w:ascii="Arial" w:cs="Arial" w:eastAsia="Arial" w:hAnsi="Arial"/>
          <w:sz w:val="18"/>
          <w:szCs w:val="18"/>
          <w:color w:val="auto"/>
        </w:rPr>
        <w:t>Although the assumed probable outcome as of the grant date was achievement at the target level, the terms of the awards for performance-based restricted stock unit awards granted in Fiscal 2025, 2024, and 2023 also provide for achievement of up to 200% of the target amount (“maximum”).</w:t>
      </w:r>
    </w:p>
    <w:p>
      <w:pPr>
        <w:spacing w:after="0" w:line="200" w:lineRule="exact"/>
        <w:rPr>
          <w:sz w:val="20"/>
          <w:szCs w:val="20"/>
          <w:color w:val="auto"/>
        </w:rPr>
      </w:pPr>
    </w:p>
    <w:p>
      <w:pPr>
        <w:spacing w:after="0" w:line="378" w:lineRule="exact"/>
        <w:rPr>
          <w:sz w:val="20"/>
          <w:szCs w:val="20"/>
          <w:color w:val="auto"/>
        </w:rPr>
      </w:pPr>
    </w:p>
    <w:p>
      <w:pPr>
        <w:ind w:left="9780"/>
        <w:spacing w:after="0"/>
        <w:rPr>
          <w:sz w:val="20"/>
          <w:szCs w:val="20"/>
          <w:color w:val="auto"/>
        </w:rPr>
      </w:pPr>
      <w:r>
        <w:rPr>
          <w:sz w:val="1"/>
          <w:szCs w:val="1"/>
          <w:color w:val="auto"/>
        </w:rPr>
        <w:drawing>
          <wp:inline distT="0" distB="0" distL="0" distR="0">
            <wp:extent cx="776605" cy="16192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right="20"/>
        <w:spacing w:after="0" w:line="267" w:lineRule="auto"/>
        <w:rPr>
          <w:sz w:val="20"/>
          <w:szCs w:val="20"/>
          <w:color w:val="auto"/>
        </w:rPr>
      </w:pPr>
      <w:r>
        <w:rPr>
          <w:rFonts w:ascii="Arial" w:cs="Arial" w:eastAsia="Arial" w:hAnsi="Arial"/>
          <w:sz w:val="18"/>
          <w:szCs w:val="18"/>
          <w:color w:val="auto"/>
        </w:rPr>
        <w:t>The table below presents the aggregate grant date fair value of stock awards for the periods presented assuming achievement at the maximum level for such performance-based awards. Grant date fair values for both the target and maximum levels are consistent with the amounts used to determine compensation cost under Accounting Standards Codification 718.</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1540" w:type="dxa"/>
            <w:vAlign w:val="bottom"/>
          </w:tcPr>
          <w:p>
            <w:pPr>
              <w:spacing w:after="0"/>
              <w:rPr>
                <w:sz w:val="17"/>
                <w:szCs w:val="17"/>
                <w:color w:val="auto"/>
              </w:rPr>
            </w:pPr>
          </w:p>
        </w:tc>
        <w:tc>
          <w:tcPr>
            <w:tcW w:w="940" w:type="dxa"/>
            <w:vAlign w:val="bottom"/>
            <w:tcBorders>
              <w:bottom w:val="single" w:sz="8" w:color="BD03F7"/>
            </w:tcBorders>
          </w:tcPr>
          <w:p>
            <w:pPr>
              <w:spacing w:after="0"/>
              <w:rPr>
                <w:sz w:val="17"/>
                <w:szCs w:val="17"/>
                <w:color w:val="auto"/>
              </w:rPr>
            </w:pPr>
          </w:p>
        </w:tc>
        <w:tc>
          <w:tcPr>
            <w:tcW w:w="106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BD03F7"/>
            </w:tcBorders>
          </w:tcPr>
          <w:p>
            <w:pPr>
              <w:spacing w:after="0"/>
              <w:rPr>
                <w:sz w:val="17"/>
                <w:szCs w:val="17"/>
                <w:color w:val="auto"/>
              </w:rPr>
            </w:pPr>
          </w:p>
        </w:tc>
        <w:tc>
          <w:tcPr>
            <w:tcW w:w="960" w:type="dxa"/>
            <w:vAlign w:val="bottom"/>
            <w:tcBorders>
              <w:bottom w:val="single" w:sz="8" w:color="BD03F7"/>
            </w:tcBorders>
          </w:tcPr>
          <w:p>
            <w:pPr>
              <w:spacing w:after="0"/>
              <w:rPr>
                <w:sz w:val="17"/>
                <w:szCs w:val="17"/>
                <w:color w:val="auto"/>
              </w:rPr>
            </w:pPr>
          </w:p>
        </w:tc>
        <w:tc>
          <w:tcPr>
            <w:tcW w:w="106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BD03F7"/>
            </w:tcBorders>
          </w:tcPr>
          <w:p>
            <w:pPr>
              <w:spacing w:after="0"/>
              <w:rPr>
                <w:sz w:val="17"/>
                <w:szCs w:val="17"/>
                <w:color w:val="auto"/>
              </w:rPr>
            </w:pPr>
          </w:p>
        </w:tc>
        <w:tc>
          <w:tcPr>
            <w:tcW w:w="960" w:type="dxa"/>
            <w:vAlign w:val="bottom"/>
            <w:tcBorders>
              <w:bottom w:val="single" w:sz="8" w:color="BD03F7"/>
            </w:tcBorders>
          </w:tcPr>
          <w:p>
            <w:pPr>
              <w:spacing w:after="0"/>
              <w:rPr>
                <w:sz w:val="17"/>
                <w:szCs w:val="17"/>
                <w:color w:val="auto"/>
              </w:rPr>
            </w:pPr>
          </w:p>
        </w:tc>
        <w:tc>
          <w:tcPr>
            <w:tcW w:w="108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BD03F7"/>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Performance-</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Performance-</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Performance-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based Stock</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based Stock</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based Stock</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Time-based</w:t>
            </w: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 at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Stock</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Time-based</w:t>
            </w: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 at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Stock</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Time-based</w:t>
            </w:r>
          </w:p>
        </w:tc>
        <w:tc>
          <w:tcPr>
            <w:tcW w:w="10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 at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 Stock</w:t>
            </w:r>
          </w:p>
        </w:tc>
        <w:tc>
          <w:tcPr>
            <w:tcW w:w="0" w:type="dxa"/>
            <w:vAlign w:val="bottom"/>
          </w:tcPr>
          <w:p>
            <w:pPr>
              <w:spacing w:after="0"/>
              <w:rPr>
                <w:sz w:val="1"/>
                <w:szCs w:val="1"/>
                <w:color w:val="auto"/>
              </w:rPr>
            </w:pPr>
          </w:p>
        </w:tc>
      </w:tr>
      <w:tr>
        <w:trPr>
          <w:trHeight w:val="148"/>
        </w:trPr>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940" w:type="dxa"/>
            <w:vAlign w:val="bottom"/>
            <w:vMerge w:val="continue"/>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Maximum</w:t>
            </w:r>
          </w:p>
        </w:tc>
        <w:tc>
          <w:tcPr>
            <w:tcW w:w="9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Maximum</w:t>
            </w:r>
          </w:p>
        </w:tc>
        <w:tc>
          <w:tcPr>
            <w:tcW w:w="9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Maximum</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40" w:type="dxa"/>
            <w:vAlign w:val="bottom"/>
            <w:tcBorders>
              <w:bottom w:val="single" w:sz="8" w:color="BD03F7"/>
            </w:tcBorders>
            <w:vMerge w:val="continue"/>
          </w:tcPr>
          <w:p>
            <w:pPr>
              <w:spacing w:after="0"/>
              <w:rPr>
                <w:sz w:val="15"/>
                <w:szCs w:val="15"/>
                <w:color w:val="auto"/>
              </w:rPr>
            </w:pPr>
          </w:p>
        </w:tc>
        <w:tc>
          <w:tcPr>
            <w:tcW w:w="940" w:type="dxa"/>
            <w:vAlign w:val="bottom"/>
            <w:tcBorders>
              <w:bottom w:val="single" w:sz="8" w:color="BD03F7"/>
            </w:tcBorders>
          </w:tcPr>
          <w:p>
            <w:pPr>
              <w:jc w:val="right"/>
              <w:spacing w:after="0"/>
              <w:rPr>
                <w:sz w:val="20"/>
                <w:szCs w:val="20"/>
                <w:color w:val="auto"/>
              </w:rPr>
            </w:pPr>
            <w:r>
              <w:rPr>
                <w:rFonts w:ascii="Arial" w:cs="Arial" w:eastAsia="Arial" w:hAnsi="Arial"/>
                <w:sz w:val="14"/>
                <w:szCs w:val="14"/>
                <w:b w:val="1"/>
                <w:bCs w:val="1"/>
                <w:color w:val="auto"/>
              </w:rPr>
              <w:t>Stock Award</w:t>
            </w:r>
          </w:p>
        </w:tc>
        <w:tc>
          <w:tcPr>
            <w:tcW w:w="106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rPr>
              <w:t>Level</w:t>
            </w:r>
          </w:p>
        </w:tc>
        <w:tc>
          <w:tcPr>
            <w:tcW w:w="980" w:type="dxa"/>
            <w:vAlign w:val="bottom"/>
            <w:tcBorders>
              <w:bottom w:val="single" w:sz="8" w:color="BD03F7"/>
            </w:tcBorders>
          </w:tcPr>
          <w:p>
            <w:pPr>
              <w:jc w:val="right"/>
              <w:ind w:right="128"/>
              <w:spacing w:after="0"/>
              <w:rPr>
                <w:sz w:val="20"/>
                <w:szCs w:val="20"/>
                <w:color w:val="auto"/>
              </w:rPr>
            </w:pPr>
            <w:r>
              <w:rPr>
                <w:rFonts w:ascii="Arial" w:cs="Arial" w:eastAsia="Arial" w:hAnsi="Arial"/>
                <w:sz w:val="14"/>
                <w:szCs w:val="14"/>
                <w:b w:val="1"/>
                <w:bCs w:val="1"/>
                <w:color w:val="auto"/>
              </w:rPr>
              <w:t>Awards</w:t>
            </w:r>
          </w:p>
        </w:tc>
        <w:tc>
          <w:tcPr>
            <w:tcW w:w="960" w:type="dxa"/>
            <w:vAlign w:val="bottom"/>
            <w:tcBorders>
              <w:bottom w:val="single" w:sz="8" w:color="BD03F7"/>
            </w:tcBorders>
          </w:tcPr>
          <w:p>
            <w:pPr>
              <w:jc w:val="right"/>
              <w:spacing w:after="0"/>
              <w:rPr>
                <w:sz w:val="20"/>
                <w:szCs w:val="20"/>
                <w:color w:val="auto"/>
              </w:rPr>
            </w:pPr>
            <w:r>
              <w:rPr>
                <w:rFonts w:ascii="Arial" w:cs="Arial" w:eastAsia="Arial" w:hAnsi="Arial"/>
                <w:sz w:val="14"/>
                <w:szCs w:val="14"/>
                <w:b w:val="1"/>
                <w:bCs w:val="1"/>
                <w:color w:val="auto"/>
              </w:rPr>
              <w:t>Stock Award</w:t>
            </w:r>
          </w:p>
        </w:tc>
        <w:tc>
          <w:tcPr>
            <w:tcW w:w="106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rPr>
              <w:t>Level</w:t>
            </w:r>
          </w:p>
        </w:tc>
        <w:tc>
          <w:tcPr>
            <w:tcW w:w="980" w:type="dxa"/>
            <w:vAlign w:val="bottom"/>
            <w:tcBorders>
              <w:bottom w:val="single" w:sz="8" w:color="BD03F7"/>
            </w:tcBorders>
          </w:tcPr>
          <w:p>
            <w:pPr>
              <w:jc w:val="right"/>
              <w:ind w:right="148"/>
              <w:spacing w:after="0"/>
              <w:rPr>
                <w:sz w:val="20"/>
                <w:szCs w:val="20"/>
                <w:color w:val="auto"/>
              </w:rPr>
            </w:pPr>
            <w:r>
              <w:rPr>
                <w:rFonts w:ascii="Arial" w:cs="Arial" w:eastAsia="Arial" w:hAnsi="Arial"/>
                <w:sz w:val="14"/>
                <w:szCs w:val="14"/>
                <w:b w:val="1"/>
                <w:bCs w:val="1"/>
                <w:color w:val="auto"/>
              </w:rPr>
              <w:t>Awards</w:t>
            </w:r>
          </w:p>
        </w:tc>
        <w:tc>
          <w:tcPr>
            <w:tcW w:w="960" w:type="dxa"/>
            <w:vAlign w:val="bottom"/>
            <w:tcBorders>
              <w:bottom w:val="single" w:sz="8" w:color="BD03F7"/>
            </w:tcBorders>
          </w:tcPr>
          <w:p>
            <w:pPr>
              <w:jc w:val="right"/>
              <w:spacing w:after="0"/>
              <w:rPr>
                <w:sz w:val="20"/>
                <w:szCs w:val="20"/>
                <w:color w:val="auto"/>
              </w:rPr>
            </w:pPr>
            <w:r>
              <w:rPr>
                <w:rFonts w:ascii="Arial" w:cs="Arial" w:eastAsia="Arial" w:hAnsi="Arial"/>
                <w:sz w:val="14"/>
                <w:szCs w:val="14"/>
                <w:b w:val="1"/>
                <w:bCs w:val="1"/>
                <w:color w:val="auto"/>
              </w:rPr>
              <w:t>Stock Award</w:t>
            </w:r>
          </w:p>
        </w:tc>
        <w:tc>
          <w:tcPr>
            <w:tcW w:w="1080" w:type="dxa"/>
            <w:vAlign w:val="bottom"/>
            <w:tcBorders>
              <w:bottom w:val="single" w:sz="8" w:color="BD03F7"/>
            </w:tcBorders>
          </w:tcPr>
          <w:p>
            <w:pPr>
              <w:jc w:val="center"/>
              <w:spacing w:after="0"/>
              <w:rPr>
                <w:sz w:val="20"/>
                <w:szCs w:val="20"/>
                <w:color w:val="auto"/>
              </w:rPr>
            </w:pPr>
            <w:r>
              <w:rPr>
                <w:rFonts w:ascii="Arial" w:cs="Arial" w:eastAsia="Arial" w:hAnsi="Arial"/>
                <w:sz w:val="14"/>
                <w:szCs w:val="14"/>
                <w:b w:val="1"/>
                <w:bCs w:val="1"/>
                <w:color w:val="auto"/>
              </w:rPr>
              <w:t>Level</w:t>
            </w:r>
          </w:p>
        </w:tc>
        <w:tc>
          <w:tcPr>
            <w:tcW w:w="980" w:type="dxa"/>
            <w:vAlign w:val="bottom"/>
            <w:tcBorders>
              <w:bottom w:val="single" w:sz="8" w:color="BD03F7"/>
            </w:tcBorders>
          </w:tcPr>
          <w:p>
            <w:pPr>
              <w:jc w:val="right"/>
              <w:ind w:right="168"/>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34"/>
        </w:trPr>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540" w:type="dxa"/>
            <w:vAlign w:val="bottom"/>
            <w:shd w:val="clear" w:color="auto" w:fill="F2F2F2"/>
          </w:tcPr>
          <w:p>
            <w:pPr>
              <w:ind w:left="20"/>
              <w:spacing w:after="0"/>
              <w:rPr>
                <w:sz w:val="20"/>
                <w:szCs w:val="20"/>
                <w:color w:val="auto"/>
              </w:rPr>
            </w:pPr>
            <w:r>
              <w:rPr>
                <w:rFonts w:ascii="Arial" w:cs="Arial" w:eastAsia="Arial" w:hAnsi="Arial"/>
                <w:sz w:val="14"/>
                <w:szCs w:val="14"/>
                <w:color w:val="auto"/>
              </w:rPr>
              <w:t>Sanjay Mehrotra</w:t>
            </w: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8,875,964</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30,165,843</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$ 39,041,807</w:t>
            </w:r>
          </w:p>
        </w:tc>
        <w:tc>
          <w:tcPr>
            <w:tcW w:w="9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8,312,526</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28,250,328</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$ 36,562,854</w:t>
            </w:r>
          </w:p>
        </w:tc>
        <w:tc>
          <w:tcPr>
            <w:tcW w:w="9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$ 11,874,975</w:t>
            </w:r>
          </w:p>
        </w:tc>
        <w:tc>
          <w:tcPr>
            <w:tcW w:w="10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   21,731,347</w:t>
            </w:r>
          </w:p>
        </w:tc>
        <w:tc>
          <w:tcPr>
            <w:tcW w:w="9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$ 33,606,322</w:t>
            </w:r>
          </w:p>
        </w:tc>
        <w:tc>
          <w:tcPr>
            <w:tcW w:w="0" w:type="dxa"/>
            <w:vAlign w:val="bottom"/>
          </w:tcPr>
          <w:p>
            <w:pPr>
              <w:spacing w:after="0"/>
              <w:rPr>
                <w:sz w:val="1"/>
                <w:szCs w:val="1"/>
                <w:color w:val="auto"/>
              </w:rPr>
            </w:pPr>
          </w:p>
        </w:tc>
      </w:tr>
      <w:tr>
        <w:trPr>
          <w:trHeight w:val="198"/>
        </w:trPr>
        <w:tc>
          <w:tcPr>
            <w:tcW w:w="1540" w:type="dxa"/>
            <w:vAlign w:val="bottom"/>
          </w:tcPr>
          <w:p>
            <w:pPr>
              <w:ind w:left="20"/>
              <w:spacing w:after="0"/>
              <w:rPr>
                <w:sz w:val="20"/>
                <w:szCs w:val="20"/>
                <w:color w:val="auto"/>
              </w:rPr>
            </w:pPr>
            <w:r>
              <w:rPr>
                <w:rFonts w:ascii="Arial" w:cs="Arial" w:eastAsia="Arial" w:hAnsi="Arial"/>
                <w:sz w:val="14"/>
                <w:szCs w:val="14"/>
                <w:color w:val="auto"/>
              </w:rPr>
              <w:t>Mark Murphy</w:t>
            </w:r>
          </w:p>
        </w:tc>
        <w:tc>
          <w:tcPr>
            <w:tcW w:w="940" w:type="dxa"/>
            <w:vAlign w:val="bottom"/>
          </w:tcPr>
          <w:p>
            <w:pPr>
              <w:jc w:val="right"/>
              <w:spacing w:after="0"/>
              <w:rPr>
                <w:sz w:val="20"/>
                <w:szCs w:val="20"/>
                <w:color w:val="auto"/>
              </w:rPr>
            </w:pPr>
            <w:r>
              <w:rPr>
                <w:rFonts w:ascii="Arial" w:cs="Arial" w:eastAsia="Arial" w:hAnsi="Arial"/>
                <w:sz w:val="14"/>
                <w:szCs w:val="14"/>
                <w:color w:val="auto"/>
              </w:rPr>
              <w:t>4,500,049</w:t>
            </w:r>
          </w:p>
        </w:tc>
        <w:tc>
          <w:tcPr>
            <w:tcW w:w="1060" w:type="dxa"/>
            <w:vAlign w:val="bottom"/>
          </w:tcPr>
          <w:p>
            <w:pPr>
              <w:jc w:val="right"/>
              <w:spacing w:after="0"/>
              <w:rPr>
                <w:sz w:val="20"/>
                <w:szCs w:val="20"/>
                <w:color w:val="auto"/>
              </w:rPr>
            </w:pPr>
            <w:r>
              <w:rPr>
                <w:rFonts w:ascii="Arial" w:cs="Arial" w:eastAsia="Arial" w:hAnsi="Arial"/>
                <w:sz w:val="14"/>
                <w:szCs w:val="14"/>
                <w:color w:val="auto"/>
              </w:rPr>
              <w:t>8,235,031</w:t>
            </w:r>
          </w:p>
        </w:tc>
        <w:tc>
          <w:tcPr>
            <w:tcW w:w="980" w:type="dxa"/>
            <w:vAlign w:val="bottom"/>
          </w:tcPr>
          <w:p>
            <w:pPr>
              <w:jc w:val="right"/>
              <w:spacing w:after="0"/>
              <w:rPr>
                <w:sz w:val="20"/>
                <w:szCs w:val="20"/>
                <w:color w:val="auto"/>
              </w:rPr>
            </w:pPr>
            <w:r>
              <w:rPr>
                <w:rFonts w:ascii="Arial" w:cs="Arial" w:eastAsia="Arial" w:hAnsi="Arial"/>
                <w:sz w:val="14"/>
                <w:szCs w:val="14"/>
                <w:color w:val="auto"/>
              </w:rPr>
              <w:t>12,735,080</w:t>
            </w:r>
          </w:p>
        </w:tc>
        <w:tc>
          <w:tcPr>
            <w:tcW w:w="960" w:type="dxa"/>
            <w:vAlign w:val="bottom"/>
          </w:tcPr>
          <w:p>
            <w:pPr>
              <w:jc w:val="right"/>
              <w:spacing w:after="0"/>
              <w:rPr>
                <w:sz w:val="20"/>
                <w:szCs w:val="20"/>
                <w:color w:val="auto"/>
              </w:rPr>
            </w:pPr>
            <w:r>
              <w:rPr>
                <w:rFonts w:ascii="Arial" w:cs="Arial" w:eastAsia="Arial" w:hAnsi="Arial"/>
                <w:sz w:val="14"/>
                <w:szCs w:val="14"/>
                <w:color w:val="auto"/>
              </w:rPr>
              <w:t>4,250,007</w:t>
            </w:r>
          </w:p>
        </w:tc>
        <w:tc>
          <w:tcPr>
            <w:tcW w:w="1060" w:type="dxa"/>
            <w:vAlign w:val="bottom"/>
          </w:tcPr>
          <w:p>
            <w:pPr>
              <w:jc w:val="right"/>
              <w:spacing w:after="0"/>
              <w:rPr>
                <w:sz w:val="20"/>
                <w:szCs w:val="20"/>
                <w:color w:val="auto"/>
              </w:rPr>
            </w:pPr>
            <w:r>
              <w:rPr>
                <w:rFonts w:ascii="Arial" w:cs="Arial" w:eastAsia="Arial" w:hAnsi="Arial"/>
                <w:sz w:val="14"/>
                <w:szCs w:val="14"/>
                <w:color w:val="auto"/>
              </w:rPr>
              <w:t>7,777,347</w:t>
            </w:r>
          </w:p>
        </w:tc>
        <w:tc>
          <w:tcPr>
            <w:tcW w:w="980" w:type="dxa"/>
            <w:vAlign w:val="bottom"/>
          </w:tcPr>
          <w:p>
            <w:pPr>
              <w:jc w:val="right"/>
              <w:spacing w:after="0"/>
              <w:rPr>
                <w:sz w:val="20"/>
                <w:szCs w:val="20"/>
                <w:color w:val="auto"/>
              </w:rPr>
            </w:pPr>
            <w:r>
              <w:rPr>
                <w:rFonts w:ascii="Arial" w:cs="Arial" w:eastAsia="Arial" w:hAnsi="Arial"/>
                <w:sz w:val="14"/>
                <w:szCs w:val="14"/>
                <w:color w:val="auto"/>
              </w:rPr>
              <w:t>12,027,354</w:t>
            </w:r>
          </w:p>
        </w:tc>
        <w:tc>
          <w:tcPr>
            <w:tcW w:w="960" w:type="dxa"/>
            <w:vAlign w:val="bottom"/>
          </w:tcPr>
          <w:p>
            <w:pPr>
              <w:jc w:val="right"/>
              <w:spacing w:after="0"/>
              <w:rPr>
                <w:sz w:val="20"/>
                <w:szCs w:val="20"/>
                <w:color w:val="auto"/>
              </w:rPr>
            </w:pPr>
            <w:r>
              <w:rPr>
                <w:rFonts w:ascii="Arial" w:cs="Arial" w:eastAsia="Arial" w:hAnsi="Arial"/>
                <w:sz w:val="14"/>
                <w:szCs w:val="14"/>
                <w:color w:val="auto"/>
              </w:rPr>
              <w:t>3,875,015</w:t>
            </w:r>
          </w:p>
        </w:tc>
        <w:tc>
          <w:tcPr>
            <w:tcW w:w="1080" w:type="dxa"/>
            <w:vAlign w:val="bottom"/>
          </w:tcPr>
          <w:p>
            <w:pPr>
              <w:jc w:val="right"/>
              <w:spacing w:after="0"/>
              <w:rPr>
                <w:sz w:val="20"/>
                <w:szCs w:val="20"/>
                <w:color w:val="auto"/>
              </w:rPr>
            </w:pPr>
            <w:r>
              <w:rPr>
                <w:rFonts w:ascii="Arial" w:cs="Arial" w:eastAsia="Arial" w:hAnsi="Arial"/>
                <w:sz w:val="14"/>
                <w:szCs w:val="14"/>
                <w:color w:val="auto"/>
              </w:rPr>
              <w:t>7,091,239</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10,966,254</w:t>
            </w:r>
          </w:p>
        </w:tc>
        <w:tc>
          <w:tcPr>
            <w:tcW w:w="0" w:type="dxa"/>
            <w:vAlign w:val="bottom"/>
          </w:tcPr>
          <w:p>
            <w:pPr>
              <w:spacing w:after="0"/>
              <w:rPr>
                <w:sz w:val="1"/>
                <w:szCs w:val="1"/>
                <w:color w:val="auto"/>
              </w:rPr>
            </w:pPr>
          </w:p>
        </w:tc>
      </w:tr>
      <w:tr>
        <w:trPr>
          <w:trHeight w:val="205"/>
        </w:trPr>
        <w:tc>
          <w:tcPr>
            <w:tcW w:w="15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Manish Bhatia</w:t>
            </w: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4,750,028</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8,692,224</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13,442,252</w:t>
            </w:r>
          </w:p>
        </w:tc>
        <w:tc>
          <w:tcPr>
            <w:tcW w:w="9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4,499,991</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8,234,853</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12,734,844</w:t>
            </w:r>
          </w:p>
        </w:tc>
        <w:tc>
          <w:tcPr>
            <w:tcW w:w="9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4,124,997</w:t>
            </w:r>
          </w:p>
        </w:tc>
        <w:tc>
          <w:tcPr>
            <w:tcW w:w="10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7,548,803</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11,673,800</w:t>
            </w:r>
          </w:p>
        </w:tc>
        <w:tc>
          <w:tcPr>
            <w:tcW w:w="0" w:type="dxa"/>
            <w:vAlign w:val="bottom"/>
          </w:tcPr>
          <w:p>
            <w:pPr>
              <w:spacing w:after="0"/>
              <w:rPr>
                <w:sz w:val="1"/>
                <w:szCs w:val="1"/>
                <w:color w:val="auto"/>
              </w:rPr>
            </w:pPr>
          </w:p>
        </w:tc>
      </w:tr>
      <w:tr>
        <w:trPr>
          <w:trHeight w:val="198"/>
        </w:trPr>
        <w:tc>
          <w:tcPr>
            <w:tcW w:w="1540" w:type="dxa"/>
            <w:vAlign w:val="bottom"/>
          </w:tcPr>
          <w:p>
            <w:pPr>
              <w:ind w:left="20"/>
              <w:spacing w:after="0"/>
              <w:rPr>
                <w:sz w:val="20"/>
                <w:szCs w:val="20"/>
                <w:color w:val="auto"/>
              </w:rPr>
            </w:pPr>
            <w:r>
              <w:rPr>
                <w:rFonts w:ascii="Arial" w:cs="Arial" w:eastAsia="Arial" w:hAnsi="Arial"/>
                <w:sz w:val="14"/>
                <w:szCs w:val="14"/>
                <w:color w:val="auto"/>
              </w:rPr>
              <w:t>Scott DeBoer</w:t>
            </w:r>
          </w:p>
        </w:tc>
        <w:tc>
          <w:tcPr>
            <w:tcW w:w="940" w:type="dxa"/>
            <w:vAlign w:val="bottom"/>
          </w:tcPr>
          <w:p>
            <w:pPr>
              <w:jc w:val="right"/>
              <w:spacing w:after="0"/>
              <w:rPr>
                <w:sz w:val="20"/>
                <w:szCs w:val="20"/>
                <w:color w:val="auto"/>
              </w:rPr>
            </w:pPr>
            <w:r>
              <w:rPr>
                <w:rFonts w:ascii="Arial" w:cs="Arial" w:eastAsia="Arial" w:hAnsi="Arial"/>
                <w:sz w:val="14"/>
                <w:szCs w:val="14"/>
                <w:color w:val="auto"/>
              </w:rPr>
              <w:t>4,124,974</w:t>
            </w:r>
          </w:p>
        </w:tc>
        <w:tc>
          <w:tcPr>
            <w:tcW w:w="1060" w:type="dxa"/>
            <w:vAlign w:val="bottom"/>
          </w:tcPr>
          <w:p>
            <w:pPr>
              <w:jc w:val="right"/>
              <w:spacing w:after="0"/>
              <w:rPr>
                <w:sz w:val="20"/>
                <w:szCs w:val="20"/>
                <w:color w:val="auto"/>
              </w:rPr>
            </w:pPr>
            <w:r>
              <w:rPr>
                <w:rFonts w:ascii="Arial" w:cs="Arial" w:eastAsia="Arial" w:hAnsi="Arial"/>
                <w:sz w:val="14"/>
                <w:szCs w:val="14"/>
                <w:color w:val="auto"/>
              </w:rPr>
              <w:t>7,548,736</w:t>
            </w:r>
          </w:p>
        </w:tc>
        <w:tc>
          <w:tcPr>
            <w:tcW w:w="980" w:type="dxa"/>
            <w:vAlign w:val="bottom"/>
          </w:tcPr>
          <w:p>
            <w:pPr>
              <w:jc w:val="right"/>
              <w:spacing w:after="0"/>
              <w:rPr>
                <w:sz w:val="20"/>
                <w:szCs w:val="20"/>
                <w:color w:val="auto"/>
              </w:rPr>
            </w:pPr>
            <w:r>
              <w:rPr>
                <w:rFonts w:ascii="Arial" w:cs="Arial" w:eastAsia="Arial" w:hAnsi="Arial"/>
                <w:sz w:val="14"/>
                <w:szCs w:val="14"/>
                <w:color w:val="auto"/>
              </w:rPr>
              <w:t>11,673,710</w:t>
            </w:r>
          </w:p>
        </w:tc>
        <w:tc>
          <w:tcPr>
            <w:tcW w:w="960" w:type="dxa"/>
            <w:vAlign w:val="bottom"/>
          </w:tcPr>
          <w:p>
            <w:pPr>
              <w:jc w:val="right"/>
              <w:spacing w:after="0"/>
              <w:rPr>
                <w:sz w:val="20"/>
                <w:szCs w:val="20"/>
                <w:color w:val="auto"/>
              </w:rPr>
            </w:pPr>
            <w:r>
              <w:rPr>
                <w:rFonts w:ascii="Arial" w:cs="Arial" w:eastAsia="Arial" w:hAnsi="Arial"/>
                <w:sz w:val="14"/>
                <w:szCs w:val="14"/>
                <w:color w:val="auto"/>
              </w:rPr>
              <w:t>3,624,977</w:t>
            </w:r>
          </w:p>
        </w:tc>
        <w:tc>
          <w:tcPr>
            <w:tcW w:w="1060" w:type="dxa"/>
            <w:vAlign w:val="bottom"/>
          </w:tcPr>
          <w:p>
            <w:pPr>
              <w:jc w:val="right"/>
              <w:spacing w:after="0"/>
              <w:rPr>
                <w:sz w:val="20"/>
                <w:szCs w:val="20"/>
                <w:color w:val="auto"/>
              </w:rPr>
            </w:pPr>
            <w:r>
              <w:rPr>
                <w:rFonts w:ascii="Arial" w:cs="Arial" w:eastAsia="Arial" w:hAnsi="Arial"/>
                <w:sz w:val="14"/>
                <w:szCs w:val="14"/>
                <w:color w:val="auto"/>
              </w:rPr>
              <w:t>6,633,661</w:t>
            </w:r>
          </w:p>
        </w:tc>
        <w:tc>
          <w:tcPr>
            <w:tcW w:w="980" w:type="dxa"/>
            <w:vAlign w:val="bottom"/>
          </w:tcPr>
          <w:p>
            <w:pPr>
              <w:jc w:val="right"/>
              <w:spacing w:after="0"/>
              <w:rPr>
                <w:sz w:val="20"/>
                <w:szCs w:val="20"/>
                <w:color w:val="auto"/>
              </w:rPr>
            </w:pPr>
            <w:r>
              <w:rPr>
                <w:rFonts w:ascii="Arial" w:cs="Arial" w:eastAsia="Arial" w:hAnsi="Arial"/>
                <w:sz w:val="14"/>
                <w:szCs w:val="14"/>
                <w:color w:val="auto"/>
              </w:rPr>
              <w:t>10,258,638</w:t>
            </w:r>
          </w:p>
        </w:tc>
        <w:tc>
          <w:tcPr>
            <w:tcW w:w="960" w:type="dxa"/>
            <w:vAlign w:val="bottom"/>
          </w:tcPr>
          <w:p>
            <w:pPr>
              <w:jc w:val="right"/>
              <w:spacing w:after="0"/>
              <w:rPr>
                <w:sz w:val="20"/>
                <w:szCs w:val="20"/>
                <w:color w:val="auto"/>
              </w:rPr>
            </w:pPr>
            <w:r>
              <w:rPr>
                <w:rFonts w:ascii="Arial" w:cs="Arial" w:eastAsia="Arial" w:hAnsi="Arial"/>
                <w:sz w:val="14"/>
                <w:szCs w:val="14"/>
                <w:color w:val="auto"/>
              </w:rPr>
              <w:t>3,249,980</w:t>
            </w:r>
          </w:p>
        </w:tc>
        <w:tc>
          <w:tcPr>
            <w:tcW w:w="1080" w:type="dxa"/>
            <w:vAlign w:val="bottom"/>
          </w:tcPr>
          <w:p>
            <w:pPr>
              <w:jc w:val="right"/>
              <w:spacing w:after="0"/>
              <w:rPr>
                <w:sz w:val="20"/>
                <w:szCs w:val="20"/>
                <w:color w:val="auto"/>
              </w:rPr>
            </w:pPr>
            <w:r>
              <w:rPr>
                <w:rFonts w:ascii="Arial" w:cs="Arial" w:eastAsia="Arial" w:hAnsi="Arial"/>
                <w:sz w:val="14"/>
                <w:szCs w:val="14"/>
                <w:color w:val="auto"/>
              </w:rPr>
              <w:t>5,947,570</w:t>
            </w:r>
          </w:p>
        </w:tc>
        <w:tc>
          <w:tcPr>
            <w:tcW w:w="980" w:type="dxa"/>
            <w:vAlign w:val="bottom"/>
          </w:tcPr>
          <w:p>
            <w:pPr>
              <w:jc w:val="right"/>
              <w:spacing w:after="0"/>
              <w:rPr>
                <w:sz w:val="20"/>
                <w:szCs w:val="20"/>
                <w:color w:val="auto"/>
              </w:rPr>
            </w:pPr>
            <w:r>
              <w:rPr>
                <w:rFonts w:ascii="Arial" w:cs="Arial" w:eastAsia="Arial" w:hAnsi="Arial"/>
                <w:sz w:val="14"/>
                <w:szCs w:val="14"/>
                <w:color w:val="auto"/>
              </w:rPr>
              <w:t>9,197,550</w:t>
            </w:r>
          </w:p>
        </w:tc>
        <w:tc>
          <w:tcPr>
            <w:tcW w:w="0" w:type="dxa"/>
            <w:vAlign w:val="bottom"/>
          </w:tcPr>
          <w:p>
            <w:pPr>
              <w:spacing w:after="0"/>
              <w:rPr>
                <w:sz w:val="1"/>
                <w:szCs w:val="1"/>
                <w:color w:val="auto"/>
              </w:rPr>
            </w:pPr>
          </w:p>
        </w:tc>
      </w:tr>
      <w:tr>
        <w:trPr>
          <w:trHeight w:val="202"/>
        </w:trPr>
        <w:tc>
          <w:tcPr>
            <w:tcW w:w="154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4"/>
                <w:szCs w:val="14"/>
                <w:color w:val="auto"/>
              </w:rPr>
              <w:t>Sumit Sadana</w:t>
            </w:r>
          </w:p>
        </w:tc>
        <w:tc>
          <w:tcPr>
            <w:tcW w:w="94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4,750,028</w:t>
            </w:r>
          </w:p>
        </w:tc>
        <w:tc>
          <w:tcPr>
            <w:tcW w:w="10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8,692,224</w:t>
            </w:r>
          </w:p>
        </w:tc>
        <w:tc>
          <w:tcPr>
            <w:tcW w:w="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13,442,252</w:t>
            </w:r>
          </w:p>
        </w:tc>
        <w:tc>
          <w:tcPr>
            <w:tcW w:w="9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4,499,991</w:t>
            </w:r>
          </w:p>
        </w:tc>
        <w:tc>
          <w:tcPr>
            <w:tcW w:w="10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8,234,853</w:t>
            </w:r>
          </w:p>
        </w:tc>
        <w:tc>
          <w:tcPr>
            <w:tcW w:w="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12,734,844</w:t>
            </w:r>
          </w:p>
        </w:tc>
        <w:tc>
          <w:tcPr>
            <w:tcW w:w="9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4,250,015</w:t>
            </w:r>
          </w:p>
        </w:tc>
        <w:tc>
          <w:tcPr>
            <w:tcW w:w="10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7,777,478</w:t>
            </w:r>
          </w:p>
        </w:tc>
        <w:tc>
          <w:tcPr>
            <w:tcW w:w="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4"/>
                <w:szCs w:val="14"/>
                <w:color w:val="auto"/>
              </w:rPr>
              <w:t>12,027,493</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20" w:hanging="313"/>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Fiscal 2023 STI plan for all Named Executive Officers was suspended in February 2023 and no amounts were paid.</w:t>
      </w:r>
    </w:p>
    <w:p>
      <w:pPr>
        <w:spacing w:after="0" w:line="249" w:lineRule="exact"/>
        <w:rPr>
          <w:rFonts w:ascii="Arial" w:cs="Arial" w:eastAsia="Arial" w:hAnsi="Arial"/>
          <w:sz w:val="18"/>
          <w:szCs w:val="18"/>
          <w:color w:val="auto"/>
        </w:rPr>
      </w:pPr>
    </w:p>
    <w:p>
      <w:pPr>
        <w:ind w:left="340" w:right="80" w:hanging="333"/>
        <w:spacing w:after="0" w:line="258" w:lineRule="auto"/>
        <w:tabs>
          <w:tab w:leader="none" w:pos="3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matching contributions paid by us pursuant to our 401(k) plan. For Fiscal 2025, $17,500 was contributed for each Named Executive Officer. For Fiscal 2025, includes executive health benefits paid by us for Messrs. Mehrotra, Murphy, Bhatia, DeBoer, and Sadana in the amounts of $6,795, $6,704, $4,358, $4,896 and $6,003, respectively. Includes matching contributions paid by us for health savings accounts in Fiscal 2025 for Messrs. Murphy, and DeBoer and de minimis non-cash benefits and related tax gross-ups paid by us for each Named Executive Officer.</w:t>
      </w:r>
    </w:p>
    <w:p>
      <w:pPr>
        <w:spacing w:after="0" w:line="20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All Other Compensation also includes the following for the Named Executive Officers mentioned below:</w:t>
      </w:r>
    </w:p>
    <w:p>
      <w:pPr>
        <w:spacing w:after="0" w:line="249" w:lineRule="exact"/>
        <w:rPr>
          <w:rFonts w:ascii="Arial" w:cs="Arial" w:eastAsia="Arial" w:hAnsi="Arial"/>
          <w:sz w:val="18"/>
          <w:szCs w:val="18"/>
          <w:color w:val="auto"/>
        </w:rPr>
      </w:pPr>
    </w:p>
    <w:p>
      <w:pPr>
        <w:ind w:left="660" w:right="80" w:hanging="330"/>
        <w:spacing w:after="0" w:line="253" w:lineRule="auto"/>
        <w:tabs>
          <w:tab w:leader="none" w:pos="655" w:val="left"/>
        </w:tabs>
        <w:numPr>
          <w:ilvl w:val="1"/>
          <w:numId w:val="69"/>
        </w:numPr>
        <w:rPr>
          <w:rFonts w:ascii="Arial" w:cs="Arial" w:eastAsia="Arial" w:hAnsi="Arial"/>
          <w:sz w:val="18"/>
          <w:szCs w:val="18"/>
          <w:color w:val="BD03F7"/>
        </w:rPr>
      </w:pPr>
      <w:r>
        <w:rPr>
          <w:rFonts w:ascii="Arial" w:cs="Arial" w:eastAsia="Arial" w:hAnsi="Arial"/>
          <w:sz w:val="18"/>
          <w:szCs w:val="18"/>
          <w:color w:val="auto"/>
        </w:rPr>
        <w:t>Amount for Mr. Mehrotra’s Fiscal 2025 compensation includes $86,576 for the use of Company aircraft for personal travel, $64,865 for Hart-Scott-Rodino Act filing fees (including $34,865 tax gross-up), $24,000 for medical healthcare membership, and $35,636 for personal security arrangements paid by us. While we do not consider personal security measures to be a personal benefit, but instead appropriate expenses for the benefit of the Company that arise out of our executive’s employment responsibilities, which are necessary for his or her job performance and to ensure the safety of our executives and their families, SEC regulations require the costs of certain personal security arrangements to be reported as personal benefits. In determining to authorize these security arrangements, the Compensation Committee evaluated the need to respond to specific incidents and threats, and reviewed recommendations from a leading security firm. In addition, the Compensation Committee has established a policy to review personal security costs quarterly. The Security Committee also has an annual process for oversight of the nature of security measures and will discontinue, adjust, or enhance security as appropriate.</w:t>
      </w:r>
    </w:p>
    <w:p>
      <w:pPr>
        <w:spacing w:after="0" w:line="209" w:lineRule="exact"/>
        <w:rPr>
          <w:rFonts w:ascii="Arial" w:cs="Arial" w:eastAsia="Arial" w:hAnsi="Arial"/>
          <w:sz w:val="18"/>
          <w:szCs w:val="18"/>
          <w:color w:val="BD03F7"/>
        </w:rPr>
      </w:pPr>
    </w:p>
    <w:p>
      <w:pPr>
        <w:ind w:left="640" w:hanging="310"/>
        <w:spacing w:after="0"/>
        <w:tabs>
          <w:tab w:leader="none" w:pos="640" w:val="left"/>
        </w:tabs>
        <w:numPr>
          <w:ilvl w:val="1"/>
          <w:numId w:val="69"/>
        </w:numPr>
        <w:rPr>
          <w:rFonts w:ascii="Arial" w:cs="Arial" w:eastAsia="Arial" w:hAnsi="Arial"/>
          <w:sz w:val="18"/>
          <w:szCs w:val="18"/>
          <w:color w:val="BD03F7"/>
        </w:rPr>
      </w:pPr>
      <w:r>
        <w:rPr>
          <w:rFonts w:ascii="Arial" w:cs="Arial" w:eastAsia="Arial" w:hAnsi="Arial"/>
          <w:sz w:val="18"/>
          <w:szCs w:val="18"/>
          <w:color w:val="auto"/>
        </w:rPr>
        <w:t>Amount for Mr. Murphy’s Fiscal 2025 compensation includes $20,000 relocation bonus, $39,515 for relocation expenses, and</w:t>
      </w:r>
    </w:p>
    <w:p>
      <w:pPr>
        <w:spacing w:after="0" w:line="26" w:lineRule="exact"/>
        <w:rPr>
          <w:rFonts w:ascii="Arial" w:cs="Arial" w:eastAsia="Arial" w:hAnsi="Arial"/>
          <w:sz w:val="18"/>
          <w:szCs w:val="18"/>
          <w:color w:val="BD03F7"/>
        </w:rPr>
      </w:pPr>
    </w:p>
    <w:p>
      <w:pPr>
        <w:ind w:left="660"/>
        <w:spacing w:after="0"/>
        <w:rPr>
          <w:rFonts w:ascii="Arial" w:cs="Arial" w:eastAsia="Arial" w:hAnsi="Arial"/>
          <w:sz w:val="18"/>
          <w:szCs w:val="18"/>
          <w:color w:val="BD03F7"/>
        </w:rPr>
      </w:pPr>
      <w:r>
        <w:rPr>
          <w:rFonts w:ascii="Arial" w:cs="Arial" w:eastAsia="Arial" w:hAnsi="Arial"/>
          <w:sz w:val="18"/>
          <w:szCs w:val="18"/>
          <w:color w:val="auto"/>
        </w:rPr>
        <w:t>$30,214 for a reimbursement of federal, state and other income taxes resulting from imputed income on such relocation expenses.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GRANTS OF PLAN-BASED AWARDS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0650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All Other Stock</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Estimated Future Payouts</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8"/>
              </w:rPr>
              <w:t>Awards: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20" w:type="dxa"/>
            <w:vAlign w:val="bottom"/>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8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Number of</w:t>
            </w:r>
          </w:p>
        </w:tc>
        <w:tc>
          <w:tcPr>
            <w:tcW w:w="160" w:type="dxa"/>
            <w:vAlign w:val="bottom"/>
          </w:tcPr>
          <w:p>
            <w:pPr>
              <w:spacing w:after="0"/>
              <w:rPr>
                <w:sz w:val="5"/>
                <w:szCs w:val="5"/>
                <w:color w:val="auto"/>
              </w:rPr>
            </w:pPr>
          </w:p>
        </w:tc>
        <w:tc>
          <w:tcPr>
            <w:tcW w:w="1120" w:type="dxa"/>
            <w:vAlign w:val="bottom"/>
            <w:vMerge w:val="restart"/>
          </w:tcPr>
          <w:p>
            <w:pPr>
              <w:jc w:val="center"/>
              <w:ind w:right="59"/>
              <w:spacing w:after="0" w:line="161"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20" w:type="dxa"/>
            <w:vAlign w:val="bottom"/>
            <w:gridSpan w:val="3"/>
            <w:vMerge w:val="restart"/>
          </w:tcPr>
          <w:p>
            <w:pPr>
              <w:jc w:val="center"/>
              <w:spacing w:after="0" w:line="161" w:lineRule="exact"/>
              <w:rPr>
                <w:sz w:val="20"/>
                <w:szCs w:val="20"/>
                <w:color w:val="auto"/>
              </w:rPr>
            </w:pPr>
            <w:r>
              <w:rPr>
                <w:rFonts w:ascii="Arial" w:cs="Arial" w:eastAsia="Arial" w:hAnsi="Arial"/>
                <w:sz w:val="16"/>
                <w:szCs w:val="16"/>
                <w:b w:val="1"/>
                <w:bCs w:val="1"/>
                <w:color w:val="auto"/>
              </w:rPr>
              <w:t>under Non-Equity Incentive</w:t>
            </w:r>
          </w:p>
        </w:tc>
        <w:tc>
          <w:tcPr>
            <w:tcW w:w="2780" w:type="dxa"/>
            <w:vAlign w:val="bottom"/>
            <w:gridSpan w:val="3"/>
            <w:vMerge w:val="restart"/>
          </w:tcPr>
          <w:p>
            <w:pPr>
              <w:jc w:val="center"/>
              <w:spacing w:after="0" w:line="161" w:lineRule="exact"/>
              <w:rPr>
                <w:sz w:val="20"/>
                <w:szCs w:val="20"/>
                <w:color w:val="auto"/>
              </w:rPr>
            </w:pPr>
            <w:r>
              <w:rPr>
                <w:rFonts w:ascii="Arial" w:cs="Arial" w:eastAsia="Arial" w:hAnsi="Arial"/>
                <w:sz w:val="16"/>
                <w:szCs w:val="16"/>
                <w:b w:val="1"/>
                <w:bCs w:val="1"/>
                <w:color w:val="auto"/>
              </w:rPr>
              <w:t>Estimated Future Payouts under</w:t>
            </w:r>
          </w:p>
        </w:tc>
        <w:tc>
          <w:tcPr>
            <w:tcW w:w="12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20" w:type="dxa"/>
            <w:vAlign w:val="bottom"/>
            <w:gridSpan w:val="3"/>
            <w:vMerge w:val="continue"/>
          </w:tcPr>
          <w:p>
            <w:pPr>
              <w:spacing w:after="0"/>
              <w:rPr>
                <w:sz w:val="5"/>
                <w:szCs w:val="5"/>
                <w:color w:val="auto"/>
              </w:rPr>
            </w:pPr>
          </w:p>
        </w:tc>
        <w:tc>
          <w:tcPr>
            <w:tcW w:w="2780" w:type="dxa"/>
            <w:vAlign w:val="bottom"/>
            <w:gridSpan w:val="3"/>
            <w:vMerge w:val="continue"/>
          </w:tcPr>
          <w:p>
            <w:pPr>
              <w:spacing w:after="0"/>
              <w:rPr>
                <w:sz w:val="5"/>
                <w:szCs w:val="5"/>
                <w:color w:val="auto"/>
              </w:rPr>
            </w:pPr>
          </w:p>
        </w:tc>
        <w:tc>
          <w:tcPr>
            <w:tcW w:w="128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Shares of</w:t>
            </w:r>
          </w:p>
        </w:tc>
        <w:tc>
          <w:tcPr>
            <w:tcW w:w="160" w:type="dxa"/>
            <w:vAlign w:val="bottom"/>
          </w:tcPr>
          <w:p>
            <w:pPr>
              <w:spacing w:after="0"/>
              <w:rPr>
                <w:sz w:val="5"/>
                <w:szCs w:val="5"/>
                <w:color w:val="auto"/>
              </w:rPr>
            </w:pPr>
          </w:p>
        </w:tc>
        <w:tc>
          <w:tcPr>
            <w:tcW w:w="1120" w:type="dxa"/>
            <w:vAlign w:val="bottom"/>
            <w:vMerge w:val="restart"/>
          </w:tcPr>
          <w:p>
            <w:pPr>
              <w:jc w:val="center"/>
              <w:ind w:right="59"/>
              <w:spacing w:after="0" w:line="161"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Plan Awards(1)</w:t>
            </w:r>
          </w:p>
        </w:tc>
        <w:tc>
          <w:tcPr>
            <w:tcW w:w="27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Equity Incentive Plan Awards(2)</w:t>
            </w:r>
          </w:p>
        </w:tc>
        <w:tc>
          <w:tcPr>
            <w:tcW w:w="12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20" w:type="dxa"/>
            <w:vAlign w:val="bottom"/>
            <w:tcBorders>
              <w:bottom w:val="single" w:sz="8" w:color="BD03F7"/>
            </w:tcBorders>
            <w:gridSpan w:val="3"/>
            <w:vMerge w:val="continue"/>
          </w:tcPr>
          <w:p>
            <w:pPr>
              <w:spacing w:after="0"/>
              <w:rPr>
                <w:sz w:val="10"/>
                <w:szCs w:val="10"/>
                <w:color w:val="auto"/>
              </w:rPr>
            </w:pPr>
          </w:p>
        </w:tc>
        <w:tc>
          <w:tcPr>
            <w:tcW w:w="2780" w:type="dxa"/>
            <w:vAlign w:val="bottom"/>
            <w:tcBorders>
              <w:bottom w:val="single" w:sz="8" w:color="BD03F7"/>
            </w:tcBorders>
            <w:gridSpan w:val="3"/>
            <w:vMerge w:val="continue"/>
          </w:tcPr>
          <w:p>
            <w:pPr>
              <w:spacing w:after="0"/>
              <w:rPr>
                <w:sz w:val="10"/>
                <w:szCs w:val="10"/>
                <w:color w:val="auto"/>
              </w:rPr>
            </w:pPr>
          </w:p>
        </w:tc>
        <w:tc>
          <w:tcPr>
            <w:tcW w:w="128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w w:val="99"/>
              </w:rPr>
              <w:t>Stock or</w:t>
            </w:r>
          </w:p>
        </w:tc>
        <w:tc>
          <w:tcPr>
            <w:tcW w:w="160" w:type="dxa"/>
            <w:vAlign w:val="bottom"/>
          </w:tcPr>
          <w:p>
            <w:pPr>
              <w:spacing w:after="0"/>
              <w:rPr>
                <w:sz w:val="10"/>
                <w:szCs w:val="10"/>
                <w:color w:val="auto"/>
              </w:rPr>
            </w:pPr>
          </w:p>
        </w:tc>
        <w:tc>
          <w:tcPr>
            <w:tcW w:w="1120" w:type="dxa"/>
            <w:vAlign w:val="bottom"/>
            <w:vMerge w:val="restart"/>
          </w:tcPr>
          <w:p>
            <w:pPr>
              <w:jc w:val="center"/>
              <w:ind w:right="59"/>
              <w:spacing w:after="0" w:line="161" w:lineRule="exact"/>
              <w:rPr>
                <w:sz w:val="20"/>
                <w:szCs w:val="20"/>
                <w:color w:val="auto"/>
              </w:rPr>
            </w:pPr>
            <w:r>
              <w:rPr>
                <w:rFonts w:ascii="Arial" w:cs="Arial" w:eastAsia="Arial" w:hAnsi="Arial"/>
                <w:sz w:val="16"/>
                <w:szCs w:val="16"/>
                <w:b w:val="1"/>
                <w:bCs w:val="1"/>
                <w:color w:val="auto"/>
              </w:rPr>
              <w:t>of Stock (or</w:t>
            </w:r>
          </w:p>
        </w:tc>
        <w:tc>
          <w:tcPr>
            <w:tcW w:w="0" w:type="dxa"/>
            <w:vAlign w:val="bottom"/>
          </w:tcPr>
          <w:p>
            <w:pPr>
              <w:spacing w:after="0"/>
              <w:rPr>
                <w:sz w:val="1"/>
                <w:szCs w:val="1"/>
                <w:color w:val="auto"/>
              </w:rPr>
            </w:pPr>
          </w:p>
        </w:tc>
      </w:tr>
      <w:tr>
        <w:trPr>
          <w:trHeight w:val="20"/>
        </w:trPr>
        <w:tc>
          <w:tcPr>
            <w:tcW w:w="2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Grant Date</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Threshold</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Target</w:t>
            </w: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Max</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Threshold</w:t>
            </w:r>
          </w:p>
        </w:tc>
        <w:tc>
          <w:tcPr>
            <w:tcW w:w="9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8"/>
              </w:rPr>
              <w:t>Target</w:t>
            </w:r>
          </w:p>
        </w:tc>
        <w:tc>
          <w:tcPr>
            <w:tcW w:w="8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Max</w:t>
            </w:r>
          </w:p>
        </w:tc>
        <w:tc>
          <w:tcPr>
            <w:tcW w:w="12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100" w:type="dxa"/>
            <w:vAlign w:val="bottom"/>
            <w:tcBorders>
              <w:bottom w:val="single" w:sz="8" w:color="BD03F7"/>
            </w:tcBorders>
            <w:vMerge w:val="continue"/>
          </w:tcPr>
          <w:p>
            <w:pPr>
              <w:spacing w:after="0"/>
              <w:rPr>
                <w:sz w:val="18"/>
                <w:szCs w:val="18"/>
                <w:color w:val="auto"/>
              </w:rPr>
            </w:pPr>
          </w:p>
        </w:tc>
        <w:tc>
          <w:tcPr>
            <w:tcW w:w="980" w:type="dxa"/>
            <w:vAlign w:val="bottom"/>
            <w:tcBorders>
              <w:bottom w:val="single" w:sz="8" w:color="BD03F7"/>
            </w:tcBorders>
            <w:vMerge w:val="continue"/>
          </w:tcPr>
          <w:p>
            <w:pPr>
              <w:spacing w:after="0"/>
              <w:rPr>
                <w:sz w:val="18"/>
                <w:szCs w:val="18"/>
                <w:color w:val="auto"/>
              </w:rPr>
            </w:pPr>
          </w:p>
        </w:tc>
        <w:tc>
          <w:tcPr>
            <w:tcW w:w="920" w:type="dxa"/>
            <w:vAlign w:val="bottom"/>
            <w:tcBorders>
              <w:bottom w:val="single" w:sz="8" w:color="BD03F7"/>
            </w:tcBorders>
            <w:vMerge w:val="continue"/>
          </w:tcPr>
          <w:p>
            <w:pPr>
              <w:spacing w:after="0"/>
              <w:rPr>
                <w:sz w:val="18"/>
                <w:szCs w:val="18"/>
                <w:color w:val="auto"/>
              </w:rPr>
            </w:pPr>
          </w:p>
        </w:tc>
        <w:tc>
          <w:tcPr>
            <w:tcW w:w="940" w:type="dxa"/>
            <w:vAlign w:val="bottom"/>
            <w:tcBorders>
              <w:bottom w:val="single" w:sz="8" w:color="BD03F7"/>
            </w:tcBorders>
            <w:vMerge w:val="continue"/>
          </w:tcPr>
          <w:p>
            <w:pPr>
              <w:spacing w:after="0"/>
              <w:rPr>
                <w:sz w:val="18"/>
                <w:szCs w:val="18"/>
                <w:color w:val="auto"/>
              </w:rPr>
            </w:pPr>
          </w:p>
        </w:tc>
        <w:tc>
          <w:tcPr>
            <w:tcW w:w="960" w:type="dxa"/>
            <w:vAlign w:val="bottom"/>
            <w:tcBorders>
              <w:bottom w:val="single" w:sz="8" w:color="BD03F7"/>
            </w:tcBorders>
            <w:vMerge w:val="continue"/>
          </w:tcPr>
          <w:p>
            <w:pPr>
              <w:spacing w:after="0"/>
              <w:rPr>
                <w:sz w:val="18"/>
                <w:szCs w:val="18"/>
                <w:color w:val="auto"/>
              </w:rPr>
            </w:pPr>
          </w:p>
        </w:tc>
        <w:tc>
          <w:tcPr>
            <w:tcW w:w="1000" w:type="dxa"/>
            <w:vAlign w:val="bottom"/>
            <w:tcBorders>
              <w:bottom w:val="single" w:sz="8" w:color="BD03F7"/>
            </w:tcBorders>
            <w:vMerge w:val="continue"/>
          </w:tcPr>
          <w:p>
            <w:pPr>
              <w:spacing w:after="0"/>
              <w:rPr>
                <w:sz w:val="18"/>
                <w:szCs w:val="18"/>
                <w:color w:val="auto"/>
              </w:rPr>
            </w:pPr>
          </w:p>
        </w:tc>
        <w:tc>
          <w:tcPr>
            <w:tcW w:w="960" w:type="dxa"/>
            <w:vAlign w:val="bottom"/>
            <w:tcBorders>
              <w:bottom w:val="single" w:sz="8" w:color="BD03F7"/>
            </w:tcBorders>
            <w:vMerge w:val="continue"/>
          </w:tcPr>
          <w:p>
            <w:pPr>
              <w:spacing w:after="0"/>
              <w:rPr>
                <w:sz w:val="18"/>
                <w:szCs w:val="18"/>
                <w:color w:val="auto"/>
              </w:rPr>
            </w:pPr>
          </w:p>
        </w:tc>
        <w:tc>
          <w:tcPr>
            <w:tcW w:w="820" w:type="dxa"/>
            <w:vAlign w:val="bottom"/>
            <w:tcBorders>
              <w:bottom w:val="single" w:sz="8" w:color="BD03F7"/>
            </w:tcBorders>
            <w:vMerge w:val="continue"/>
          </w:tcPr>
          <w:p>
            <w:pPr>
              <w:spacing w:after="0"/>
              <w:rPr>
                <w:sz w:val="18"/>
                <w:szCs w:val="18"/>
                <w:color w:val="auto"/>
              </w:rPr>
            </w:pPr>
          </w:p>
        </w:tc>
        <w:tc>
          <w:tcPr>
            <w:tcW w:w="1280" w:type="dxa"/>
            <w:vAlign w:val="bottom"/>
            <w:tcBorders>
              <w:bottom w:val="single" w:sz="8" w:color="BD03F7"/>
            </w:tcBorders>
          </w:tcPr>
          <w:p>
            <w:pPr>
              <w:jc w:val="center"/>
              <w:spacing w:after="0"/>
              <w:rPr>
                <w:sz w:val="20"/>
                <w:szCs w:val="20"/>
                <w:color w:val="auto"/>
              </w:rPr>
            </w:pPr>
            <w:r>
              <w:rPr>
                <w:rFonts w:ascii="Arial" w:cs="Arial" w:eastAsia="Arial" w:hAnsi="Arial"/>
                <w:sz w:val="16"/>
                <w:szCs w:val="16"/>
                <w:b w:val="1"/>
                <w:bCs w:val="1"/>
                <w:color w:val="auto"/>
              </w:rPr>
              <w:t>Units(3)</w:t>
            </w:r>
          </w:p>
        </w:tc>
        <w:tc>
          <w:tcPr>
            <w:tcW w:w="160" w:type="dxa"/>
            <w:vAlign w:val="bottom"/>
            <w:tcBorders>
              <w:bottom w:val="single" w:sz="8" w:color="BD03F7"/>
            </w:tcBorders>
          </w:tcPr>
          <w:p>
            <w:pPr>
              <w:spacing w:after="0"/>
              <w:rPr>
                <w:sz w:val="18"/>
                <w:szCs w:val="18"/>
                <w:color w:val="auto"/>
              </w:rPr>
            </w:pPr>
          </w:p>
        </w:tc>
        <w:tc>
          <w:tcPr>
            <w:tcW w:w="1120" w:type="dxa"/>
            <w:vAlign w:val="bottom"/>
            <w:tcBorders>
              <w:bottom w:val="single" w:sz="8" w:color="BD03F7"/>
            </w:tcBorders>
          </w:tcPr>
          <w:p>
            <w:pPr>
              <w:jc w:val="center"/>
              <w:ind w:right="59"/>
              <w:spacing w:after="0"/>
              <w:rPr>
                <w:sz w:val="20"/>
                <w:szCs w:val="20"/>
                <w:color w:val="auto"/>
              </w:rPr>
            </w:pPr>
            <w:r>
              <w:rPr>
                <w:rFonts w:ascii="Arial" w:cs="Arial" w:eastAsia="Arial" w:hAnsi="Arial"/>
                <w:sz w:val="16"/>
                <w:szCs w:val="16"/>
                <w:b w:val="1"/>
                <w:bCs w:val="1"/>
                <w:color w:val="auto"/>
              </w:rPr>
              <w:t>Units)(4)</w:t>
            </w:r>
          </w:p>
        </w:tc>
        <w:tc>
          <w:tcPr>
            <w:tcW w:w="0" w:type="dxa"/>
            <w:vAlign w:val="bottom"/>
          </w:tcPr>
          <w:p>
            <w:pPr>
              <w:spacing w:after="0"/>
              <w:rPr>
                <w:sz w:val="1"/>
                <w:szCs w:val="1"/>
                <w:color w:val="auto"/>
              </w:rPr>
            </w:pPr>
          </w:p>
        </w:tc>
      </w:tr>
      <w:tr>
        <w:trPr>
          <w:trHeight w:val="34"/>
        </w:trPr>
        <w:tc>
          <w:tcPr>
            <w:tcW w:w="2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100" w:type="dxa"/>
            <w:vAlign w:val="bottom"/>
            <w:shd w:val="clear" w:color="auto" w:fill="F2F2F2"/>
          </w:tcPr>
          <w:p>
            <w:pPr>
              <w:ind w:left="20"/>
              <w:spacing w:after="0"/>
              <w:rPr>
                <w:sz w:val="20"/>
                <w:szCs w:val="20"/>
                <w:color w:val="auto"/>
              </w:rPr>
            </w:pPr>
            <w:r>
              <w:rPr>
                <w:rFonts w:ascii="Arial" w:cs="Arial" w:eastAsia="Arial" w:hAnsi="Arial"/>
                <w:sz w:val="16"/>
                <w:szCs w:val="16"/>
                <w:color w:val="auto"/>
              </w:rPr>
              <w:t>Sanjay Mehrotra</w:t>
            </w:r>
          </w:p>
        </w:tc>
        <w:tc>
          <w:tcPr>
            <w:tcW w:w="980" w:type="dxa"/>
            <w:vAlign w:val="bottom"/>
            <w:shd w:val="clear" w:color="auto" w:fill="F2F2F2"/>
          </w:tcPr>
          <w:p>
            <w:pPr>
              <w:spacing w:after="0"/>
              <w:rPr>
                <w:sz w:val="18"/>
                <w:szCs w:val="18"/>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$ 1,595,000</w:t>
            </w:r>
          </w:p>
        </w:tc>
        <w:tc>
          <w:tcPr>
            <w:tcW w:w="9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$ 3,190,000</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$ 6,380,000</w:t>
            </w:r>
          </w:p>
        </w:tc>
        <w:tc>
          <w:tcPr>
            <w:tcW w:w="100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82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10/13/24</w:t>
            </w:r>
          </w:p>
        </w:tc>
        <w:tc>
          <w:tcPr>
            <w:tcW w:w="92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1000" w:type="dxa"/>
            <w:vAlign w:val="bottom"/>
            <w:shd w:val="clear" w:color="auto" w:fill="F2F2F2"/>
          </w:tcPr>
          <w:p>
            <w:pPr>
              <w:jc w:val="right"/>
              <w:ind w:right="59"/>
              <w:spacing w:after="0"/>
              <w:rPr>
                <w:sz w:val="20"/>
                <w:szCs w:val="20"/>
                <w:color w:val="auto"/>
              </w:rPr>
            </w:pPr>
            <w:r>
              <w:rPr>
                <w:rFonts w:ascii="Arial" w:cs="Arial" w:eastAsia="Arial" w:hAnsi="Arial"/>
                <w:sz w:val="16"/>
                <w:szCs w:val="16"/>
                <w:color w:val="auto"/>
              </w:rPr>
              <w:t>33,264</w:t>
            </w:r>
          </w:p>
        </w:tc>
        <w:tc>
          <w:tcPr>
            <w:tcW w:w="96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143,613</w:t>
            </w:r>
          </w:p>
        </w:tc>
        <w:tc>
          <w:tcPr>
            <w:tcW w:w="8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287,226</w:t>
            </w: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16,484,065</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B6B6B6"/>
            </w:tcBorders>
            <w:shd w:val="clear" w:color="auto" w:fill="F2F2F2"/>
          </w:tcPr>
          <w:p>
            <w:pPr>
              <w:spacing w:after="0"/>
              <w:rPr>
                <w:sz w:val="18"/>
                <w:szCs w:val="18"/>
                <w:color w:val="auto"/>
              </w:rPr>
            </w:pPr>
          </w:p>
        </w:tc>
        <w:tc>
          <w:tcPr>
            <w:tcW w:w="9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10/13/24</w:t>
            </w:r>
          </w:p>
        </w:tc>
        <w:tc>
          <w:tcPr>
            <w:tcW w:w="920" w:type="dxa"/>
            <w:vAlign w:val="bottom"/>
            <w:tcBorders>
              <w:bottom w:val="single" w:sz="8" w:color="B6B6B6"/>
            </w:tcBorders>
            <w:shd w:val="clear" w:color="auto" w:fill="F2F2F2"/>
          </w:tcPr>
          <w:p>
            <w:pPr>
              <w:spacing w:after="0"/>
              <w:rPr>
                <w:sz w:val="18"/>
                <w:szCs w:val="18"/>
                <w:color w:val="auto"/>
              </w:rPr>
            </w:pPr>
          </w:p>
        </w:tc>
        <w:tc>
          <w:tcPr>
            <w:tcW w:w="94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spacing w:after="0"/>
              <w:rPr>
                <w:sz w:val="18"/>
                <w:szCs w:val="18"/>
                <w:color w:val="auto"/>
              </w:rPr>
            </w:pPr>
          </w:p>
        </w:tc>
        <w:tc>
          <w:tcPr>
            <w:tcW w:w="100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spacing w:after="0"/>
              <w:rPr>
                <w:sz w:val="18"/>
                <w:szCs w:val="18"/>
                <w:color w:val="auto"/>
              </w:rPr>
            </w:pPr>
          </w:p>
        </w:tc>
        <w:tc>
          <w:tcPr>
            <w:tcW w:w="820" w:type="dxa"/>
            <w:vAlign w:val="bottom"/>
            <w:tcBorders>
              <w:bottom w:val="single" w:sz="8" w:color="B6B6B6"/>
            </w:tcBorders>
            <w:shd w:val="clear" w:color="auto" w:fill="F2F2F2"/>
          </w:tcPr>
          <w:p>
            <w:pPr>
              <w:spacing w:after="0"/>
              <w:rPr>
                <w:sz w:val="18"/>
                <w:szCs w:val="18"/>
                <w:color w:val="auto"/>
              </w:rPr>
            </w:pPr>
          </w:p>
        </w:tc>
        <w:tc>
          <w:tcPr>
            <w:tcW w:w="12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83,015</w:t>
            </w:r>
          </w:p>
        </w:tc>
        <w:tc>
          <w:tcPr>
            <w:tcW w:w="160" w:type="dxa"/>
            <w:vAlign w:val="bottom"/>
            <w:tcBorders>
              <w:bottom w:val="single" w:sz="8" w:color="B6B6B6"/>
            </w:tcBorders>
            <w:shd w:val="clear" w:color="auto" w:fill="F2F2F2"/>
          </w:tcPr>
          <w:p>
            <w:pPr>
              <w:spacing w:after="0"/>
              <w:rPr>
                <w:sz w:val="18"/>
                <w:szCs w:val="18"/>
                <w:color w:val="auto"/>
              </w:rPr>
            </w:pPr>
          </w:p>
        </w:tc>
        <w:tc>
          <w:tcPr>
            <w:tcW w:w="112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8,875,964</w:t>
            </w:r>
          </w:p>
        </w:tc>
        <w:tc>
          <w:tcPr>
            <w:tcW w:w="0" w:type="dxa"/>
            <w:vAlign w:val="bottom"/>
          </w:tcPr>
          <w:p>
            <w:pPr>
              <w:spacing w:after="0"/>
              <w:rPr>
                <w:sz w:val="1"/>
                <w:szCs w:val="1"/>
                <w:color w:val="auto"/>
              </w:rPr>
            </w:pPr>
          </w:p>
        </w:tc>
      </w:tr>
      <w:tr>
        <w:trPr>
          <w:trHeight w:val="208"/>
        </w:trPr>
        <w:tc>
          <w:tcPr>
            <w:tcW w:w="2100" w:type="dxa"/>
            <w:vAlign w:val="bottom"/>
          </w:tcPr>
          <w:p>
            <w:pPr>
              <w:ind w:left="20"/>
              <w:spacing w:after="0"/>
              <w:rPr>
                <w:sz w:val="20"/>
                <w:szCs w:val="20"/>
                <w:color w:val="auto"/>
              </w:rPr>
            </w:pPr>
            <w:r>
              <w:rPr>
                <w:rFonts w:ascii="Arial" w:cs="Arial" w:eastAsia="Arial" w:hAnsi="Arial"/>
                <w:sz w:val="16"/>
                <w:szCs w:val="16"/>
                <w:color w:val="auto"/>
              </w:rPr>
              <w:t>Mark Murphy</w:t>
            </w:r>
          </w:p>
        </w:tc>
        <w:tc>
          <w:tcPr>
            <w:tcW w:w="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533,975</w:t>
            </w:r>
          </w:p>
        </w:tc>
        <w:tc>
          <w:tcPr>
            <w:tcW w:w="940" w:type="dxa"/>
            <w:vAlign w:val="bottom"/>
          </w:tcPr>
          <w:p>
            <w:pPr>
              <w:jc w:val="right"/>
              <w:spacing w:after="0"/>
              <w:rPr>
                <w:sz w:val="20"/>
                <w:szCs w:val="20"/>
                <w:color w:val="auto"/>
              </w:rPr>
            </w:pPr>
            <w:r>
              <w:rPr>
                <w:rFonts w:ascii="Arial" w:cs="Arial" w:eastAsia="Arial" w:hAnsi="Arial"/>
                <w:sz w:val="16"/>
                <w:szCs w:val="16"/>
                <w:color w:val="auto"/>
              </w:rPr>
              <w:t>1,067,950</w:t>
            </w:r>
          </w:p>
        </w:tc>
        <w:tc>
          <w:tcPr>
            <w:tcW w:w="960" w:type="dxa"/>
            <w:vAlign w:val="bottom"/>
          </w:tcPr>
          <w:p>
            <w:pPr>
              <w:jc w:val="right"/>
              <w:spacing w:after="0"/>
              <w:rPr>
                <w:sz w:val="20"/>
                <w:szCs w:val="20"/>
                <w:color w:val="auto"/>
              </w:rPr>
            </w:pPr>
            <w:r>
              <w:rPr>
                <w:rFonts w:ascii="Arial" w:cs="Arial" w:eastAsia="Arial" w:hAnsi="Arial"/>
                <w:sz w:val="16"/>
                <w:szCs w:val="16"/>
                <w:color w:val="auto"/>
              </w:rPr>
              <w:t>2,135,900</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10/13/24</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9,081</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39,205</w:t>
            </w:r>
          </w:p>
        </w:tc>
        <w:tc>
          <w:tcPr>
            <w:tcW w:w="820" w:type="dxa"/>
            <w:vAlign w:val="bottom"/>
          </w:tcPr>
          <w:p>
            <w:pPr>
              <w:jc w:val="right"/>
              <w:spacing w:after="0"/>
              <w:rPr>
                <w:sz w:val="20"/>
                <w:szCs w:val="20"/>
                <w:color w:val="auto"/>
              </w:rPr>
            </w:pPr>
            <w:r>
              <w:rPr>
                <w:rFonts w:ascii="Arial" w:cs="Arial" w:eastAsia="Arial" w:hAnsi="Arial"/>
                <w:sz w:val="16"/>
                <w:szCs w:val="16"/>
                <w:color w:val="auto"/>
              </w:rPr>
              <w:t>78,410</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4,499,991</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B6B6B6"/>
            </w:tcBorders>
          </w:tcPr>
          <w:p>
            <w:pPr>
              <w:spacing w:after="0"/>
              <w:rPr>
                <w:sz w:val="18"/>
                <w:szCs w:val="18"/>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10/13/24</w:t>
            </w:r>
          </w:p>
        </w:tc>
        <w:tc>
          <w:tcPr>
            <w:tcW w:w="920" w:type="dxa"/>
            <w:vAlign w:val="bottom"/>
            <w:tcBorders>
              <w:bottom w:val="single" w:sz="8" w:color="B6B6B6"/>
            </w:tcBorders>
          </w:tcPr>
          <w:p>
            <w:pPr>
              <w:spacing w:after="0"/>
              <w:rPr>
                <w:sz w:val="18"/>
                <w:szCs w:val="18"/>
                <w:color w:val="auto"/>
              </w:rPr>
            </w:pPr>
          </w:p>
        </w:tc>
        <w:tc>
          <w:tcPr>
            <w:tcW w:w="9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spacing w:after="0"/>
              <w:rPr>
                <w:sz w:val="18"/>
                <w:szCs w:val="18"/>
                <w:color w:val="auto"/>
              </w:rPr>
            </w:pPr>
          </w:p>
        </w:tc>
        <w:tc>
          <w:tcPr>
            <w:tcW w:w="820" w:type="dxa"/>
            <w:vAlign w:val="bottom"/>
            <w:tcBorders>
              <w:bottom w:val="single" w:sz="8" w:color="B6B6B6"/>
            </w:tcBorders>
          </w:tcPr>
          <w:p>
            <w:pPr>
              <w:spacing w:after="0"/>
              <w:rPr>
                <w:sz w:val="18"/>
                <w:szCs w:val="18"/>
                <w:color w:val="auto"/>
              </w:rPr>
            </w:pPr>
          </w:p>
        </w:tc>
        <w:tc>
          <w:tcPr>
            <w:tcW w:w="12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42,088</w:t>
            </w:r>
          </w:p>
        </w:tc>
        <w:tc>
          <w:tcPr>
            <w:tcW w:w="16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4,500,049</w:t>
            </w:r>
          </w:p>
        </w:tc>
        <w:tc>
          <w:tcPr>
            <w:tcW w:w="0" w:type="dxa"/>
            <w:vAlign w:val="bottom"/>
          </w:tcPr>
          <w:p>
            <w:pPr>
              <w:spacing w:after="0"/>
              <w:rPr>
                <w:sz w:val="1"/>
                <w:szCs w:val="1"/>
                <w:color w:val="auto"/>
              </w:rPr>
            </w:pPr>
          </w:p>
        </w:tc>
      </w:tr>
      <w:tr>
        <w:trPr>
          <w:trHeight w:val="208"/>
        </w:trPr>
        <w:tc>
          <w:tcPr>
            <w:tcW w:w="21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Manish Bhatia</w:t>
            </w:r>
          </w:p>
        </w:tc>
        <w:tc>
          <w:tcPr>
            <w:tcW w:w="980" w:type="dxa"/>
            <w:vAlign w:val="bottom"/>
            <w:shd w:val="clear" w:color="auto" w:fill="F2F2F2"/>
          </w:tcPr>
          <w:p>
            <w:pPr>
              <w:spacing w:after="0"/>
              <w:rPr>
                <w:sz w:val="18"/>
                <w:szCs w:val="18"/>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572,400</w:t>
            </w:r>
          </w:p>
        </w:tc>
        <w:tc>
          <w:tcPr>
            <w:tcW w:w="9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1,144,800</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2,289,600</w:t>
            </w:r>
          </w:p>
        </w:tc>
        <w:tc>
          <w:tcPr>
            <w:tcW w:w="100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82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10/13/24</w:t>
            </w:r>
          </w:p>
        </w:tc>
        <w:tc>
          <w:tcPr>
            <w:tcW w:w="92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1000" w:type="dxa"/>
            <w:vAlign w:val="bottom"/>
            <w:shd w:val="clear" w:color="auto" w:fill="F2F2F2"/>
          </w:tcPr>
          <w:p>
            <w:pPr>
              <w:jc w:val="right"/>
              <w:ind w:right="59"/>
              <w:spacing w:after="0"/>
              <w:rPr>
                <w:sz w:val="20"/>
                <w:szCs w:val="20"/>
                <w:color w:val="auto"/>
              </w:rPr>
            </w:pPr>
            <w:r>
              <w:rPr>
                <w:rFonts w:ascii="Arial" w:cs="Arial" w:eastAsia="Arial" w:hAnsi="Arial"/>
                <w:sz w:val="16"/>
                <w:szCs w:val="16"/>
                <w:color w:val="auto"/>
              </w:rPr>
              <w:t>9,585</w:t>
            </w:r>
          </w:p>
        </w:tc>
        <w:tc>
          <w:tcPr>
            <w:tcW w:w="96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41,382</w:t>
            </w:r>
          </w:p>
        </w:tc>
        <w:tc>
          <w:tcPr>
            <w:tcW w:w="8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82,764</w:t>
            </w: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4,749,878</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B6B6B6"/>
            </w:tcBorders>
            <w:shd w:val="clear" w:color="auto" w:fill="F2F2F2"/>
          </w:tcPr>
          <w:p>
            <w:pPr>
              <w:spacing w:after="0"/>
              <w:rPr>
                <w:sz w:val="18"/>
                <w:szCs w:val="18"/>
                <w:color w:val="auto"/>
              </w:rPr>
            </w:pPr>
          </w:p>
        </w:tc>
        <w:tc>
          <w:tcPr>
            <w:tcW w:w="9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10/13/24</w:t>
            </w:r>
          </w:p>
        </w:tc>
        <w:tc>
          <w:tcPr>
            <w:tcW w:w="920" w:type="dxa"/>
            <w:vAlign w:val="bottom"/>
            <w:tcBorders>
              <w:bottom w:val="single" w:sz="8" w:color="B6B6B6"/>
            </w:tcBorders>
            <w:shd w:val="clear" w:color="auto" w:fill="F2F2F2"/>
          </w:tcPr>
          <w:p>
            <w:pPr>
              <w:spacing w:after="0"/>
              <w:rPr>
                <w:sz w:val="18"/>
                <w:szCs w:val="18"/>
                <w:color w:val="auto"/>
              </w:rPr>
            </w:pPr>
          </w:p>
        </w:tc>
        <w:tc>
          <w:tcPr>
            <w:tcW w:w="94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spacing w:after="0"/>
              <w:rPr>
                <w:sz w:val="18"/>
                <w:szCs w:val="18"/>
                <w:color w:val="auto"/>
              </w:rPr>
            </w:pPr>
          </w:p>
        </w:tc>
        <w:tc>
          <w:tcPr>
            <w:tcW w:w="1000" w:type="dxa"/>
            <w:vAlign w:val="bottom"/>
            <w:tcBorders>
              <w:bottom w:val="single" w:sz="8" w:color="B6B6B6"/>
            </w:tcBorders>
            <w:shd w:val="clear" w:color="auto" w:fill="F2F2F2"/>
          </w:tcPr>
          <w:p>
            <w:pPr>
              <w:spacing w:after="0"/>
              <w:rPr>
                <w:sz w:val="18"/>
                <w:szCs w:val="18"/>
                <w:color w:val="auto"/>
              </w:rPr>
            </w:pPr>
          </w:p>
        </w:tc>
        <w:tc>
          <w:tcPr>
            <w:tcW w:w="960" w:type="dxa"/>
            <w:vAlign w:val="bottom"/>
            <w:tcBorders>
              <w:bottom w:val="single" w:sz="8" w:color="B6B6B6"/>
            </w:tcBorders>
            <w:shd w:val="clear" w:color="auto" w:fill="F2F2F2"/>
          </w:tcPr>
          <w:p>
            <w:pPr>
              <w:spacing w:after="0"/>
              <w:rPr>
                <w:sz w:val="18"/>
                <w:szCs w:val="18"/>
                <w:color w:val="auto"/>
              </w:rPr>
            </w:pPr>
          </w:p>
        </w:tc>
        <w:tc>
          <w:tcPr>
            <w:tcW w:w="820" w:type="dxa"/>
            <w:vAlign w:val="bottom"/>
            <w:tcBorders>
              <w:bottom w:val="single" w:sz="8" w:color="B6B6B6"/>
            </w:tcBorders>
            <w:shd w:val="clear" w:color="auto" w:fill="F2F2F2"/>
          </w:tcPr>
          <w:p>
            <w:pPr>
              <w:spacing w:after="0"/>
              <w:rPr>
                <w:sz w:val="18"/>
                <w:szCs w:val="18"/>
                <w:color w:val="auto"/>
              </w:rPr>
            </w:pPr>
          </w:p>
        </w:tc>
        <w:tc>
          <w:tcPr>
            <w:tcW w:w="12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44,426</w:t>
            </w:r>
          </w:p>
        </w:tc>
        <w:tc>
          <w:tcPr>
            <w:tcW w:w="160" w:type="dxa"/>
            <w:vAlign w:val="bottom"/>
            <w:tcBorders>
              <w:bottom w:val="single" w:sz="8" w:color="B6B6B6"/>
            </w:tcBorders>
            <w:shd w:val="clear" w:color="auto" w:fill="F2F2F2"/>
          </w:tcPr>
          <w:p>
            <w:pPr>
              <w:spacing w:after="0"/>
              <w:rPr>
                <w:sz w:val="18"/>
                <w:szCs w:val="18"/>
                <w:color w:val="auto"/>
              </w:rPr>
            </w:pPr>
          </w:p>
        </w:tc>
        <w:tc>
          <w:tcPr>
            <w:tcW w:w="112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6"/>
                <w:szCs w:val="16"/>
                <w:color w:val="auto"/>
              </w:rPr>
              <w:t>4,750,028</w:t>
            </w:r>
          </w:p>
        </w:tc>
        <w:tc>
          <w:tcPr>
            <w:tcW w:w="0" w:type="dxa"/>
            <w:vAlign w:val="bottom"/>
          </w:tcPr>
          <w:p>
            <w:pPr>
              <w:spacing w:after="0"/>
              <w:rPr>
                <w:sz w:val="1"/>
                <w:szCs w:val="1"/>
                <w:color w:val="auto"/>
              </w:rPr>
            </w:pPr>
          </w:p>
        </w:tc>
      </w:tr>
      <w:tr>
        <w:trPr>
          <w:trHeight w:val="208"/>
        </w:trPr>
        <w:tc>
          <w:tcPr>
            <w:tcW w:w="2100" w:type="dxa"/>
            <w:vAlign w:val="bottom"/>
          </w:tcPr>
          <w:p>
            <w:pPr>
              <w:ind w:left="20"/>
              <w:spacing w:after="0"/>
              <w:rPr>
                <w:sz w:val="20"/>
                <w:szCs w:val="20"/>
                <w:color w:val="auto"/>
              </w:rPr>
            </w:pPr>
            <w:r>
              <w:rPr>
                <w:rFonts w:ascii="Arial" w:cs="Arial" w:eastAsia="Arial" w:hAnsi="Arial"/>
                <w:sz w:val="16"/>
                <w:szCs w:val="16"/>
                <w:color w:val="auto"/>
              </w:rPr>
              <w:t>Scott DeBoer</w:t>
            </w:r>
          </w:p>
        </w:tc>
        <w:tc>
          <w:tcPr>
            <w:tcW w:w="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491,400</w:t>
            </w:r>
          </w:p>
        </w:tc>
        <w:tc>
          <w:tcPr>
            <w:tcW w:w="940" w:type="dxa"/>
            <w:vAlign w:val="bottom"/>
          </w:tcPr>
          <w:p>
            <w:pPr>
              <w:jc w:val="right"/>
              <w:spacing w:after="0"/>
              <w:rPr>
                <w:sz w:val="20"/>
                <w:szCs w:val="20"/>
                <w:color w:val="auto"/>
              </w:rPr>
            </w:pPr>
            <w:r>
              <w:rPr>
                <w:rFonts w:ascii="Arial" w:cs="Arial" w:eastAsia="Arial" w:hAnsi="Arial"/>
                <w:sz w:val="16"/>
                <w:szCs w:val="16"/>
                <w:color w:val="auto"/>
              </w:rPr>
              <w:t>982,800</w:t>
            </w:r>
          </w:p>
        </w:tc>
        <w:tc>
          <w:tcPr>
            <w:tcW w:w="960" w:type="dxa"/>
            <w:vAlign w:val="bottom"/>
          </w:tcPr>
          <w:p>
            <w:pPr>
              <w:jc w:val="right"/>
              <w:spacing w:after="0"/>
              <w:rPr>
                <w:sz w:val="20"/>
                <w:szCs w:val="20"/>
                <w:color w:val="auto"/>
              </w:rPr>
            </w:pPr>
            <w:r>
              <w:rPr>
                <w:rFonts w:ascii="Arial" w:cs="Arial" w:eastAsia="Arial" w:hAnsi="Arial"/>
                <w:sz w:val="16"/>
                <w:szCs w:val="16"/>
                <w:color w:val="auto"/>
              </w:rPr>
              <w:t>1,965,600</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10/13/24</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8,324</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35,938</w:t>
            </w:r>
          </w:p>
        </w:tc>
        <w:tc>
          <w:tcPr>
            <w:tcW w:w="820" w:type="dxa"/>
            <w:vAlign w:val="bottom"/>
          </w:tcPr>
          <w:p>
            <w:pPr>
              <w:jc w:val="right"/>
              <w:spacing w:after="0"/>
              <w:rPr>
                <w:sz w:val="20"/>
                <w:szCs w:val="20"/>
                <w:color w:val="auto"/>
              </w:rPr>
            </w:pPr>
            <w:r>
              <w:rPr>
                <w:rFonts w:ascii="Arial" w:cs="Arial" w:eastAsia="Arial" w:hAnsi="Arial"/>
                <w:sz w:val="16"/>
                <w:szCs w:val="16"/>
                <w:color w:val="auto"/>
              </w:rPr>
              <w:t>71,876</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4,125,008</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B6B6B6"/>
            </w:tcBorders>
          </w:tcPr>
          <w:p>
            <w:pPr>
              <w:spacing w:after="0"/>
              <w:rPr>
                <w:sz w:val="18"/>
                <w:szCs w:val="18"/>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10/13/24</w:t>
            </w:r>
          </w:p>
        </w:tc>
        <w:tc>
          <w:tcPr>
            <w:tcW w:w="920" w:type="dxa"/>
            <w:vAlign w:val="bottom"/>
            <w:tcBorders>
              <w:bottom w:val="single" w:sz="8" w:color="B6B6B6"/>
            </w:tcBorders>
          </w:tcPr>
          <w:p>
            <w:pPr>
              <w:spacing w:after="0"/>
              <w:rPr>
                <w:sz w:val="18"/>
                <w:szCs w:val="18"/>
                <w:color w:val="auto"/>
              </w:rPr>
            </w:pPr>
          </w:p>
        </w:tc>
        <w:tc>
          <w:tcPr>
            <w:tcW w:w="9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spacing w:after="0"/>
              <w:rPr>
                <w:sz w:val="18"/>
                <w:szCs w:val="18"/>
                <w:color w:val="auto"/>
              </w:rPr>
            </w:pPr>
          </w:p>
        </w:tc>
        <w:tc>
          <w:tcPr>
            <w:tcW w:w="820" w:type="dxa"/>
            <w:vAlign w:val="bottom"/>
            <w:tcBorders>
              <w:bottom w:val="single" w:sz="8" w:color="B6B6B6"/>
            </w:tcBorders>
          </w:tcPr>
          <w:p>
            <w:pPr>
              <w:spacing w:after="0"/>
              <w:rPr>
                <w:sz w:val="18"/>
                <w:szCs w:val="18"/>
                <w:color w:val="auto"/>
              </w:rPr>
            </w:pPr>
          </w:p>
        </w:tc>
        <w:tc>
          <w:tcPr>
            <w:tcW w:w="12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38,580</w:t>
            </w:r>
          </w:p>
        </w:tc>
        <w:tc>
          <w:tcPr>
            <w:tcW w:w="16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4,124,974</w:t>
            </w:r>
          </w:p>
        </w:tc>
        <w:tc>
          <w:tcPr>
            <w:tcW w:w="0" w:type="dxa"/>
            <w:vAlign w:val="bottom"/>
          </w:tcPr>
          <w:p>
            <w:pPr>
              <w:spacing w:after="0"/>
              <w:rPr>
                <w:sz w:val="1"/>
                <w:szCs w:val="1"/>
                <w:color w:val="auto"/>
              </w:rPr>
            </w:pPr>
          </w:p>
        </w:tc>
      </w:tr>
      <w:tr>
        <w:trPr>
          <w:trHeight w:val="208"/>
        </w:trPr>
        <w:tc>
          <w:tcPr>
            <w:tcW w:w="2100" w:type="dxa"/>
            <w:vAlign w:val="bottom"/>
            <w:shd w:val="clear" w:color="auto" w:fill="F2F2F2"/>
          </w:tcPr>
          <w:p>
            <w:pPr>
              <w:ind w:left="20"/>
              <w:spacing w:after="0"/>
              <w:rPr>
                <w:sz w:val="20"/>
                <w:szCs w:val="20"/>
                <w:color w:val="auto"/>
              </w:rPr>
            </w:pPr>
            <w:r>
              <w:rPr>
                <w:rFonts w:ascii="Arial" w:cs="Arial" w:eastAsia="Arial" w:hAnsi="Arial"/>
                <w:sz w:val="16"/>
                <w:szCs w:val="16"/>
                <w:color w:val="auto"/>
              </w:rPr>
              <w:t>Sumit Sadana</w:t>
            </w:r>
          </w:p>
        </w:tc>
        <w:tc>
          <w:tcPr>
            <w:tcW w:w="980" w:type="dxa"/>
            <w:vAlign w:val="bottom"/>
            <w:shd w:val="clear" w:color="auto" w:fill="F2F2F2"/>
          </w:tcPr>
          <w:p>
            <w:pPr>
              <w:spacing w:after="0"/>
              <w:rPr>
                <w:sz w:val="18"/>
                <w:szCs w:val="18"/>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584,719</w:t>
            </w:r>
          </w:p>
        </w:tc>
        <w:tc>
          <w:tcPr>
            <w:tcW w:w="9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1,169,438</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2,338,875</w:t>
            </w:r>
          </w:p>
        </w:tc>
        <w:tc>
          <w:tcPr>
            <w:tcW w:w="100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82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shd w:val="clear" w:color="auto" w:fill="F2F2F2"/>
          </w:tcPr>
          <w:p>
            <w:pPr>
              <w:spacing w:after="0"/>
              <w:rPr>
                <w:sz w:val="18"/>
                <w:szCs w:val="18"/>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10/13/24</w:t>
            </w:r>
          </w:p>
        </w:tc>
        <w:tc>
          <w:tcPr>
            <w:tcW w:w="92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1000" w:type="dxa"/>
            <w:vAlign w:val="bottom"/>
            <w:shd w:val="clear" w:color="auto" w:fill="F2F2F2"/>
          </w:tcPr>
          <w:p>
            <w:pPr>
              <w:jc w:val="right"/>
              <w:ind w:right="59"/>
              <w:spacing w:after="0"/>
              <w:rPr>
                <w:sz w:val="20"/>
                <w:szCs w:val="20"/>
                <w:color w:val="auto"/>
              </w:rPr>
            </w:pPr>
            <w:r>
              <w:rPr>
                <w:rFonts w:ascii="Arial" w:cs="Arial" w:eastAsia="Arial" w:hAnsi="Arial"/>
                <w:sz w:val="16"/>
                <w:szCs w:val="16"/>
                <w:color w:val="auto"/>
              </w:rPr>
              <w:t>9,585</w:t>
            </w:r>
          </w:p>
        </w:tc>
        <w:tc>
          <w:tcPr>
            <w:tcW w:w="96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41,382</w:t>
            </w:r>
          </w:p>
        </w:tc>
        <w:tc>
          <w:tcPr>
            <w:tcW w:w="8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82,764</w:t>
            </w:r>
          </w:p>
        </w:tc>
        <w:tc>
          <w:tcPr>
            <w:tcW w:w="128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4,749,878</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BD03F7"/>
            </w:tcBorders>
            <w:shd w:val="clear" w:color="auto" w:fill="F2F2F2"/>
          </w:tcPr>
          <w:p>
            <w:pPr>
              <w:spacing w:after="0"/>
              <w:rPr>
                <w:sz w:val="18"/>
                <w:szCs w:val="18"/>
                <w:color w:val="auto"/>
              </w:rPr>
            </w:pPr>
          </w:p>
        </w:tc>
        <w:tc>
          <w:tcPr>
            <w:tcW w:w="9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10/13/24</w:t>
            </w:r>
          </w:p>
        </w:tc>
        <w:tc>
          <w:tcPr>
            <w:tcW w:w="920" w:type="dxa"/>
            <w:vAlign w:val="bottom"/>
            <w:tcBorders>
              <w:bottom w:val="single" w:sz="8" w:color="BD03F7"/>
            </w:tcBorders>
            <w:shd w:val="clear" w:color="auto" w:fill="F2F2F2"/>
          </w:tcPr>
          <w:p>
            <w:pPr>
              <w:spacing w:after="0"/>
              <w:rPr>
                <w:sz w:val="18"/>
                <w:szCs w:val="18"/>
                <w:color w:val="auto"/>
              </w:rPr>
            </w:pPr>
          </w:p>
        </w:tc>
        <w:tc>
          <w:tcPr>
            <w:tcW w:w="940" w:type="dxa"/>
            <w:vAlign w:val="bottom"/>
            <w:tcBorders>
              <w:bottom w:val="single" w:sz="8" w:color="BD03F7"/>
            </w:tcBorders>
            <w:shd w:val="clear" w:color="auto" w:fill="F2F2F2"/>
          </w:tcPr>
          <w:p>
            <w:pPr>
              <w:spacing w:after="0"/>
              <w:rPr>
                <w:sz w:val="18"/>
                <w:szCs w:val="18"/>
                <w:color w:val="auto"/>
              </w:rPr>
            </w:pPr>
          </w:p>
        </w:tc>
        <w:tc>
          <w:tcPr>
            <w:tcW w:w="960" w:type="dxa"/>
            <w:vAlign w:val="bottom"/>
            <w:tcBorders>
              <w:bottom w:val="single" w:sz="8" w:color="BD03F7"/>
            </w:tcBorders>
            <w:shd w:val="clear" w:color="auto" w:fill="F2F2F2"/>
          </w:tcPr>
          <w:p>
            <w:pPr>
              <w:spacing w:after="0"/>
              <w:rPr>
                <w:sz w:val="18"/>
                <w:szCs w:val="18"/>
                <w:color w:val="auto"/>
              </w:rPr>
            </w:pPr>
          </w:p>
        </w:tc>
        <w:tc>
          <w:tcPr>
            <w:tcW w:w="1000" w:type="dxa"/>
            <w:vAlign w:val="bottom"/>
            <w:tcBorders>
              <w:bottom w:val="single" w:sz="8" w:color="BD03F7"/>
            </w:tcBorders>
            <w:shd w:val="clear" w:color="auto" w:fill="F2F2F2"/>
          </w:tcPr>
          <w:p>
            <w:pPr>
              <w:spacing w:after="0"/>
              <w:rPr>
                <w:sz w:val="18"/>
                <w:szCs w:val="18"/>
                <w:color w:val="auto"/>
              </w:rPr>
            </w:pPr>
          </w:p>
        </w:tc>
        <w:tc>
          <w:tcPr>
            <w:tcW w:w="960" w:type="dxa"/>
            <w:vAlign w:val="bottom"/>
            <w:tcBorders>
              <w:bottom w:val="single" w:sz="8" w:color="BD03F7"/>
            </w:tcBorders>
            <w:shd w:val="clear" w:color="auto" w:fill="F2F2F2"/>
          </w:tcPr>
          <w:p>
            <w:pPr>
              <w:spacing w:after="0"/>
              <w:rPr>
                <w:sz w:val="18"/>
                <w:szCs w:val="18"/>
                <w:color w:val="auto"/>
              </w:rPr>
            </w:pPr>
          </w:p>
        </w:tc>
        <w:tc>
          <w:tcPr>
            <w:tcW w:w="820" w:type="dxa"/>
            <w:vAlign w:val="bottom"/>
            <w:tcBorders>
              <w:bottom w:val="single" w:sz="8" w:color="BD03F7"/>
            </w:tcBorders>
            <w:shd w:val="clear" w:color="auto" w:fill="F2F2F2"/>
          </w:tcPr>
          <w:p>
            <w:pPr>
              <w:spacing w:after="0"/>
              <w:rPr>
                <w:sz w:val="18"/>
                <w:szCs w:val="18"/>
                <w:color w:val="auto"/>
              </w:rPr>
            </w:pPr>
          </w:p>
        </w:tc>
        <w:tc>
          <w:tcPr>
            <w:tcW w:w="12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44,426</w:t>
            </w:r>
          </w:p>
        </w:tc>
        <w:tc>
          <w:tcPr>
            <w:tcW w:w="160" w:type="dxa"/>
            <w:vAlign w:val="bottom"/>
            <w:tcBorders>
              <w:bottom w:val="single" w:sz="8" w:color="BD03F7"/>
            </w:tcBorders>
            <w:shd w:val="clear" w:color="auto" w:fill="F2F2F2"/>
          </w:tcPr>
          <w:p>
            <w:pPr>
              <w:spacing w:after="0"/>
              <w:rPr>
                <w:sz w:val="18"/>
                <w:szCs w:val="18"/>
                <w:color w:val="auto"/>
              </w:rPr>
            </w:pPr>
          </w:p>
        </w:tc>
        <w:tc>
          <w:tcPr>
            <w:tcW w:w="11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4,750,028</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60" w:hanging="333"/>
        <w:spacing w:after="0" w:line="261" w:lineRule="auto"/>
        <w:tabs>
          <w:tab w:leader="none" w:pos="3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 estimated possible payouts for Fiscal 2025 under the STI plan. Payment of bonuses under the STI plan is dependent upon meeting specified performance goals. A description of the performance milestones associated with such bonuses is included in the “Compensation Discussion and Analysis.” Actual payouts received by the Named Executive Officers for Fiscal 2025 under the STI plan are reported in the Summary Compensation Table under the column titled “Non-Equity Incentive Plan Compensation.”</w:t>
      </w:r>
    </w:p>
    <w:p>
      <w:pPr>
        <w:spacing w:after="0" w:line="201" w:lineRule="exact"/>
        <w:rPr>
          <w:rFonts w:ascii="Arial" w:cs="Arial" w:eastAsia="Arial" w:hAnsi="Arial"/>
          <w:sz w:val="18"/>
          <w:szCs w:val="18"/>
          <w:color w:val="auto"/>
        </w:rPr>
      </w:pPr>
    </w:p>
    <w:p>
      <w:pPr>
        <w:ind w:left="340" w:hanging="333"/>
        <w:spacing w:after="0" w:line="255" w:lineRule="auto"/>
        <w:tabs>
          <w:tab w:leader="none" w:pos="3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restricted stock units awarded in Fiscal 2025 under the 2007 Plan with performance-based and market-based vesting conditions. The threshold amounts shown relate solely to the 2025 rTSR PRSU Award. For the 2025 HBM3E+ PRSU Award and the 2025 Data Center SSD PRSU Award, achievement at the relevant threshold level results in no payout. For all PRSU awards, achievement between the threshold level and the maximum level is paid out based on interpolation between performance levels. Information related to the performance-based and market-based conditions associated with these awards is contained in “Compensation Discussion and Analysis.” All of the PRSUs include the potential to receive dividends at the same rate as other holders of Common Stock. Any such dividends initially will be unvested and will accumulate and pay out in cash only if and when the underlying PRSUs vest.</w:t>
      </w:r>
    </w:p>
    <w:p>
      <w:pPr>
        <w:spacing w:after="0" w:line="207" w:lineRule="exact"/>
        <w:rPr>
          <w:rFonts w:ascii="Arial" w:cs="Arial" w:eastAsia="Arial" w:hAnsi="Arial"/>
          <w:sz w:val="18"/>
          <w:szCs w:val="18"/>
          <w:color w:val="auto"/>
        </w:rPr>
      </w:pPr>
    </w:p>
    <w:p>
      <w:pPr>
        <w:ind w:left="340" w:right="40" w:hanging="333"/>
        <w:spacing w:after="0" w:line="261" w:lineRule="auto"/>
        <w:tabs>
          <w:tab w:leader="none" w:pos="3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restricted stock awarded in Fiscal 2025 under the 2007 Plan with time-based restrictions. Time-based restrictions on these awards lapse in three equal installments over a three-year period from the date of the award. The restricted stock includes the potential to receive dividends at the same rate as other holders of Common Stock. Any such dividends initially will be unvested and will accumulate and pay out in cash only if and when the underlying shares of restricted stock vest.</w:t>
      </w:r>
    </w:p>
    <w:p>
      <w:pPr>
        <w:spacing w:after="0" w:line="201" w:lineRule="exact"/>
        <w:rPr>
          <w:rFonts w:ascii="Arial" w:cs="Arial" w:eastAsia="Arial" w:hAnsi="Arial"/>
          <w:sz w:val="18"/>
          <w:szCs w:val="18"/>
          <w:color w:val="auto"/>
        </w:rPr>
      </w:pPr>
    </w:p>
    <w:p>
      <w:pPr>
        <w:ind w:left="340" w:right="380" w:hanging="333"/>
        <w:spacing w:after="0" w:line="261" w:lineRule="auto"/>
        <w:tabs>
          <w:tab w:leader="none" w:pos="3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and was computed by multiplying (i) the target number of restricted shares or units awarded to each Named Executive Officer by (ii) either (a) the closing price of our Common Stock on the last market-trading day prior to the date of grant; or (b) the fair value per share as calculated by the use of a Monte-Carlo simulation, which represents the most likely value if the award had a market condition performance goal.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PLAN INFORMATION</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securities granted to our Named Executive Officers in Fiscal 2025 were granted pursuant to our 2007 Plan. The purpose of the 2007 Plan is to promote our success by linking the personal interests of our employees and officers to those of our shareholders, and by providing participants with an incentive for outstanding performance. Permissible awards under the 2007 Plan include: options, restricted stock, restricted stock units, stock appreciation rights, deferred stock units, and dividend equivalent rights. We have issued restricted stock, restricted stock units, deferred stock units and dividend equivalent rights under the 2007 Plan. Shares issued under an award granted under the 2007 Plan reduced the number of shares available under the 2007 Plan on a two-for-one basis while such plan remained in effect. At our Fiscal 2024 Annual Meeting of Shareholders, our shareholders approved our 2025 Plan, pursuant to which the Company has granted equity awards upon and following such plan’s effectiveness. The 2007 Plan was terminated in connection with the effectiveness of the 2025 Plan and no equity awards will be granted under the 2007 Plan following such termination, provided that the 2007 Plan will continue to govern the terms of any equity awards granted under it.</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LAPSING OF RESTRICTIONS ASSOCIATED WITH EQUITY AND CASH AWARDS</w:t>
      </w:r>
    </w:p>
    <w:p>
      <w:pPr>
        <w:spacing w:after="0" w:line="25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restrictions associated with the restricted stock and restricted stock units granted to the Named Executive Officers include both time-based restrictions and performance-based vesting conditions. Restrictions on time-based equity awards lapse in three equal installments over a three-year period. The performance conditions associated with performance-based equity and cash awards are described below.</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ISSUANCE AND VESTING OF PERFORMANCE-BASED EQUITY AWARDS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Restricted Stock Units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executive officers received awards related to three performance goals: a HBM3E+ bits shipped or revenue-based market share metric, a data center SSD bits shipped or revenue-based market share metric, and a rTSR metric. Please see “Components of our Executive Compensation Program—Long-Term Equity Incentives” section of the “Compensation Discussion and Analysis.” The number of shares that will be received at the end of the three years generally varies between 0% and 200% of the targeted share amount and is dependent upon the level of achievement. All threshold, target, and maximum amounts require significant execution and effort with no assurance of achievement. Unless the threshold targets are achieved or exceeded, the vesting conditions will not be met and the awards will be forfeited.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Cash Awards</w:t>
      </w:r>
    </w:p>
    <w:p>
      <w:pPr>
        <w:spacing w:after="0" w:line="250"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Bonuses were paid to the Named Executive Officers for Fiscal 2025 as a result of achievement of certain goals. Please see the “Components of our Executive Compensation Program—Short-Term Incentives” section of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OUTSTANDING EQUITY AWARDS AT FISCAL 2025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0046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The following table provides information with respect to outstanding restricted stock and restricted stock units held as of August 28, 2025, by our Named Executive Officers. None of the Named Executive Officers held any stock options as of such date.</w:t>
      </w:r>
    </w:p>
    <w:p>
      <w:pPr>
        <w:ind w:left="564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22860</wp:posOffset>
            </wp:positionV>
            <wp:extent cx="57505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5056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1020" w:type="dxa"/>
            <w:vAlign w:val="bottom"/>
          </w:tcPr>
          <w:p>
            <w:pPr>
              <w:spacing w:after="0"/>
              <w:rPr>
                <w:sz w:val="17"/>
                <w:szCs w:val="17"/>
                <w:color w:val="auto"/>
              </w:rPr>
            </w:pPr>
          </w:p>
        </w:tc>
        <w:tc>
          <w:tcPr>
            <w:tcW w:w="3900" w:type="dxa"/>
            <w:vAlign w:val="bottom"/>
            <w:tcBorders>
              <w:bottom w:val="single" w:sz="8" w:color="BD03F7"/>
            </w:tcBorders>
            <w:gridSpan w:val="2"/>
          </w:tcPr>
          <w:p>
            <w:pPr>
              <w:ind w:left="360"/>
              <w:spacing w:after="0"/>
              <w:rPr>
                <w:sz w:val="20"/>
                <w:szCs w:val="20"/>
                <w:color w:val="auto"/>
              </w:rPr>
            </w:pPr>
            <w:r>
              <w:rPr>
                <w:rFonts w:ascii="Arial" w:cs="Arial" w:eastAsia="Arial" w:hAnsi="Arial"/>
                <w:sz w:val="14"/>
                <w:szCs w:val="14"/>
                <w:b w:val="1"/>
                <w:bCs w:val="1"/>
                <w:color w:val="auto"/>
              </w:rPr>
              <w:t>Shares or Units of Stock That Have Not Vested</w:t>
            </w: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jc w:val="center"/>
              <w:ind w:left="268"/>
              <w:spacing w:after="0"/>
              <w:rPr>
                <w:sz w:val="20"/>
                <w:szCs w:val="20"/>
                <w:color w:val="auto"/>
              </w:rPr>
            </w:pPr>
            <w:r>
              <w:rPr>
                <w:rFonts w:ascii="Arial" w:cs="Arial" w:eastAsia="Arial" w:hAnsi="Arial"/>
                <w:sz w:val="14"/>
                <w:szCs w:val="14"/>
                <w:b w:val="1"/>
                <w:bCs w:val="1"/>
                <w:color w:val="auto"/>
              </w:rPr>
              <w:t>Number</w:t>
            </w:r>
          </w:p>
        </w:tc>
        <w:tc>
          <w:tcPr>
            <w:tcW w:w="19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Market Value($)(1)</w:t>
            </w: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96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9385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39"/>
        </w:trPr>
        <w:tc>
          <w:tcPr>
            <w:tcW w:w="31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Equity Incentive Plan Awards: Number of</w:t>
            </w:r>
          </w:p>
        </w:tc>
        <w:tc>
          <w:tcPr>
            <w:tcW w:w="1900" w:type="dxa"/>
            <w:vAlign w:val="bottom"/>
          </w:tcPr>
          <w:p>
            <w:pPr>
              <w:jc w:val="center"/>
              <w:ind w:left="8"/>
              <w:spacing w:after="0" w:line="139" w:lineRule="exact"/>
              <w:rPr>
                <w:sz w:val="20"/>
                <w:szCs w:val="20"/>
                <w:color w:val="auto"/>
              </w:rPr>
            </w:pPr>
            <w:r>
              <w:rPr>
                <w:rFonts w:ascii="Arial" w:cs="Arial" w:eastAsia="Arial" w:hAnsi="Arial"/>
                <w:sz w:val="14"/>
                <w:szCs w:val="14"/>
                <w:b w:val="1"/>
                <w:bCs w:val="1"/>
                <w:color w:val="auto"/>
              </w:rPr>
              <w:t>Awards: Market or Payout</w:t>
            </w:r>
          </w:p>
        </w:tc>
        <w:tc>
          <w:tcPr>
            <w:tcW w:w="0" w:type="dxa"/>
            <w:vAlign w:val="bottom"/>
          </w:tcPr>
          <w:p>
            <w:pPr>
              <w:spacing w:after="0"/>
              <w:rPr>
                <w:sz w:val="1"/>
                <w:szCs w:val="1"/>
                <w:color w:val="auto"/>
              </w:rPr>
            </w:pPr>
          </w:p>
        </w:tc>
      </w:tr>
      <w:tr>
        <w:trPr>
          <w:trHeight w:val="144"/>
        </w:trPr>
        <w:tc>
          <w:tcPr>
            <w:tcW w:w="3120" w:type="dxa"/>
            <w:vAlign w:val="bottom"/>
            <w:vMerge w:val="continue"/>
          </w:tcPr>
          <w:p>
            <w:pPr>
              <w:spacing w:after="0"/>
              <w:rPr>
                <w:sz w:val="12"/>
                <w:szCs w:val="12"/>
                <w:color w:val="auto"/>
              </w:rPr>
            </w:pPr>
          </w:p>
        </w:tc>
        <w:tc>
          <w:tcPr>
            <w:tcW w:w="1900" w:type="dxa"/>
            <w:vAlign w:val="bottom"/>
          </w:tcPr>
          <w:p>
            <w:pPr>
              <w:jc w:val="center"/>
              <w:ind w:left="8"/>
              <w:spacing w:after="0" w:line="144" w:lineRule="exact"/>
              <w:rPr>
                <w:sz w:val="20"/>
                <w:szCs w:val="20"/>
                <w:color w:val="auto"/>
              </w:rPr>
            </w:pPr>
            <w:r>
              <w:rPr>
                <w:rFonts w:ascii="Arial" w:cs="Arial" w:eastAsia="Arial" w:hAnsi="Arial"/>
                <w:sz w:val="14"/>
                <w:szCs w:val="14"/>
                <w:b w:val="1"/>
                <w:bCs w:val="1"/>
                <w:color w:val="auto"/>
              </w:rPr>
              <w:t>Value of Unearned Shares,</w:t>
            </w:r>
          </w:p>
        </w:tc>
        <w:tc>
          <w:tcPr>
            <w:tcW w:w="0" w:type="dxa"/>
            <w:vAlign w:val="bottom"/>
          </w:tcPr>
          <w:p>
            <w:pPr>
              <w:spacing w:after="0"/>
              <w:rPr>
                <w:sz w:val="1"/>
                <w:szCs w:val="1"/>
                <w:color w:val="auto"/>
              </w:rPr>
            </w:pPr>
          </w:p>
        </w:tc>
      </w:tr>
      <w:tr>
        <w:trPr>
          <w:trHeight w:val="148"/>
        </w:trPr>
        <w:tc>
          <w:tcPr>
            <w:tcW w:w="3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Unearned Shares, Units or Other Rights That</w:t>
            </w:r>
          </w:p>
        </w:tc>
        <w:tc>
          <w:tcPr>
            <w:tcW w:w="1900" w:type="dxa"/>
            <w:vAlign w:val="bottom"/>
          </w:tcPr>
          <w:p>
            <w:pPr>
              <w:jc w:val="center"/>
              <w:ind w:left="8"/>
              <w:spacing w:after="0" w:line="148" w:lineRule="exact"/>
              <w:rPr>
                <w:sz w:val="20"/>
                <w:szCs w:val="20"/>
                <w:color w:val="auto"/>
              </w:rPr>
            </w:pPr>
            <w:r>
              <w:rPr>
                <w:rFonts w:ascii="Arial" w:cs="Arial" w:eastAsia="Arial" w:hAnsi="Arial"/>
                <w:sz w:val="14"/>
                <w:szCs w:val="14"/>
                <w:b w:val="1"/>
                <w:bCs w:val="1"/>
                <w:color w:val="auto"/>
              </w:rPr>
              <w:t>Units or Other Rights That</w:t>
            </w:r>
          </w:p>
        </w:tc>
        <w:tc>
          <w:tcPr>
            <w:tcW w:w="0" w:type="dxa"/>
            <w:vAlign w:val="bottom"/>
          </w:tcPr>
          <w:p>
            <w:pPr>
              <w:spacing w:after="0"/>
              <w:rPr>
                <w:sz w:val="1"/>
                <w:szCs w:val="1"/>
                <w:color w:val="auto"/>
              </w:rPr>
            </w:pPr>
          </w:p>
        </w:tc>
      </w:tr>
      <w:tr>
        <w:trPr>
          <w:trHeight w:val="196"/>
        </w:trPr>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Have Not Vested(#)</w:t>
            </w:r>
          </w:p>
        </w:tc>
        <w:tc>
          <w:tcPr>
            <w:tcW w:w="1900" w:type="dxa"/>
            <w:vAlign w:val="bottom"/>
          </w:tcPr>
          <w:p>
            <w:pPr>
              <w:jc w:val="center"/>
              <w:ind w:left="8"/>
              <w:spacing w:after="0"/>
              <w:rPr>
                <w:sz w:val="20"/>
                <w:szCs w:val="20"/>
                <w:color w:val="auto"/>
              </w:rPr>
            </w:pPr>
            <w:r>
              <w:rPr>
                <w:rFonts w:ascii="Arial" w:cs="Arial" w:eastAsia="Arial" w:hAnsi="Arial"/>
                <w:sz w:val="14"/>
                <w:szCs w:val="14"/>
                <w:b w:val="1"/>
                <w:bCs w:val="1"/>
                <w:color w:val="auto"/>
              </w:rPr>
              <w:t>Have Not Vested($)(1)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-4445</wp:posOffset>
            </wp:positionV>
            <wp:extent cx="57505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50560" cy="825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5480" w:space="40"/>
            <w:col w:w="5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Sanjay Mehrotra</w:t>
            </w: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18,760</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w:t>
            </w:r>
          </w:p>
        </w:tc>
        <w:tc>
          <w:tcPr>
            <w:tcW w:w="440" w:type="dxa"/>
            <w:vAlign w:val="bottom"/>
            <w:shd w:val="clear" w:color="auto" w:fill="F2F2F2"/>
          </w:tcPr>
          <w:p>
            <w:pPr>
              <w:jc w:val="right"/>
              <w:ind w:right="2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2,288,720</w:t>
            </w: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74,852</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w:t>
            </w:r>
          </w:p>
        </w:tc>
        <w:tc>
          <w:tcPr>
            <w:tcW w:w="660" w:type="dxa"/>
            <w:vAlign w:val="bottom"/>
            <w:shd w:val="clear" w:color="auto" w:fill="F2F2F2"/>
          </w:tcPr>
          <w:p>
            <w:pPr>
              <w:jc w:val="right"/>
              <w:ind w:right="4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9,131,944</w:t>
            </w:r>
          </w:p>
        </w:tc>
      </w:tr>
      <w:tr>
        <w:trPr>
          <w:trHeight w:val="194"/>
        </w:trPr>
        <w:tc>
          <w:tcPr>
            <w:tcW w:w="1480" w:type="dxa"/>
            <w:vAlign w:val="bottom"/>
            <w:shd w:val="clear" w:color="auto" w:fill="F2F2F2"/>
          </w:tcPr>
          <w:p>
            <w:pPr>
              <w:spacing w:after="0"/>
              <w:rPr>
                <w:sz w:val="16"/>
                <w:szCs w:val="16"/>
                <w:color w:val="auto"/>
              </w:rPr>
            </w:pP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79,451</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w:t>
            </w:r>
          </w:p>
        </w:tc>
        <w:tc>
          <w:tcPr>
            <w:tcW w:w="440" w:type="dxa"/>
            <w:vAlign w:val="bottom"/>
            <w:shd w:val="clear" w:color="auto" w:fill="F2F2F2"/>
          </w:tcPr>
          <w:p>
            <w:pPr>
              <w:spacing w:after="0"/>
              <w:rPr>
                <w:sz w:val="16"/>
                <w:szCs w:val="16"/>
                <w:color w:val="auto"/>
              </w:rPr>
            </w:pPr>
          </w:p>
        </w:tc>
        <w:tc>
          <w:tcPr>
            <w:tcW w:w="11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9,693,022</w:t>
            </w: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115,092</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w:t>
            </w:r>
          </w:p>
        </w:tc>
        <w:tc>
          <w:tcPr>
            <w:tcW w:w="660" w:type="dxa"/>
            <w:vAlign w:val="bottom"/>
            <w:shd w:val="clear" w:color="auto" w:fill="F2F2F2"/>
          </w:tcPr>
          <w:p>
            <w:pPr>
              <w:spacing w:after="0"/>
              <w:rPr>
                <w:sz w:val="16"/>
                <w:szCs w:val="16"/>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14,041,224</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83,015</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w:t>
            </w: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10,127,830</w:t>
            </w: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65,686</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8,013,692</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128,924</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15,728,728</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128,924</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15,728,728</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110,049</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13,425,978</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38,543</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4,702,246</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38,543</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4,702,246</w:t>
            </w:r>
          </w:p>
        </w:tc>
      </w:tr>
      <w:tr>
        <w:trPr>
          <w:trHeight w:val="205"/>
        </w:trPr>
        <w:tc>
          <w:tcPr>
            <w:tcW w:w="1480" w:type="dxa"/>
            <w:vAlign w:val="bottom"/>
            <w:tcBorders>
              <w:bottom w:val="single" w:sz="8" w:color="B6B6B6"/>
            </w:tcBorders>
            <w:shd w:val="clear" w:color="auto" w:fill="F2F2F2"/>
          </w:tcPr>
          <w:p>
            <w:pPr>
              <w:spacing w:after="0"/>
              <w:rPr>
                <w:sz w:val="17"/>
                <w:szCs w:val="17"/>
                <w:color w:val="auto"/>
              </w:rPr>
            </w:pPr>
          </w:p>
        </w:tc>
        <w:tc>
          <w:tcPr>
            <w:tcW w:w="1260" w:type="dxa"/>
            <w:vAlign w:val="bottom"/>
            <w:tcBorders>
              <w:bottom w:val="single" w:sz="8" w:color="B6B6B6"/>
            </w:tcBorders>
            <w:shd w:val="clear" w:color="auto" w:fill="F2F2F2"/>
          </w:tcPr>
          <w:p>
            <w:pPr>
              <w:spacing w:after="0"/>
              <w:rPr>
                <w:sz w:val="17"/>
                <w:szCs w:val="17"/>
                <w:color w:val="auto"/>
              </w:rPr>
            </w:pPr>
          </w:p>
        </w:tc>
        <w:tc>
          <w:tcPr>
            <w:tcW w:w="1160" w:type="dxa"/>
            <w:vAlign w:val="bottom"/>
            <w:tcBorders>
              <w:bottom w:val="single" w:sz="8" w:color="B6B6B6"/>
            </w:tcBorders>
            <w:shd w:val="clear" w:color="auto" w:fill="F2F2F2"/>
          </w:tcPr>
          <w:p>
            <w:pPr>
              <w:spacing w:after="0"/>
              <w:rPr>
                <w:sz w:val="17"/>
                <w:szCs w:val="17"/>
                <w:color w:val="auto"/>
              </w:rPr>
            </w:pPr>
          </w:p>
        </w:tc>
        <w:tc>
          <w:tcPr>
            <w:tcW w:w="440" w:type="dxa"/>
            <w:vAlign w:val="bottom"/>
            <w:tcBorders>
              <w:bottom w:val="single" w:sz="8" w:color="B6B6B6"/>
            </w:tcBorders>
            <w:shd w:val="clear" w:color="auto" w:fill="F2F2F2"/>
          </w:tcPr>
          <w:p>
            <w:pPr>
              <w:spacing w:after="0"/>
              <w:rPr>
                <w:sz w:val="17"/>
                <w:szCs w:val="17"/>
                <w:color w:val="auto"/>
              </w:rPr>
            </w:pPr>
          </w:p>
        </w:tc>
        <w:tc>
          <w:tcPr>
            <w:tcW w:w="1140" w:type="dxa"/>
            <w:vAlign w:val="bottom"/>
            <w:tcBorders>
              <w:bottom w:val="single" w:sz="8" w:color="B6B6B6"/>
            </w:tcBorders>
            <w:shd w:val="clear" w:color="auto" w:fill="F2F2F2"/>
          </w:tcPr>
          <w:p>
            <w:pPr>
              <w:spacing w:after="0"/>
              <w:rPr>
                <w:sz w:val="17"/>
                <w:szCs w:val="17"/>
                <w:color w:val="auto"/>
              </w:rPr>
            </w:pPr>
          </w:p>
        </w:tc>
        <w:tc>
          <w:tcPr>
            <w:tcW w:w="156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4"/>
                <w:szCs w:val="14"/>
                <w:color w:val="auto"/>
              </w:rPr>
              <w:t>66,527</w:t>
            </w:r>
          </w:p>
        </w:tc>
        <w:tc>
          <w:tcPr>
            <w:tcW w:w="15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4"/>
                <w:szCs w:val="14"/>
                <w:color w:val="auto"/>
              </w:rPr>
              <w:t>(13)</w:t>
            </w:r>
          </w:p>
        </w:tc>
        <w:tc>
          <w:tcPr>
            <w:tcW w:w="660" w:type="dxa"/>
            <w:vAlign w:val="bottom"/>
            <w:tcBorders>
              <w:bottom w:val="single" w:sz="8" w:color="B6B6B6"/>
            </w:tcBorders>
            <w:shd w:val="clear" w:color="auto" w:fill="F2F2F2"/>
          </w:tcPr>
          <w:p>
            <w:pPr>
              <w:spacing w:after="0"/>
              <w:rPr>
                <w:sz w:val="17"/>
                <w:szCs w:val="17"/>
                <w:color w:val="auto"/>
              </w:rPr>
            </w:pPr>
          </w:p>
        </w:tc>
        <w:tc>
          <w:tcPr>
            <w:tcW w:w="1360" w:type="dxa"/>
            <w:vAlign w:val="bottom"/>
            <w:tcBorders>
              <w:bottom w:val="single" w:sz="8" w:color="B6B6B6"/>
            </w:tcBorders>
            <w:shd w:val="clear" w:color="auto" w:fill="F2F2F2"/>
          </w:tcPr>
          <w:p>
            <w:pPr>
              <w:jc w:val="right"/>
              <w:ind w:right="8"/>
              <w:spacing w:after="0"/>
              <w:rPr>
                <w:sz w:val="20"/>
                <w:szCs w:val="20"/>
                <w:color w:val="auto"/>
              </w:rPr>
            </w:pPr>
            <w:r>
              <w:rPr>
                <w:rFonts w:ascii="Arial" w:cs="Arial" w:eastAsia="Arial" w:hAnsi="Arial"/>
                <w:sz w:val="14"/>
                <w:szCs w:val="14"/>
                <w:color w:val="auto"/>
              </w:rPr>
              <w:t>8,116,294</w:t>
            </w:r>
          </w:p>
        </w:tc>
      </w:tr>
      <w:tr>
        <w:trPr>
          <w:trHeight w:val="191"/>
        </w:trPr>
        <w:tc>
          <w:tcPr>
            <w:tcW w:w="1480" w:type="dxa"/>
            <w:vAlign w:val="bottom"/>
          </w:tcPr>
          <w:p>
            <w:pPr>
              <w:ind w:left="20"/>
              <w:spacing w:after="0"/>
              <w:rPr>
                <w:sz w:val="20"/>
                <w:szCs w:val="20"/>
                <w:color w:val="auto"/>
              </w:rPr>
            </w:pPr>
            <w:r>
              <w:rPr>
                <w:rFonts w:ascii="Arial" w:cs="Arial" w:eastAsia="Arial" w:hAnsi="Arial"/>
                <w:sz w:val="14"/>
                <w:szCs w:val="14"/>
                <w:color w:val="auto"/>
              </w:rPr>
              <w:t>Mark Murphy</w:t>
            </w:r>
          </w:p>
        </w:tc>
        <w:tc>
          <w:tcPr>
            <w:tcW w:w="1260" w:type="dxa"/>
            <w:vAlign w:val="bottom"/>
          </w:tcPr>
          <w:p>
            <w:pPr>
              <w:jc w:val="right"/>
              <w:spacing w:after="0"/>
              <w:rPr>
                <w:sz w:val="20"/>
                <w:szCs w:val="20"/>
                <w:color w:val="auto"/>
              </w:rPr>
            </w:pPr>
            <w:r>
              <w:rPr>
                <w:rFonts w:ascii="Arial" w:cs="Arial" w:eastAsia="Arial" w:hAnsi="Arial"/>
                <w:sz w:val="14"/>
                <w:szCs w:val="14"/>
                <w:color w:val="auto"/>
              </w:rPr>
              <w:t>6,122</w:t>
            </w: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746,884</w:t>
            </w:r>
          </w:p>
        </w:tc>
        <w:tc>
          <w:tcPr>
            <w:tcW w:w="1560" w:type="dxa"/>
            <w:vAlign w:val="bottom"/>
          </w:tcPr>
          <w:p>
            <w:pPr>
              <w:jc w:val="right"/>
              <w:spacing w:after="0"/>
              <w:rPr>
                <w:sz w:val="20"/>
                <w:szCs w:val="20"/>
                <w:color w:val="auto"/>
              </w:rPr>
            </w:pPr>
            <w:r>
              <w:rPr>
                <w:rFonts w:ascii="Arial" w:cs="Arial" w:eastAsia="Arial" w:hAnsi="Arial"/>
                <w:sz w:val="14"/>
                <w:szCs w:val="14"/>
                <w:color w:val="auto"/>
              </w:rPr>
              <w:t>24,425</w:t>
            </w:r>
          </w:p>
        </w:tc>
        <w:tc>
          <w:tcPr>
            <w:tcW w:w="1580" w:type="dxa"/>
            <w:vAlign w:val="bottom"/>
          </w:tcPr>
          <w:p>
            <w:pPr>
              <w:jc w:val="right"/>
              <w:spacing w:after="0"/>
              <w:rPr>
                <w:sz w:val="20"/>
                <w:szCs w:val="20"/>
                <w:color w:val="auto"/>
              </w:rPr>
            </w:pPr>
            <w:r>
              <w:rPr>
                <w:rFonts w:ascii="Arial" w:cs="Arial" w:eastAsia="Arial" w:hAnsi="Arial"/>
                <w:sz w:val="14"/>
                <w:szCs w:val="14"/>
                <w:color w:val="auto"/>
              </w:rPr>
              <w:t>(3)</w:t>
            </w:r>
          </w:p>
        </w:tc>
        <w:tc>
          <w:tcPr>
            <w:tcW w:w="66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2,979,850</w:t>
            </w:r>
          </w:p>
        </w:tc>
      </w:tr>
      <w:tr>
        <w:trPr>
          <w:trHeight w:val="202"/>
        </w:trPr>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40,621</w:t>
            </w: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4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4,955,762</w:t>
            </w:r>
          </w:p>
        </w:tc>
        <w:tc>
          <w:tcPr>
            <w:tcW w:w="1560" w:type="dxa"/>
            <w:vAlign w:val="bottom"/>
          </w:tcPr>
          <w:p>
            <w:pPr>
              <w:jc w:val="right"/>
              <w:spacing w:after="0"/>
              <w:rPr>
                <w:sz w:val="20"/>
                <w:szCs w:val="20"/>
                <w:color w:val="auto"/>
              </w:rPr>
            </w:pPr>
            <w:r>
              <w:rPr>
                <w:rFonts w:ascii="Arial" w:cs="Arial" w:eastAsia="Arial" w:hAnsi="Arial"/>
                <w:sz w:val="14"/>
                <w:szCs w:val="14"/>
                <w:color w:val="auto"/>
              </w:rPr>
              <w:t>37,556</w:t>
            </w:r>
          </w:p>
        </w:tc>
        <w:tc>
          <w:tcPr>
            <w:tcW w:w="1580" w:type="dxa"/>
            <w:vAlign w:val="bottom"/>
          </w:tcPr>
          <w:p>
            <w:pPr>
              <w:jc w:val="right"/>
              <w:spacing w:after="0"/>
              <w:rPr>
                <w:sz w:val="20"/>
                <w:szCs w:val="20"/>
                <w:color w:val="auto"/>
              </w:rPr>
            </w:pPr>
            <w:r>
              <w:rPr>
                <w:rFonts w:ascii="Arial" w:cs="Arial" w:eastAsia="Arial" w:hAnsi="Arial"/>
                <w:sz w:val="14"/>
                <w:szCs w:val="14"/>
                <w:color w:val="auto"/>
              </w:rPr>
              <w:t>(5)</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4,581,832</w:t>
            </w:r>
          </w:p>
        </w:tc>
      </w:tr>
      <w:tr>
        <w:trPr>
          <w:trHeight w:val="202"/>
        </w:trPr>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42,088</w:t>
            </w:r>
          </w:p>
        </w:tc>
        <w:tc>
          <w:tcPr>
            <w:tcW w:w="1160" w:type="dxa"/>
            <w:vAlign w:val="bottom"/>
          </w:tcPr>
          <w:p>
            <w:pPr>
              <w:jc w:val="right"/>
              <w:spacing w:after="0"/>
              <w:rPr>
                <w:sz w:val="20"/>
                <w:szCs w:val="20"/>
                <w:color w:val="auto"/>
              </w:rPr>
            </w:pPr>
            <w:r>
              <w:rPr>
                <w:rFonts w:ascii="Arial" w:cs="Arial" w:eastAsia="Arial" w:hAnsi="Arial"/>
                <w:sz w:val="14"/>
                <w:szCs w:val="14"/>
                <w:color w:val="auto"/>
              </w:rPr>
              <w:t>(6)</w:t>
            </w:r>
          </w:p>
        </w:tc>
        <w:tc>
          <w:tcPr>
            <w:tcW w:w="4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5,134,736</w:t>
            </w:r>
          </w:p>
        </w:tc>
        <w:tc>
          <w:tcPr>
            <w:tcW w:w="1560" w:type="dxa"/>
            <w:vAlign w:val="bottom"/>
          </w:tcPr>
          <w:p>
            <w:pPr>
              <w:jc w:val="right"/>
              <w:spacing w:after="0"/>
              <w:rPr>
                <w:sz w:val="20"/>
                <w:szCs w:val="20"/>
                <w:color w:val="auto"/>
              </w:rPr>
            </w:pPr>
            <w:r>
              <w:rPr>
                <w:rFonts w:ascii="Arial" w:cs="Arial" w:eastAsia="Arial" w:hAnsi="Arial"/>
                <w:sz w:val="14"/>
                <w:szCs w:val="14"/>
                <w:color w:val="auto"/>
              </w:rPr>
              <w:t>21,434</w:t>
            </w:r>
          </w:p>
        </w:tc>
        <w:tc>
          <w:tcPr>
            <w:tcW w:w="1580" w:type="dxa"/>
            <w:vAlign w:val="bottom"/>
          </w:tcPr>
          <w:p>
            <w:pPr>
              <w:jc w:val="right"/>
              <w:spacing w:after="0"/>
              <w:rPr>
                <w:sz w:val="20"/>
                <w:szCs w:val="20"/>
                <w:color w:val="auto"/>
              </w:rPr>
            </w:pPr>
            <w:r>
              <w:rPr>
                <w:rFonts w:ascii="Arial" w:cs="Arial" w:eastAsia="Arial" w:hAnsi="Arial"/>
                <w:sz w:val="14"/>
                <w:szCs w:val="14"/>
                <w:color w:val="auto"/>
              </w:rPr>
              <w:t>(7)</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2,614,948</w:t>
            </w:r>
          </w:p>
        </w:tc>
      </w:tr>
      <w:tr>
        <w:trPr>
          <w:trHeight w:val="202"/>
        </w:trPr>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35,493</w:t>
            </w:r>
          </w:p>
        </w:tc>
        <w:tc>
          <w:tcPr>
            <w:tcW w:w="1580" w:type="dxa"/>
            <w:vAlign w:val="bottom"/>
          </w:tcPr>
          <w:p>
            <w:pPr>
              <w:jc w:val="right"/>
              <w:spacing w:after="0"/>
              <w:rPr>
                <w:sz w:val="20"/>
                <w:szCs w:val="20"/>
                <w:color w:val="auto"/>
              </w:rPr>
            </w:pPr>
            <w:r>
              <w:rPr>
                <w:rFonts w:ascii="Arial" w:cs="Arial" w:eastAsia="Arial" w:hAnsi="Arial"/>
                <w:sz w:val="14"/>
                <w:szCs w:val="14"/>
                <w:color w:val="auto"/>
              </w:rPr>
              <w:t>(8)</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4,330,146</w:t>
            </w:r>
          </w:p>
        </w:tc>
      </w:tr>
      <w:tr>
        <w:trPr>
          <w:trHeight w:val="202"/>
        </w:trPr>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35,493</w:t>
            </w:r>
          </w:p>
        </w:tc>
        <w:tc>
          <w:tcPr>
            <w:tcW w:w="1580" w:type="dxa"/>
            <w:vAlign w:val="bottom"/>
          </w:tcPr>
          <w:p>
            <w:pPr>
              <w:jc w:val="right"/>
              <w:spacing w:after="0"/>
              <w:rPr>
                <w:sz w:val="20"/>
                <w:szCs w:val="20"/>
                <w:color w:val="auto"/>
              </w:rPr>
            </w:pPr>
            <w:r>
              <w:rPr>
                <w:rFonts w:ascii="Arial" w:cs="Arial" w:eastAsia="Arial" w:hAnsi="Arial"/>
                <w:sz w:val="14"/>
                <w:szCs w:val="14"/>
                <w:color w:val="auto"/>
              </w:rPr>
              <w:t>(9)</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4,330,146</w:t>
            </w:r>
          </w:p>
        </w:tc>
      </w:tr>
      <w:tr>
        <w:trPr>
          <w:trHeight w:val="202"/>
        </w:trPr>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30,296</w:t>
            </w:r>
          </w:p>
        </w:tc>
        <w:tc>
          <w:tcPr>
            <w:tcW w:w="1580" w:type="dxa"/>
            <w:vAlign w:val="bottom"/>
          </w:tcPr>
          <w:p>
            <w:pPr>
              <w:jc w:val="right"/>
              <w:spacing w:after="0"/>
              <w:rPr>
                <w:sz w:val="20"/>
                <w:szCs w:val="20"/>
                <w:color w:val="auto"/>
              </w:rPr>
            </w:pPr>
            <w:r>
              <w:rPr>
                <w:rFonts w:ascii="Arial" w:cs="Arial" w:eastAsia="Arial" w:hAnsi="Arial"/>
                <w:sz w:val="14"/>
                <w:szCs w:val="14"/>
                <w:color w:val="auto"/>
              </w:rPr>
              <w:t>(10)</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3,696,112</w:t>
            </w:r>
          </w:p>
        </w:tc>
      </w:tr>
      <w:tr>
        <w:trPr>
          <w:trHeight w:val="202"/>
        </w:trPr>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10,522</w:t>
            </w:r>
          </w:p>
        </w:tc>
        <w:tc>
          <w:tcPr>
            <w:tcW w:w="1580" w:type="dxa"/>
            <w:vAlign w:val="bottom"/>
          </w:tcPr>
          <w:p>
            <w:pPr>
              <w:jc w:val="right"/>
              <w:spacing w:after="0"/>
              <w:rPr>
                <w:sz w:val="20"/>
                <w:szCs w:val="20"/>
                <w:color w:val="auto"/>
              </w:rPr>
            </w:pPr>
            <w:r>
              <w:rPr>
                <w:rFonts w:ascii="Arial" w:cs="Arial" w:eastAsia="Arial" w:hAnsi="Arial"/>
                <w:sz w:val="14"/>
                <w:szCs w:val="14"/>
                <w:color w:val="auto"/>
              </w:rPr>
              <w:t>(11)</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1,283,684</w:t>
            </w:r>
          </w:p>
        </w:tc>
      </w:tr>
      <w:tr>
        <w:trPr>
          <w:trHeight w:val="202"/>
        </w:trPr>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10,522</w:t>
            </w:r>
          </w:p>
        </w:tc>
        <w:tc>
          <w:tcPr>
            <w:tcW w:w="1580" w:type="dxa"/>
            <w:vAlign w:val="bottom"/>
          </w:tcPr>
          <w:p>
            <w:pPr>
              <w:jc w:val="right"/>
              <w:spacing w:after="0"/>
              <w:rPr>
                <w:sz w:val="20"/>
                <w:szCs w:val="20"/>
                <w:color w:val="auto"/>
              </w:rPr>
            </w:pPr>
            <w:r>
              <w:rPr>
                <w:rFonts w:ascii="Arial" w:cs="Arial" w:eastAsia="Arial" w:hAnsi="Arial"/>
                <w:sz w:val="14"/>
                <w:szCs w:val="14"/>
                <w:color w:val="auto"/>
              </w:rPr>
              <w:t>(12)</w:t>
            </w:r>
          </w:p>
        </w:tc>
        <w:tc>
          <w:tcPr>
            <w:tcW w:w="6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1,283,684</w:t>
            </w:r>
          </w:p>
        </w:tc>
      </w:tr>
      <w:tr>
        <w:trPr>
          <w:trHeight w:val="205"/>
        </w:trPr>
        <w:tc>
          <w:tcPr>
            <w:tcW w:w="1480" w:type="dxa"/>
            <w:vAlign w:val="bottom"/>
            <w:tcBorders>
              <w:bottom w:val="single" w:sz="8" w:color="B6B6B6"/>
            </w:tcBorders>
          </w:tcPr>
          <w:p>
            <w:pPr>
              <w:spacing w:after="0"/>
              <w:rPr>
                <w:sz w:val="17"/>
                <w:szCs w:val="17"/>
                <w:color w:val="auto"/>
              </w:rPr>
            </w:pPr>
          </w:p>
        </w:tc>
        <w:tc>
          <w:tcPr>
            <w:tcW w:w="12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spacing w:after="0"/>
              <w:rPr>
                <w:sz w:val="17"/>
                <w:szCs w:val="17"/>
                <w:color w:val="auto"/>
              </w:rPr>
            </w:pPr>
          </w:p>
        </w:tc>
        <w:tc>
          <w:tcPr>
            <w:tcW w:w="4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spacing w:after="0"/>
              <w:rPr>
                <w:sz w:val="17"/>
                <w:szCs w:val="17"/>
                <w:color w:val="auto"/>
              </w:rPr>
            </w:pPr>
          </w:p>
        </w:tc>
        <w:tc>
          <w:tcPr>
            <w:tcW w:w="15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18,161</w:t>
            </w:r>
          </w:p>
        </w:tc>
        <w:tc>
          <w:tcPr>
            <w:tcW w:w="15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w:t>
            </w:r>
          </w:p>
        </w:tc>
        <w:tc>
          <w:tcPr>
            <w:tcW w:w="660" w:type="dxa"/>
            <w:vAlign w:val="bottom"/>
            <w:tcBorders>
              <w:bottom w:val="single" w:sz="8" w:color="B6B6B6"/>
            </w:tcBorders>
          </w:tcPr>
          <w:p>
            <w:pPr>
              <w:spacing w:after="0"/>
              <w:rPr>
                <w:sz w:val="17"/>
                <w:szCs w:val="17"/>
                <w:color w:val="auto"/>
              </w:rPr>
            </w:pPr>
          </w:p>
        </w:tc>
        <w:tc>
          <w:tcPr>
            <w:tcW w:w="13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2,215,642</w:t>
            </w:r>
          </w:p>
        </w:tc>
      </w:tr>
      <w:tr>
        <w:trPr>
          <w:trHeight w:val="191"/>
        </w:trPr>
        <w:tc>
          <w:tcPr>
            <w:tcW w:w="1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Manish Bhatia</w:t>
            </w: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6,517</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w:t>
            </w:r>
          </w:p>
        </w:tc>
        <w:tc>
          <w:tcPr>
            <w:tcW w:w="440" w:type="dxa"/>
            <w:vAlign w:val="bottom"/>
            <w:shd w:val="clear" w:color="auto" w:fill="F2F2F2"/>
          </w:tcPr>
          <w:p>
            <w:pPr>
              <w:spacing w:after="0"/>
              <w:rPr>
                <w:sz w:val="16"/>
                <w:szCs w:val="16"/>
                <w:color w:val="auto"/>
              </w:rPr>
            </w:pPr>
          </w:p>
        </w:tc>
        <w:tc>
          <w:tcPr>
            <w:tcW w:w="11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795,074</w:t>
            </w: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26,002</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w:t>
            </w:r>
          </w:p>
        </w:tc>
        <w:tc>
          <w:tcPr>
            <w:tcW w:w="660" w:type="dxa"/>
            <w:vAlign w:val="bottom"/>
            <w:shd w:val="clear" w:color="auto" w:fill="F2F2F2"/>
          </w:tcPr>
          <w:p>
            <w:pPr>
              <w:spacing w:after="0"/>
              <w:rPr>
                <w:sz w:val="16"/>
                <w:szCs w:val="16"/>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3,172,244</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43,011</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w:t>
            </w: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5,247,342</w:t>
            </w: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39,980</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4,877,560</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44,426</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w:t>
            </w: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5,419,972</w:t>
            </w: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22,818</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2,783,796</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37,581</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4,584,882</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37,581</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4,584,882</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32,079</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3,913,638</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11,106</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1,354,932</w:t>
            </w:r>
          </w:p>
        </w:tc>
      </w:tr>
      <w:tr>
        <w:trPr>
          <w:trHeight w:val="202"/>
        </w:trPr>
        <w:tc>
          <w:tcPr>
            <w:tcW w:w="1480" w:type="dxa"/>
            <w:vAlign w:val="bottom"/>
            <w:shd w:val="clear" w:color="auto" w:fill="F2F2F2"/>
          </w:tcPr>
          <w:p>
            <w:pPr>
              <w:spacing w:after="0"/>
              <w:rPr>
                <w:sz w:val="17"/>
                <w:szCs w:val="17"/>
                <w:color w:val="auto"/>
              </w:rPr>
            </w:pPr>
          </w:p>
        </w:tc>
        <w:tc>
          <w:tcPr>
            <w:tcW w:w="1260" w:type="dxa"/>
            <w:vAlign w:val="bottom"/>
            <w:shd w:val="clear" w:color="auto" w:fill="F2F2F2"/>
          </w:tcPr>
          <w:p>
            <w:pPr>
              <w:spacing w:after="0"/>
              <w:rPr>
                <w:sz w:val="17"/>
                <w:szCs w:val="17"/>
                <w:color w:val="auto"/>
              </w:rPr>
            </w:pPr>
          </w:p>
        </w:tc>
        <w:tc>
          <w:tcPr>
            <w:tcW w:w="1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11,106</w:t>
            </w:r>
          </w:p>
        </w:tc>
        <w:tc>
          <w:tcPr>
            <w:tcW w:w="15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w:t>
            </w:r>
          </w:p>
        </w:tc>
        <w:tc>
          <w:tcPr>
            <w:tcW w:w="660" w:type="dxa"/>
            <w:vAlign w:val="bottom"/>
            <w:shd w:val="clear" w:color="auto" w:fill="F2F2F2"/>
          </w:tcPr>
          <w:p>
            <w:pPr>
              <w:spacing w:after="0"/>
              <w:rPr>
                <w:sz w:val="17"/>
                <w:szCs w:val="17"/>
                <w:color w:val="auto"/>
              </w:rPr>
            </w:pPr>
          </w:p>
        </w:tc>
        <w:tc>
          <w:tcPr>
            <w:tcW w:w="13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1,354,932</w:t>
            </w:r>
          </w:p>
        </w:tc>
      </w:tr>
      <w:tr>
        <w:trPr>
          <w:trHeight w:val="205"/>
        </w:trPr>
        <w:tc>
          <w:tcPr>
            <w:tcW w:w="1480" w:type="dxa"/>
            <w:vAlign w:val="bottom"/>
            <w:tcBorders>
              <w:bottom w:val="single" w:sz="8" w:color="B6B6B6"/>
            </w:tcBorders>
            <w:shd w:val="clear" w:color="auto" w:fill="F2F2F2"/>
          </w:tcPr>
          <w:p>
            <w:pPr>
              <w:spacing w:after="0"/>
              <w:rPr>
                <w:sz w:val="17"/>
                <w:szCs w:val="17"/>
                <w:color w:val="auto"/>
              </w:rPr>
            </w:pPr>
          </w:p>
        </w:tc>
        <w:tc>
          <w:tcPr>
            <w:tcW w:w="1260" w:type="dxa"/>
            <w:vAlign w:val="bottom"/>
            <w:tcBorders>
              <w:bottom w:val="single" w:sz="8" w:color="B6B6B6"/>
            </w:tcBorders>
            <w:shd w:val="clear" w:color="auto" w:fill="F2F2F2"/>
          </w:tcPr>
          <w:p>
            <w:pPr>
              <w:spacing w:after="0"/>
              <w:rPr>
                <w:sz w:val="17"/>
                <w:szCs w:val="17"/>
                <w:color w:val="auto"/>
              </w:rPr>
            </w:pPr>
          </w:p>
        </w:tc>
        <w:tc>
          <w:tcPr>
            <w:tcW w:w="1160" w:type="dxa"/>
            <w:vAlign w:val="bottom"/>
            <w:tcBorders>
              <w:bottom w:val="single" w:sz="8" w:color="B6B6B6"/>
            </w:tcBorders>
            <w:shd w:val="clear" w:color="auto" w:fill="F2F2F2"/>
          </w:tcPr>
          <w:p>
            <w:pPr>
              <w:spacing w:after="0"/>
              <w:rPr>
                <w:sz w:val="17"/>
                <w:szCs w:val="17"/>
                <w:color w:val="auto"/>
              </w:rPr>
            </w:pPr>
          </w:p>
        </w:tc>
        <w:tc>
          <w:tcPr>
            <w:tcW w:w="440" w:type="dxa"/>
            <w:vAlign w:val="bottom"/>
            <w:tcBorders>
              <w:bottom w:val="single" w:sz="8" w:color="B6B6B6"/>
            </w:tcBorders>
            <w:shd w:val="clear" w:color="auto" w:fill="F2F2F2"/>
          </w:tcPr>
          <w:p>
            <w:pPr>
              <w:spacing w:after="0"/>
              <w:rPr>
                <w:sz w:val="17"/>
                <w:szCs w:val="17"/>
                <w:color w:val="auto"/>
              </w:rPr>
            </w:pPr>
          </w:p>
        </w:tc>
        <w:tc>
          <w:tcPr>
            <w:tcW w:w="1140" w:type="dxa"/>
            <w:vAlign w:val="bottom"/>
            <w:tcBorders>
              <w:bottom w:val="single" w:sz="8" w:color="B6B6B6"/>
            </w:tcBorders>
            <w:shd w:val="clear" w:color="auto" w:fill="F2F2F2"/>
          </w:tcPr>
          <w:p>
            <w:pPr>
              <w:spacing w:after="0"/>
              <w:rPr>
                <w:sz w:val="17"/>
                <w:szCs w:val="17"/>
                <w:color w:val="auto"/>
              </w:rPr>
            </w:pPr>
          </w:p>
        </w:tc>
        <w:tc>
          <w:tcPr>
            <w:tcW w:w="156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4"/>
                <w:szCs w:val="14"/>
                <w:color w:val="auto"/>
              </w:rPr>
              <w:t>19,170</w:t>
            </w:r>
          </w:p>
        </w:tc>
        <w:tc>
          <w:tcPr>
            <w:tcW w:w="158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4"/>
                <w:szCs w:val="14"/>
                <w:color w:val="auto"/>
              </w:rPr>
              <w:t>(13)</w:t>
            </w:r>
          </w:p>
        </w:tc>
        <w:tc>
          <w:tcPr>
            <w:tcW w:w="660" w:type="dxa"/>
            <w:vAlign w:val="bottom"/>
            <w:tcBorders>
              <w:bottom w:val="single" w:sz="8" w:color="B6B6B6"/>
            </w:tcBorders>
            <w:shd w:val="clear" w:color="auto" w:fill="F2F2F2"/>
          </w:tcPr>
          <w:p>
            <w:pPr>
              <w:spacing w:after="0"/>
              <w:rPr>
                <w:sz w:val="17"/>
                <w:szCs w:val="17"/>
                <w:color w:val="auto"/>
              </w:rPr>
            </w:pPr>
          </w:p>
        </w:tc>
        <w:tc>
          <w:tcPr>
            <w:tcW w:w="1360" w:type="dxa"/>
            <w:vAlign w:val="bottom"/>
            <w:tcBorders>
              <w:bottom w:val="single" w:sz="8" w:color="B6B6B6"/>
            </w:tcBorders>
            <w:shd w:val="clear" w:color="auto" w:fill="F2F2F2"/>
          </w:tcPr>
          <w:p>
            <w:pPr>
              <w:jc w:val="right"/>
              <w:ind w:right="8"/>
              <w:spacing w:after="0"/>
              <w:rPr>
                <w:sz w:val="20"/>
                <w:szCs w:val="20"/>
                <w:color w:val="auto"/>
              </w:rPr>
            </w:pPr>
            <w:r>
              <w:rPr>
                <w:rFonts w:ascii="Arial" w:cs="Arial" w:eastAsia="Arial" w:hAnsi="Arial"/>
                <w:sz w:val="14"/>
                <w:szCs w:val="14"/>
                <w:color w:val="auto"/>
              </w:rPr>
              <w:t>2,338,740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Borders>
              <w:bottom w:val="single" w:sz="8" w:color="BD03F7"/>
            </w:tcBorders>
            <w:gridSpan w:val="2"/>
          </w:tcPr>
          <w:p>
            <w:pPr>
              <w:spacing w:after="0"/>
              <w:rPr>
                <w:sz w:val="20"/>
                <w:szCs w:val="20"/>
                <w:color w:val="auto"/>
              </w:rPr>
            </w:pPr>
            <w:r>
              <w:rPr>
                <w:rFonts w:ascii="Arial" w:cs="Arial" w:eastAsia="Arial" w:hAnsi="Arial"/>
                <w:sz w:val="16"/>
                <w:szCs w:val="16"/>
                <w:b w:val="1"/>
                <w:bCs w:val="1"/>
                <w:color w:val="BD03F7"/>
                <w:w w:val="97"/>
              </w:rPr>
              <w:t>Table of Contents</w:t>
            </w:r>
          </w:p>
        </w:tc>
        <w:tc>
          <w:tcPr>
            <w:tcW w:w="0" w:type="dxa"/>
            <w:vAlign w:val="bottom"/>
          </w:tcPr>
          <w:p>
            <w:pPr>
              <w:spacing w:after="0"/>
              <w:rPr>
                <w:sz w:val="1"/>
                <w:szCs w:val="1"/>
                <w:color w:val="auto"/>
              </w:rPr>
            </w:pPr>
          </w:p>
        </w:tc>
      </w:tr>
      <w:tr>
        <w:trPr>
          <w:trHeight w:val="853"/>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BD03F7"/>
            </w:tcBorders>
          </w:tcPr>
          <w:p>
            <w:pPr>
              <w:spacing w:after="0"/>
              <w:rPr>
                <w:sz w:val="24"/>
                <w:szCs w:val="24"/>
                <w:color w:val="auto"/>
              </w:rPr>
            </w:pPr>
          </w:p>
        </w:tc>
        <w:tc>
          <w:tcPr>
            <w:tcW w:w="540" w:type="dxa"/>
            <w:vAlign w:val="bottom"/>
            <w:tcBorders>
              <w:bottom w:val="single" w:sz="8" w:color="BD03F7"/>
            </w:tcBorders>
          </w:tcPr>
          <w:p>
            <w:pPr>
              <w:spacing w:after="0"/>
              <w:rPr>
                <w:sz w:val="24"/>
                <w:szCs w:val="24"/>
                <w:color w:val="auto"/>
              </w:rPr>
            </w:pPr>
          </w:p>
        </w:tc>
        <w:tc>
          <w:tcPr>
            <w:tcW w:w="1560" w:type="dxa"/>
            <w:vAlign w:val="bottom"/>
            <w:tcBorders>
              <w:bottom w:val="single" w:sz="8" w:color="BD03F7"/>
            </w:tcBorders>
          </w:tcPr>
          <w:p>
            <w:pPr>
              <w:spacing w:after="0"/>
              <w:rPr>
                <w:sz w:val="24"/>
                <w:szCs w:val="24"/>
                <w:color w:val="auto"/>
              </w:rPr>
            </w:pPr>
          </w:p>
        </w:tc>
        <w:tc>
          <w:tcPr>
            <w:tcW w:w="2560" w:type="dxa"/>
            <w:vAlign w:val="bottom"/>
            <w:tcBorders>
              <w:bottom w:val="single" w:sz="8" w:color="BD03F7"/>
            </w:tcBorders>
          </w:tcPr>
          <w:p>
            <w:pPr>
              <w:jc w:val="right"/>
              <w:ind w:right="1369"/>
              <w:spacing w:after="0"/>
              <w:rPr>
                <w:sz w:val="20"/>
                <w:szCs w:val="20"/>
                <w:color w:val="auto"/>
              </w:rPr>
            </w:pPr>
            <w:r>
              <w:rPr>
                <w:rFonts w:ascii="Arial" w:cs="Arial" w:eastAsia="Arial" w:hAnsi="Arial"/>
                <w:sz w:val="14"/>
                <w:szCs w:val="14"/>
                <w:b w:val="1"/>
                <w:bCs w:val="1"/>
                <w:color w:val="auto"/>
              </w:rPr>
              <w:t>Stock Awards</w:t>
            </w:r>
          </w:p>
        </w:tc>
        <w:tc>
          <w:tcPr>
            <w:tcW w:w="600" w:type="dxa"/>
            <w:vAlign w:val="bottom"/>
            <w:tcBorders>
              <w:bottom w:val="single" w:sz="8" w:color="BD03F7"/>
            </w:tcBorders>
          </w:tcPr>
          <w:p>
            <w:pPr>
              <w:spacing w:after="0"/>
              <w:rPr>
                <w:sz w:val="24"/>
                <w:szCs w:val="24"/>
                <w:color w:val="auto"/>
              </w:rPr>
            </w:pPr>
          </w:p>
        </w:tc>
        <w:tc>
          <w:tcPr>
            <w:tcW w:w="1260" w:type="dxa"/>
            <w:vAlign w:val="bottom"/>
            <w:tcBorders>
              <w:bottom w:val="single" w:sz="8" w:color="BD03F7"/>
            </w:tcBorders>
          </w:tcPr>
          <w:p>
            <w:pPr>
              <w:spacing w:after="0"/>
              <w:rPr>
                <w:sz w:val="24"/>
                <w:szCs w:val="24"/>
                <w:color w:val="auto"/>
              </w:rPr>
            </w:pPr>
          </w:p>
        </w:tc>
        <w:tc>
          <w:tcPr>
            <w:tcW w:w="740" w:type="dxa"/>
            <w:vAlign w:val="bottom"/>
            <w:tcBorders>
              <w:bottom w:val="single" w:sz="8" w:color="BD03F7"/>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Shares or Units of Stock That Have Not Vested</w:t>
            </w:r>
          </w:p>
        </w:tc>
        <w:tc>
          <w:tcPr>
            <w:tcW w:w="2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Awards: Market or Payout</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tcBorders>
              <w:bottom w:val="single" w:sz="8" w:color="BD03F7"/>
            </w:tcBorders>
          </w:tcPr>
          <w:p>
            <w:pPr>
              <w:spacing w:after="0"/>
              <w:rPr>
                <w:sz w:val="4"/>
                <w:szCs w:val="4"/>
                <w:color w:val="auto"/>
              </w:rPr>
            </w:pPr>
          </w:p>
        </w:tc>
        <w:tc>
          <w:tcPr>
            <w:tcW w:w="540" w:type="dxa"/>
            <w:vAlign w:val="bottom"/>
            <w:tcBorders>
              <w:bottom w:val="single" w:sz="8" w:color="BD03F7"/>
            </w:tcBorders>
          </w:tcPr>
          <w:p>
            <w:pPr>
              <w:spacing w:after="0"/>
              <w:rPr>
                <w:sz w:val="4"/>
                <w:szCs w:val="4"/>
                <w:color w:val="auto"/>
              </w:rPr>
            </w:pPr>
          </w:p>
        </w:tc>
        <w:tc>
          <w:tcPr>
            <w:tcW w:w="1560" w:type="dxa"/>
            <w:vAlign w:val="bottom"/>
            <w:tcBorders>
              <w:bottom w:val="single" w:sz="8" w:color="BD03F7"/>
            </w:tcBorders>
          </w:tcPr>
          <w:p>
            <w:pPr>
              <w:spacing w:after="0"/>
              <w:rPr>
                <w:sz w:val="4"/>
                <w:szCs w:val="4"/>
                <w:color w:val="auto"/>
              </w:rPr>
            </w:pPr>
          </w:p>
        </w:tc>
        <w:tc>
          <w:tcPr>
            <w:tcW w:w="3160" w:type="dxa"/>
            <w:vAlign w:val="bottom"/>
            <w:gridSpan w:val="2"/>
            <w:vMerge w:val="restart"/>
          </w:tcPr>
          <w:p>
            <w:pPr>
              <w:jc w:val="center"/>
              <w:spacing w:after="0" w:line="99" w:lineRule="exact"/>
              <w:rPr>
                <w:sz w:val="20"/>
                <w:szCs w:val="20"/>
                <w:color w:val="auto"/>
              </w:rPr>
            </w:pPr>
            <w:r>
              <w:rPr>
                <w:rFonts w:ascii="Arial" w:cs="Arial" w:eastAsia="Arial" w:hAnsi="Arial"/>
                <w:sz w:val="11"/>
                <w:szCs w:val="11"/>
                <w:b w:val="1"/>
                <w:bCs w:val="1"/>
                <w:color w:val="auto"/>
              </w:rPr>
              <w:t>Equity Incentive Plan Awards: Number of</w:t>
            </w:r>
          </w:p>
        </w:tc>
        <w:tc>
          <w:tcPr>
            <w:tcW w:w="2600" w:type="dxa"/>
            <w:vAlign w:val="bottom"/>
            <w:gridSpan w:val="3"/>
            <w:vMerge w:val="restart"/>
          </w:tcPr>
          <w:p>
            <w:pPr>
              <w:jc w:val="center"/>
              <w:ind w:right="600"/>
              <w:spacing w:after="0" w:line="99" w:lineRule="exact"/>
              <w:rPr>
                <w:sz w:val="20"/>
                <w:szCs w:val="20"/>
                <w:color w:val="auto"/>
              </w:rPr>
            </w:pPr>
            <w:r>
              <w:rPr>
                <w:rFonts w:ascii="Arial" w:cs="Arial" w:eastAsia="Arial" w:hAnsi="Arial"/>
                <w:sz w:val="11"/>
                <w:szCs w:val="11"/>
                <w:b w:val="1"/>
                <w:bCs w:val="1"/>
                <w:color w:val="auto"/>
              </w:rPr>
              <w:t>Value of Unearned Shares,</w:t>
            </w:r>
          </w:p>
        </w:tc>
        <w:tc>
          <w:tcPr>
            <w:tcW w:w="0" w:type="dxa"/>
            <w:vAlign w:val="bottom"/>
          </w:tcPr>
          <w:p>
            <w:pPr>
              <w:spacing w:after="0"/>
              <w:rPr>
                <w:sz w:val="1"/>
                <w:szCs w:val="1"/>
                <w:color w:val="auto"/>
              </w:rPr>
            </w:pPr>
          </w:p>
        </w:tc>
      </w:tr>
      <w:tr>
        <w:trPr>
          <w:trHeight w:val="24"/>
        </w:trPr>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60" w:type="dxa"/>
            <w:vAlign w:val="bottom"/>
            <w:gridSpan w:val="2"/>
            <w:vMerge w:val="continue"/>
          </w:tcPr>
          <w:p>
            <w:pPr>
              <w:spacing w:after="0"/>
              <w:rPr>
                <w:sz w:val="2"/>
                <w:szCs w:val="2"/>
                <w:color w:val="auto"/>
              </w:rPr>
            </w:pPr>
          </w:p>
        </w:tc>
        <w:tc>
          <w:tcPr>
            <w:tcW w:w="26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Market Value($)(1)</w:t>
            </w:r>
          </w:p>
        </w:tc>
        <w:tc>
          <w:tcPr>
            <w:tcW w:w="3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rPr>
              <w:t>Unearned Shares, Units or Other Rights That</w:t>
            </w:r>
          </w:p>
        </w:tc>
        <w:tc>
          <w:tcPr>
            <w:tcW w:w="2600" w:type="dxa"/>
            <w:vAlign w:val="bottom"/>
            <w:gridSpan w:val="3"/>
          </w:tcPr>
          <w:p>
            <w:pPr>
              <w:jc w:val="center"/>
              <w:ind w:right="620"/>
              <w:spacing w:after="0" w:line="144" w:lineRule="exact"/>
              <w:rPr>
                <w:sz w:val="20"/>
                <w:szCs w:val="20"/>
                <w:color w:val="auto"/>
              </w:rPr>
            </w:pPr>
            <w:r>
              <w:rPr>
                <w:rFonts w:ascii="Arial" w:cs="Arial" w:eastAsia="Arial" w:hAnsi="Arial"/>
                <w:sz w:val="14"/>
                <w:szCs w:val="14"/>
                <w:b w:val="1"/>
                <w:bCs w:val="1"/>
                <w:color w:val="auto"/>
              </w:rPr>
              <w:t>Units or Other Rights That</w:t>
            </w:r>
          </w:p>
        </w:tc>
        <w:tc>
          <w:tcPr>
            <w:tcW w:w="0" w:type="dxa"/>
            <w:vAlign w:val="bottom"/>
          </w:tcPr>
          <w:p>
            <w:pPr>
              <w:spacing w:after="0"/>
              <w:rPr>
                <w:sz w:val="1"/>
                <w:szCs w:val="1"/>
                <w:color w:val="auto"/>
              </w:rPr>
            </w:pPr>
          </w:p>
        </w:tc>
      </w:tr>
      <w:tr>
        <w:trPr>
          <w:trHeight w:val="188"/>
        </w:trPr>
        <w:tc>
          <w:tcPr>
            <w:tcW w:w="1520" w:type="dxa"/>
            <w:vAlign w:val="bottom"/>
            <w:tcBorders>
              <w:bottom w:val="single" w:sz="8" w:color="BD03F7"/>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Borders>
              <w:bottom w:val="single" w:sz="8" w:color="BD03F7"/>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BD03F7"/>
            </w:tcBorders>
          </w:tcPr>
          <w:p>
            <w:pPr>
              <w:spacing w:after="0"/>
              <w:rPr>
                <w:sz w:val="16"/>
                <w:szCs w:val="16"/>
                <w:color w:val="auto"/>
              </w:rPr>
            </w:pPr>
          </w:p>
        </w:tc>
        <w:tc>
          <w:tcPr>
            <w:tcW w:w="1560" w:type="dxa"/>
            <w:vAlign w:val="bottom"/>
            <w:tcBorders>
              <w:bottom w:val="single" w:sz="8" w:color="BD03F7"/>
            </w:tcBorders>
            <w:vMerge w:val="continue"/>
          </w:tcPr>
          <w:p>
            <w:pPr>
              <w:spacing w:after="0"/>
              <w:rPr>
                <w:sz w:val="16"/>
                <w:szCs w:val="16"/>
                <w:color w:val="auto"/>
              </w:rPr>
            </w:pPr>
          </w:p>
        </w:tc>
        <w:tc>
          <w:tcPr>
            <w:tcW w:w="2560" w:type="dxa"/>
            <w:vAlign w:val="bottom"/>
            <w:tcBorders>
              <w:bottom w:val="single" w:sz="8" w:color="BD03F7"/>
            </w:tcBorders>
          </w:tcPr>
          <w:p>
            <w:pPr>
              <w:jc w:val="center"/>
              <w:ind w:left="549"/>
              <w:spacing w:after="0"/>
              <w:rPr>
                <w:sz w:val="20"/>
                <w:szCs w:val="20"/>
                <w:color w:val="auto"/>
              </w:rPr>
            </w:pPr>
            <w:r>
              <w:rPr>
                <w:rFonts w:ascii="Arial" w:cs="Arial" w:eastAsia="Arial" w:hAnsi="Arial"/>
                <w:sz w:val="14"/>
                <w:szCs w:val="14"/>
                <w:b w:val="1"/>
                <w:bCs w:val="1"/>
                <w:color w:val="auto"/>
              </w:rPr>
              <w:t>Have Not Vested(#)</w:t>
            </w:r>
          </w:p>
        </w:tc>
        <w:tc>
          <w:tcPr>
            <w:tcW w:w="600" w:type="dxa"/>
            <w:vAlign w:val="bottom"/>
            <w:tcBorders>
              <w:bottom w:val="single" w:sz="8" w:color="BD03F7"/>
            </w:tcBorders>
          </w:tcPr>
          <w:p>
            <w:pPr>
              <w:spacing w:after="0"/>
              <w:rPr>
                <w:sz w:val="16"/>
                <w:szCs w:val="16"/>
                <w:color w:val="auto"/>
              </w:rPr>
            </w:pPr>
          </w:p>
        </w:tc>
        <w:tc>
          <w:tcPr>
            <w:tcW w:w="2000" w:type="dxa"/>
            <w:vAlign w:val="bottom"/>
            <w:tcBorders>
              <w:bottom w:val="single" w:sz="8" w:color="BD03F7"/>
            </w:tcBorders>
            <w:gridSpan w:val="2"/>
          </w:tcPr>
          <w:p>
            <w:pPr>
              <w:jc w:val="center"/>
              <w:spacing w:after="0"/>
              <w:rPr>
                <w:sz w:val="20"/>
                <w:szCs w:val="20"/>
                <w:color w:val="auto"/>
              </w:rPr>
            </w:pPr>
            <w:r>
              <w:rPr>
                <w:rFonts w:ascii="Arial" w:cs="Arial" w:eastAsia="Arial" w:hAnsi="Arial"/>
                <w:sz w:val="14"/>
                <w:szCs w:val="14"/>
                <w:b w:val="1"/>
                <w:bCs w:val="1"/>
                <w:color w:val="auto"/>
              </w:rPr>
              <w:t>Have Not Vested($)(1)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20" w:type="dxa"/>
            <w:vAlign w:val="bottom"/>
          </w:tcPr>
          <w:p>
            <w:pPr>
              <w:ind w:left="20"/>
              <w:spacing w:after="0"/>
              <w:rPr>
                <w:sz w:val="20"/>
                <w:szCs w:val="20"/>
                <w:color w:val="auto"/>
              </w:rPr>
            </w:pPr>
            <w:r>
              <w:rPr>
                <w:rFonts w:ascii="Arial" w:cs="Arial" w:eastAsia="Arial" w:hAnsi="Arial"/>
                <w:sz w:val="14"/>
                <w:szCs w:val="14"/>
                <w:color w:val="auto"/>
              </w:rPr>
              <w:t>Scott DeBoer</w:t>
            </w:r>
          </w:p>
        </w:tc>
        <w:tc>
          <w:tcPr>
            <w:tcW w:w="1860" w:type="dxa"/>
            <w:vAlign w:val="bottom"/>
            <w:gridSpan w:val="2"/>
          </w:tcPr>
          <w:p>
            <w:pPr>
              <w:jc w:val="right"/>
              <w:ind w:right="568"/>
              <w:spacing w:after="0"/>
              <w:rPr>
                <w:sz w:val="20"/>
                <w:szCs w:val="20"/>
                <w:color w:val="auto"/>
              </w:rPr>
            </w:pPr>
            <w:r>
              <w:rPr>
                <w:rFonts w:ascii="Arial" w:cs="Arial" w:eastAsia="Arial" w:hAnsi="Arial"/>
                <w:sz w:val="14"/>
                <w:szCs w:val="14"/>
                <w:color w:val="auto"/>
              </w:rPr>
              <w:t>5,135</w:t>
            </w: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560" w:type="dxa"/>
            <w:vAlign w:val="bottom"/>
          </w:tcPr>
          <w:p>
            <w:pPr>
              <w:jc w:val="right"/>
              <w:spacing w:after="0"/>
              <w:rPr>
                <w:sz w:val="20"/>
                <w:szCs w:val="20"/>
                <w:color w:val="auto"/>
              </w:rPr>
            </w:pPr>
            <w:r>
              <w:rPr>
                <w:rFonts w:ascii="Arial" w:cs="Arial" w:eastAsia="Arial" w:hAnsi="Arial"/>
                <w:sz w:val="14"/>
                <w:szCs w:val="14"/>
                <w:color w:val="auto"/>
              </w:rPr>
              <w:t>626,470</w:t>
            </w: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20,486</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2,499,292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1860" w:type="dxa"/>
            <w:vAlign w:val="bottom"/>
            <w:gridSpan w:val="2"/>
          </w:tcPr>
          <w:p>
            <w:pPr>
              <w:jc w:val="right"/>
              <w:ind w:right="568"/>
              <w:spacing w:after="0"/>
              <w:rPr>
                <w:sz w:val="20"/>
                <w:szCs w:val="20"/>
                <w:color w:val="auto"/>
              </w:rPr>
            </w:pPr>
            <w:r>
              <w:rPr>
                <w:rFonts w:ascii="Arial" w:cs="Arial" w:eastAsia="Arial" w:hAnsi="Arial"/>
                <w:sz w:val="14"/>
                <w:szCs w:val="14"/>
                <w:color w:val="auto"/>
              </w:rPr>
              <w:t>34,647</w:t>
            </w: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1560" w:type="dxa"/>
            <w:vAlign w:val="bottom"/>
          </w:tcPr>
          <w:p>
            <w:pPr>
              <w:jc w:val="right"/>
              <w:spacing w:after="0"/>
              <w:rPr>
                <w:sz w:val="20"/>
                <w:szCs w:val="20"/>
                <w:color w:val="auto"/>
              </w:rPr>
            </w:pPr>
            <w:r>
              <w:rPr>
                <w:rFonts w:ascii="Arial" w:cs="Arial" w:eastAsia="Arial" w:hAnsi="Arial"/>
                <w:sz w:val="14"/>
                <w:szCs w:val="14"/>
                <w:color w:val="auto"/>
              </w:rPr>
              <w:t>4,226,934</w:t>
            </w: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31,499</w:t>
            </w: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3,842,878</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1860" w:type="dxa"/>
            <w:vAlign w:val="bottom"/>
            <w:gridSpan w:val="2"/>
          </w:tcPr>
          <w:p>
            <w:pPr>
              <w:jc w:val="right"/>
              <w:ind w:right="568"/>
              <w:spacing w:after="0"/>
              <w:rPr>
                <w:sz w:val="20"/>
                <w:szCs w:val="20"/>
                <w:color w:val="auto"/>
              </w:rPr>
            </w:pPr>
            <w:r>
              <w:rPr>
                <w:rFonts w:ascii="Arial" w:cs="Arial" w:eastAsia="Arial" w:hAnsi="Arial"/>
                <w:sz w:val="14"/>
                <w:szCs w:val="14"/>
                <w:color w:val="auto"/>
              </w:rPr>
              <w:t>38,580</w:t>
            </w:r>
          </w:p>
        </w:tc>
        <w:tc>
          <w:tcPr>
            <w:tcW w:w="540" w:type="dxa"/>
            <w:vAlign w:val="bottom"/>
          </w:tcPr>
          <w:p>
            <w:pPr>
              <w:jc w:val="right"/>
              <w:spacing w:after="0"/>
              <w:rPr>
                <w:sz w:val="20"/>
                <w:szCs w:val="20"/>
                <w:color w:val="auto"/>
              </w:rPr>
            </w:pPr>
            <w:r>
              <w:rPr>
                <w:rFonts w:ascii="Arial" w:cs="Arial" w:eastAsia="Arial" w:hAnsi="Arial"/>
                <w:sz w:val="14"/>
                <w:szCs w:val="14"/>
                <w:color w:val="auto"/>
              </w:rPr>
              <w:t>(6)</w:t>
            </w:r>
          </w:p>
        </w:tc>
        <w:tc>
          <w:tcPr>
            <w:tcW w:w="1560" w:type="dxa"/>
            <w:vAlign w:val="bottom"/>
          </w:tcPr>
          <w:p>
            <w:pPr>
              <w:jc w:val="right"/>
              <w:spacing w:after="0"/>
              <w:rPr>
                <w:sz w:val="20"/>
                <w:szCs w:val="20"/>
                <w:color w:val="auto"/>
              </w:rPr>
            </w:pPr>
            <w:r>
              <w:rPr>
                <w:rFonts w:ascii="Arial" w:cs="Arial" w:eastAsia="Arial" w:hAnsi="Arial"/>
                <w:sz w:val="14"/>
                <w:szCs w:val="14"/>
                <w:color w:val="auto"/>
              </w:rPr>
              <w:t>4,706,760</w:t>
            </w: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17,977</w:t>
            </w: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2,193,194</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30,274</w:t>
            </w: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3,693,428</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30,274</w:t>
            </w: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3,693,428</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25,841</w:t>
            </w: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3,152,602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9,645</w:t>
            </w: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1,176,690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60" w:type="dxa"/>
            <w:vAlign w:val="bottom"/>
          </w:tcPr>
          <w:p>
            <w:pPr>
              <w:jc w:val="right"/>
              <w:ind w:right="929"/>
              <w:spacing w:after="0"/>
              <w:rPr>
                <w:sz w:val="20"/>
                <w:szCs w:val="20"/>
                <w:color w:val="auto"/>
              </w:rPr>
            </w:pPr>
            <w:r>
              <w:rPr>
                <w:rFonts w:ascii="Arial" w:cs="Arial" w:eastAsia="Arial" w:hAnsi="Arial"/>
                <w:sz w:val="14"/>
                <w:szCs w:val="14"/>
                <w:color w:val="auto"/>
              </w:rPr>
              <w:t>9,645</w:t>
            </w: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1,176,690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520" w:type="dxa"/>
            <w:vAlign w:val="bottom"/>
            <w:tcBorders>
              <w:bottom w:val="single" w:sz="8" w:color="B6B6B6"/>
            </w:tcBorders>
          </w:tcPr>
          <w:p>
            <w:pPr>
              <w:spacing w:after="0"/>
              <w:rPr>
                <w:sz w:val="17"/>
                <w:szCs w:val="17"/>
                <w:color w:val="auto"/>
              </w:rPr>
            </w:pPr>
          </w:p>
        </w:tc>
        <w:tc>
          <w:tcPr>
            <w:tcW w:w="80" w:type="dxa"/>
            <w:vAlign w:val="bottom"/>
            <w:tcBorders>
              <w:bottom w:val="single" w:sz="8" w:color="B6B6B6"/>
            </w:tcBorders>
          </w:tcPr>
          <w:p>
            <w:pPr>
              <w:spacing w:after="0"/>
              <w:rPr>
                <w:sz w:val="17"/>
                <w:szCs w:val="17"/>
                <w:color w:val="auto"/>
              </w:rPr>
            </w:pPr>
          </w:p>
        </w:tc>
        <w:tc>
          <w:tcPr>
            <w:tcW w:w="1780" w:type="dxa"/>
            <w:vAlign w:val="bottom"/>
            <w:tcBorders>
              <w:bottom w:val="single" w:sz="8" w:color="B6B6B6"/>
            </w:tcBorders>
          </w:tcPr>
          <w:p>
            <w:pPr>
              <w:spacing w:after="0"/>
              <w:rPr>
                <w:sz w:val="17"/>
                <w:szCs w:val="17"/>
                <w:color w:val="auto"/>
              </w:rPr>
            </w:pPr>
          </w:p>
        </w:tc>
        <w:tc>
          <w:tcPr>
            <w:tcW w:w="540" w:type="dxa"/>
            <w:vAlign w:val="bottom"/>
            <w:tcBorders>
              <w:bottom w:val="single" w:sz="8" w:color="B6B6B6"/>
            </w:tcBorders>
          </w:tcPr>
          <w:p>
            <w:pPr>
              <w:spacing w:after="0"/>
              <w:rPr>
                <w:sz w:val="17"/>
                <w:szCs w:val="17"/>
                <w:color w:val="auto"/>
              </w:rPr>
            </w:pPr>
          </w:p>
        </w:tc>
        <w:tc>
          <w:tcPr>
            <w:tcW w:w="1560" w:type="dxa"/>
            <w:vAlign w:val="bottom"/>
            <w:tcBorders>
              <w:bottom w:val="single" w:sz="8" w:color="B6B6B6"/>
            </w:tcBorders>
          </w:tcPr>
          <w:p>
            <w:pPr>
              <w:spacing w:after="0"/>
              <w:rPr>
                <w:sz w:val="17"/>
                <w:szCs w:val="17"/>
                <w:color w:val="auto"/>
              </w:rPr>
            </w:pPr>
          </w:p>
        </w:tc>
        <w:tc>
          <w:tcPr>
            <w:tcW w:w="2560" w:type="dxa"/>
            <w:vAlign w:val="bottom"/>
            <w:tcBorders>
              <w:bottom w:val="single" w:sz="8" w:color="B6B6B6"/>
            </w:tcBorders>
          </w:tcPr>
          <w:p>
            <w:pPr>
              <w:jc w:val="right"/>
              <w:ind w:right="929"/>
              <w:spacing w:after="0"/>
              <w:rPr>
                <w:sz w:val="20"/>
                <w:szCs w:val="20"/>
                <w:color w:val="auto"/>
              </w:rPr>
            </w:pPr>
            <w:r>
              <w:rPr>
                <w:rFonts w:ascii="Arial" w:cs="Arial" w:eastAsia="Arial" w:hAnsi="Arial"/>
                <w:sz w:val="14"/>
                <w:szCs w:val="14"/>
                <w:color w:val="auto"/>
              </w:rPr>
              <w:t>16,648</w:t>
            </w:r>
          </w:p>
        </w:tc>
        <w:tc>
          <w:tcPr>
            <w:tcW w:w="6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w:t>
            </w:r>
          </w:p>
        </w:tc>
        <w:tc>
          <w:tcPr>
            <w:tcW w:w="2000" w:type="dxa"/>
            <w:vAlign w:val="bottom"/>
            <w:tcBorders>
              <w:bottom w:val="single" w:sz="8" w:color="B6B6B6"/>
            </w:tcBorders>
            <w:gridSpan w:val="2"/>
          </w:tcPr>
          <w:p>
            <w:pPr>
              <w:jc w:val="right"/>
              <w:spacing w:after="0"/>
              <w:rPr>
                <w:sz w:val="20"/>
                <w:szCs w:val="20"/>
                <w:color w:val="auto"/>
              </w:rPr>
            </w:pPr>
            <w:r>
              <w:rPr>
                <w:rFonts w:ascii="Arial" w:cs="Arial" w:eastAsia="Arial" w:hAnsi="Arial"/>
                <w:sz w:val="14"/>
                <w:szCs w:val="14"/>
                <w:color w:val="auto"/>
              </w:rPr>
              <w:t>2,031,056</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520" w:type="dxa"/>
            <w:vAlign w:val="bottom"/>
            <w:shd w:val="clear" w:color="auto" w:fill="F2F2F2"/>
          </w:tcPr>
          <w:p>
            <w:pPr>
              <w:ind w:left="20"/>
              <w:spacing w:after="0"/>
              <w:rPr>
                <w:sz w:val="20"/>
                <w:szCs w:val="20"/>
                <w:color w:val="auto"/>
              </w:rPr>
            </w:pPr>
            <w:r>
              <w:rPr>
                <w:rFonts w:ascii="Arial" w:cs="Arial" w:eastAsia="Arial" w:hAnsi="Arial"/>
                <w:sz w:val="14"/>
                <w:szCs w:val="14"/>
                <w:color w:val="auto"/>
              </w:rPr>
              <w:t>Sumit Sadana</w:t>
            </w:r>
          </w:p>
        </w:tc>
        <w:tc>
          <w:tcPr>
            <w:tcW w:w="1860" w:type="dxa"/>
            <w:vAlign w:val="bottom"/>
            <w:gridSpan w:val="2"/>
            <w:shd w:val="clear" w:color="auto" w:fill="F2F2F2"/>
          </w:tcPr>
          <w:p>
            <w:pPr>
              <w:jc w:val="right"/>
              <w:ind w:right="568"/>
              <w:spacing w:after="0"/>
              <w:rPr>
                <w:sz w:val="20"/>
                <w:szCs w:val="20"/>
                <w:color w:val="auto"/>
              </w:rPr>
            </w:pPr>
            <w:r>
              <w:rPr>
                <w:rFonts w:ascii="Arial" w:cs="Arial" w:eastAsia="Arial" w:hAnsi="Arial"/>
                <w:sz w:val="14"/>
                <w:szCs w:val="14"/>
                <w:color w:val="auto"/>
              </w:rPr>
              <w:t>6,715</w:t>
            </w:r>
          </w:p>
        </w:tc>
        <w:tc>
          <w:tcPr>
            <w:tcW w:w="5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w:t>
            </w: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819,230</w:t>
            </w: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26,789</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w:t>
            </w:r>
          </w:p>
        </w:tc>
        <w:tc>
          <w:tcPr>
            <w:tcW w:w="200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3,268,258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1780" w:type="dxa"/>
            <w:vAlign w:val="bottom"/>
            <w:shd w:val="clear" w:color="auto" w:fill="F2F2F2"/>
          </w:tcPr>
          <w:p>
            <w:pPr>
              <w:jc w:val="right"/>
              <w:ind w:right="568"/>
              <w:spacing w:after="0"/>
              <w:rPr>
                <w:sz w:val="20"/>
                <w:szCs w:val="20"/>
                <w:color w:val="auto"/>
              </w:rPr>
            </w:pPr>
            <w:r>
              <w:rPr>
                <w:rFonts w:ascii="Arial" w:cs="Arial" w:eastAsia="Arial" w:hAnsi="Arial"/>
                <w:sz w:val="14"/>
                <w:szCs w:val="14"/>
                <w:color w:val="auto"/>
              </w:rPr>
              <w:t>43,011</w:t>
            </w:r>
          </w:p>
        </w:tc>
        <w:tc>
          <w:tcPr>
            <w:tcW w:w="5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w:t>
            </w: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5,247,342</w:t>
            </w: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41,191</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w:t>
            </w:r>
          </w:p>
        </w:tc>
        <w:tc>
          <w:tcPr>
            <w:tcW w:w="200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5,025,302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1780" w:type="dxa"/>
            <w:vAlign w:val="bottom"/>
            <w:shd w:val="clear" w:color="auto" w:fill="F2F2F2"/>
          </w:tcPr>
          <w:p>
            <w:pPr>
              <w:jc w:val="right"/>
              <w:ind w:right="568"/>
              <w:spacing w:after="0"/>
              <w:rPr>
                <w:sz w:val="20"/>
                <w:szCs w:val="20"/>
                <w:color w:val="auto"/>
              </w:rPr>
            </w:pPr>
            <w:r>
              <w:rPr>
                <w:rFonts w:ascii="Arial" w:cs="Arial" w:eastAsia="Arial" w:hAnsi="Arial"/>
                <w:sz w:val="14"/>
                <w:szCs w:val="14"/>
                <w:color w:val="auto"/>
              </w:rPr>
              <w:t>44,426</w:t>
            </w:r>
          </w:p>
        </w:tc>
        <w:tc>
          <w:tcPr>
            <w:tcW w:w="5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w:t>
            </w:r>
          </w:p>
        </w:tc>
        <w:tc>
          <w:tcPr>
            <w:tcW w:w="15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5,419,972</w:t>
            </w: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23,509</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w:t>
            </w:r>
          </w:p>
        </w:tc>
        <w:tc>
          <w:tcPr>
            <w:tcW w:w="200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2,868,098</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178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1560" w:type="dxa"/>
            <w:vAlign w:val="bottom"/>
            <w:shd w:val="clear" w:color="auto" w:fill="F2F2F2"/>
          </w:tcPr>
          <w:p>
            <w:pPr>
              <w:spacing w:after="0"/>
              <w:rPr>
                <w:sz w:val="17"/>
                <w:szCs w:val="17"/>
                <w:color w:val="auto"/>
              </w:rPr>
            </w:pP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37,581</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w:t>
            </w:r>
          </w:p>
        </w:tc>
        <w:tc>
          <w:tcPr>
            <w:tcW w:w="200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4,584,882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178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1560" w:type="dxa"/>
            <w:vAlign w:val="bottom"/>
            <w:shd w:val="clear" w:color="auto" w:fill="F2F2F2"/>
          </w:tcPr>
          <w:p>
            <w:pPr>
              <w:spacing w:after="0"/>
              <w:rPr>
                <w:sz w:val="17"/>
                <w:szCs w:val="17"/>
                <w:color w:val="auto"/>
              </w:rPr>
            </w:pP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37,581</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w:t>
            </w:r>
          </w:p>
        </w:tc>
        <w:tc>
          <w:tcPr>
            <w:tcW w:w="200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4,584,882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178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1560" w:type="dxa"/>
            <w:vAlign w:val="bottom"/>
            <w:shd w:val="clear" w:color="auto" w:fill="F2F2F2"/>
          </w:tcPr>
          <w:p>
            <w:pPr>
              <w:spacing w:after="0"/>
              <w:rPr>
                <w:sz w:val="17"/>
                <w:szCs w:val="17"/>
                <w:color w:val="auto"/>
              </w:rPr>
            </w:pP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32,079</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w:t>
            </w:r>
          </w:p>
        </w:tc>
        <w:tc>
          <w:tcPr>
            <w:tcW w:w="200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3,913,638</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178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1560" w:type="dxa"/>
            <w:vAlign w:val="bottom"/>
            <w:shd w:val="clear" w:color="auto" w:fill="F2F2F2"/>
          </w:tcPr>
          <w:p>
            <w:pPr>
              <w:spacing w:after="0"/>
              <w:rPr>
                <w:sz w:val="17"/>
                <w:szCs w:val="17"/>
                <w:color w:val="auto"/>
              </w:rPr>
            </w:pP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11,106</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w:t>
            </w:r>
          </w:p>
        </w:tc>
        <w:tc>
          <w:tcPr>
            <w:tcW w:w="200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1,354,932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178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1560" w:type="dxa"/>
            <w:vAlign w:val="bottom"/>
            <w:shd w:val="clear" w:color="auto" w:fill="F2F2F2"/>
          </w:tcPr>
          <w:p>
            <w:pPr>
              <w:spacing w:after="0"/>
              <w:rPr>
                <w:sz w:val="17"/>
                <w:szCs w:val="17"/>
                <w:color w:val="auto"/>
              </w:rPr>
            </w:pPr>
          </w:p>
        </w:tc>
        <w:tc>
          <w:tcPr>
            <w:tcW w:w="2560" w:type="dxa"/>
            <w:vAlign w:val="bottom"/>
            <w:shd w:val="clear" w:color="auto" w:fill="F2F2F2"/>
          </w:tcPr>
          <w:p>
            <w:pPr>
              <w:jc w:val="right"/>
              <w:ind w:right="929"/>
              <w:spacing w:after="0"/>
              <w:rPr>
                <w:sz w:val="20"/>
                <w:szCs w:val="20"/>
                <w:color w:val="auto"/>
              </w:rPr>
            </w:pPr>
            <w:r>
              <w:rPr>
                <w:rFonts w:ascii="Arial" w:cs="Arial" w:eastAsia="Arial" w:hAnsi="Arial"/>
                <w:sz w:val="14"/>
                <w:szCs w:val="14"/>
                <w:color w:val="auto"/>
              </w:rPr>
              <w:t>11,106</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w:t>
            </w:r>
          </w:p>
        </w:tc>
        <w:tc>
          <w:tcPr>
            <w:tcW w:w="200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1,354,932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520" w:type="dxa"/>
            <w:vAlign w:val="bottom"/>
            <w:tcBorders>
              <w:bottom w:val="single" w:sz="8" w:color="B6B6B6"/>
            </w:tcBorders>
            <w:shd w:val="clear" w:color="auto" w:fill="F2F2F2"/>
          </w:tcPr>
          <w:p>
            <w:pPr>
              <w:spacing w:after="0"/>
              <w:rPr>
                <w:sz w:val="17"/>
                <w:szCs w:val="17"/>
                <w:color w:val="auto"/>
              </w:rPr>
            </w:pPr>
          </w:p>
        </w:tc>
        <w:tc>
          <w:tcPr>
            <w:tcW w:w="80" w:type="dxa"/>
            <w:vAlign w:val="bottom"/>
            <w:tcBorders>
              <w:bottom w:val="single" w:sz="8" w:color="B6B6B6"/>
            </w:tcBorders>
            <w:shd w:val="clear" w:color="auto" w:fill="F2F2F2"/>
          </w:tcPr>
          <w:p>
            <w:pPr>
              <w:spacing w:after="0"/>
              <w:rPr>
                <w:sz w:val="17"/>
                <w:szCs w:val="17"/>
                <w:color w:val="auto"/>
              </w:rPr>
            </w:pPr>
          </w:p>
        </w:tc>
        <w:tc>
          <w:tcPr>
            <w:tcW w:w="1780" w:type="dxa"/>
            <w:vAlign w:val="bottom"/>
            <w:tcBorders>
              <w:bottom w:val="single" w:sz="8" w:color="B6B6B6"/>
            </w:tcBorders>
            <w:shd w:val="clear" w:color="auto" w:fill="F2F2F2"/>
          </w:tcPr>
          <w:p>
            <w:pPr>
              <w:spacing w:after="0"/>
              <w:rPr>
                <w:sz w:val="17"/>
                <w:szCs w:val="17"/>
                <w:color w:val="auto"/>
              </w:rPr>
            </w:pPr>
          </w:p>
        </w:tc>
        <w:tc>
          <w:tcPr>
            <w:tcW w:w="540" w:type="dxa"/>
            <w:vAlign w:val="bottom"/>
            <w:tcBorders>
              <w:bottom w:val="single" w:sz="8" w:color="B6B6B6"/>
            </w:tcBorders>
            <w:shd w:val="clear" w:color="auto" w:fill="F2F2F2"/>
          </w:tcPr>
          <w:p>
            <w:pPr>
              <w:spacing w:after="0"/>
              <w:rPr>
                <w:sz w:val="17"/>
                <w:szCs w:val="17"/>
                <w:color w:val="auto"/>
              </w:rPr>
            </w:pPr>
          </w:p>
        </w:tc>
        <w:tc>
          <w:tcPr>
            <w:tcW w:w="1560" w:type="dxa"/>
            <w:vAlign w:val="bottom"/>
            <w:tcBorders>
              <w:bottom w:val="single" w:sz="8" w:color="B6B6B6"/>
            </w:tcBorders>
            <w:shd w:val="clear" w:color="auto" w:fill="F2F2F2"/>
          </w:tcPr>
          <w:p>
            <w:pPr>
              <w:spacing w:after="0"/>
              <w:rPr>
                <w:sz w:val="17"/>
                <w:szCs w:val="17"/>
                <w:color w:val="auto"/>
              </w:rPr>
            </w:pPr>
          </w:p>
        </w:tc>
        <w:tc>
          <w:tcPr>
            <w:tcW w:w="2560" w:type="dxa"/>
            <w:vAlign w:val="bottom"/>
            <w:tcBorders>
              <w:bottom w:val="single" w:sz="8" w:color="B6B6B6"/>
            </w:tcBorders>
            <w:shd w:val="clear" w:color="auto" w:fill="F2F2F2"/>
          </w:tcPr>
          <w:p>
            <w:pPr>
              <w:jc w:val="right"/>
              <w:ind w:right="929"/>
              <w:spacing w:after="0"/>
              <w:rPr>
                <w:sz w:val="20"/>
                <w:szCs w:val="20"/>
                <w:color w:val="auto"/>
              </w:rPr>
            </w:pPr>
            <w:r>
              <w:rPr>
                <w:rFonts w:ascii="Arial" w:cs="Arial" w:eastAsia="Arial" w:hAnsi="Arial"/>
                <w:sz w:val="14"/>
                <w:szCs w:val="14"/>
                <w:color w:val="auto"/>
              </w:rPr>
              <w:t>19,170</w:t>
            </w:r>
          </w:p>
        </w:tc>
        <w:tc>
          <w:tcPr>
            <w:tcW w:w="600" w:type="dxa"/>
            <w:vAlign w:val="bottom"/>
            <w:tcBorders>
              <w:bottom w:val="single" w:sz="8" w:color="B6B6B6"/>
            </w:tcBorders>
            <w:shd w:val="clear" w:color="auto" w:fill="F2F2F2"/>
          </w:tcPr>
          <w:p>
            <w:pPr>
              <w:jc w:val="right"/>
              <w:spacing w:after="0"/>
              <w:rPr>
                <w:sz w:val="20"/>
                <w:szCs w:val="20"/>
                <w:color w:val="auto"/>
              </w:rPr>
            </w:pPr>
            <w:r>
              <w:rPr>
                <w:rFonts w:ascii="Arial" w:cs="Arial" w:eastAsia="Arial" w:hAnsi="Arial"/>
                <w:sz w:val="14"/>
                <w:szCs w:val="14"/>
                <w:color w:val="auto"/>
              </w:rPr>
              <w:t>(13)</w:t>
            </w:r>
          </w:p>
        </w:tc>
        <w:tc>
          <w:tcPr>
            <w:tcW w:w="2000" w:type="dxa"/>
            <w:vAlign w:val="bottom"/>
            <w:tcBorders>
              <w:bottom w:val="single" w:sz="8" w:color="B6B6B6"/>
            </w:tcBorders>
            <w:gridSpan w:val="2"/>
            <w:shd w:val="clear" w:color="auto" w:fill="F2F2F2"/>
          </w:tcPr>
          <w:p>
            <w:pPr>
              <w:jc w:val="right"/>
              <w:spacing w:after="0"/>
              <w:rPr>
                <w:sz w:val="20"/>
                <w:szCs w:val="20"/>
                <w:color w:val="auto"/>
              </w:rPr>
            </w:pPr>
            <w:r>
              <w:rPr>
                <w:rFonts w:ascii="Arial" w:cs="Arial" w:eastAsia="Arial" w:hAnsi="Arial"/>
                <w:sz w:val="14"/>
                <w:szCs w:val="14"/>
                <w:color w:val="auto"/>
              </w:rPr>
              <w:t>2,338,740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00" w:right="180" w:hanging="393"/>
        <w:spacing w:after="0" w:line="285" w:lineRule="auto"/>
        <w:tabs>
          <w:tab w:leader="none" w:pos="3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or restricted stock units by $122.00, the closing price of our Common Stock on August 28, 2025.</w:t>
      </w:r>
    </w:p>
    <w:p>
      <w:pPr>
        <w:spacing w:after="0" w:line="113" w:lineRule="exact"/>
        <w:rPr>
          <w:rFonts w:ascii="Arial" w:cs="Arial" w:eastAsia="Arial" w:hAnsi="Arial"/>
          <w:sz w:val="18"/>
          <w:szCs w:val="18"/>
          <w:color w:val="auto"/>
        </w:rPr>
      </w:pPr>
    </w:p>
    <w:p>
      <w:pPr>
        <w:ind w:left="380" w:hanging="373"/>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Time-based restricted stock awards vested on October 15, 2025.</w:t>
      </w:r>
    </w:p>
    <w:p>
      <w:pPr>
        <w:spacing w:after="0" w:line="182" w:lineRule="exact"/>
        <w:rPr>
          <w:rFonts w:ascii="Arial" w:cs="Arial" w:eastAsia="Arial" w:hAnsi="Arial"/>
          <w:sz w:val="18"/>
          <w:szCs w:val="18"/>
          <w:color w:val="auto"/>
        </w:rPr>
      </w:pPr>
    </w:p>
    <w:p>
      <w:pPr>
        <w:ind w:left="400" w:right="520" w:hanging="393"/>
        <w:spacing w:after="0" w:line="285" w:lineRule="auto"/>
        <w:tabs>
          <w:tab w:leader="none" w:pos="3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banked number of shares under the 2023 NAND PRSU Award. Performance-based restricted stock units vested in October 2025 based on the achievement of a NAND market segment goal through Fiscal 2025.</w:t>
      </w:r>
    </w:p>
    <w:p>
      <w:pPr>
        <w:spacing w:after="0" w:line="126" w:lineRule="exact"/>
        <w:rPr>
          <w:rFonts w:ascii="Arial" w:cs="Arial" w:eastAsia="Arial" w:hAnsi="Arial"/>
          <w:sz w:val="18"/>
          <w:szCs w:val="18"/>
          <w:color w:val="auto"/>
        </w:rPr>
      </w:pPr>
    </w:p>
    <w:p>
      <w:pPr>
        <w:ind w:left="380" w:hanging="373"/>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Time-based restricted stock awards vested or will vest, as applicable, in equal installments on October 13, 2025, and October 13, 2026.</w:t>
      </w:r>
    </w:p>
    <w:p>
      <w:pPr>
        <w:spacing w:after="0" w:line="182" w:lineRule="exact"/>
        <w:rPr>
          <w:rFonts w:ascii="Arial" w:cs="Arial" w:eastAsia="Arial" w:hAnsi="Arial"/>
          <w:sz w:val="18"/>
          <w:szCs w:val="18"/>
          <w:color w:val="auto"/>
        </w:rPr>
      </w:pPr>
    </w:p>
    <w:p>
      <w:pPr>
        <w:ind w:left="400" w:right="500" w:hanging="393"/>
        <w:spacing w:after="0" w:line="285" w:lineRule="auto"/>
        <w:tabs>
          <w:tab w:leader="none" w:pos="3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banked number of shares under the 2023 DRAM PRSU Award. Performance-based restricted stock units vested in October 2025 based on the achievement of a DRAM market segment goal through Fiscal 2025.</w:t>
      </w:r>
    </w:p>
    <w:p>
      <w:pPr>
        <w:spacing w:after="0" w:line="113" w:lineRule="exact"/>
        <w:rPr>
          <w:rFonts w:ascii="Arial" w:cs="Arial" w:eastAsia="Arial" w:hAnsi="Arial"/>
          <w:sz w:val="18"/>
          <w:szCs w:val="18"/>
          <w:color w:val="auto"/>
        </w:rPr>
      </w:pPr>
    </w:p>
    <w:p>
      <w:pPr>
        <w:ind w:left="400" w:right="140" w:hanging="393"/>
        <w:spacing w:after="0" w:line="285" w:lineRule="auto"/>
        <w:tabs>
          <w:tab w:leader="none" w:pos="3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Time-based restricted stock awards vested or will vest, as applicable, in equal installments on October 13, 2025, October 13, 2026, and October 13, 2027.</w:t>
      </w:r>
    </w:p>
    <w:p>
      <w:pPr>
        <w:spacing w:after="0" w:line="126" w:lineRule="exact"/>
        <w:rPr>
          <w:rFonts w:ascii="Arial" w:cs="Arial" w:eastAsia="Arial" w:hAnsi="Arial"/>
          <w:sz w:val="18"/>
          <w:szCs w:val="18"/>
          <w:color w:val="auto"/>
        </w:rPr>
      </w:pPr>
    </w:p>
    <w:p>
      <w:pPr>
        <w:ind w:left="400" w:right="620" w:hanging="393"/>
        <w:spacing w:after="0" w:line="285" w:lineRule="auto"/>
        <w:tabs>
          <w:tab w:leader="none" w:pos="3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banked number of shares under the 2023 rTSR PRSU Award. Performance-based restricted stock units vested in October 2025 based on the achievement of a rTSR goal through Fiscal 2025.</w:t>
      </w:r>
    </w:p>
    <w:p>
      <w:pPr>
        <w:spacing w:after="0" w:line="113" w:lineRule="exact"/>
        <w:rPr>
          <w:rFonts w:ascii="Arial" w:cs="Arial" w:eastAsia="Arial" w:hAnsi="Arial"/>
          <w:sz w:val="18"/>
          <w:szCs w:val="18"/>
          <w:color w:val="auto"/>
        </w:rPr>
      </w:pPr>
    </w:p>
    <w:p>
      <w:pPr>
        <w:ind w:left="400" w:right="60" w:hanging="393"/>
        <w:spacing w:after="0" w:line="267" w:lineRule="auto"/>
        <w:tabs>
          <w:tab w:leader="none" w:pos="3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banked number of shares under the 2024 HBM3E+ PRSU Award. Performance-based restricted stock units vested or will vest, as applicable, in October 2025 and October 2026 based on the achievement of a HBM3E+ shipments goal through Fiscal 2025 and 2026.</w:t>
      </w:r>
    </w:p>
    <w:p>
      <w:pPr>
        <w:spacing w:after="0" w:line="128" w:lineRule="exact"/>
        <w:rPr>
          <w:rFonts w:ascii="Arial" w:cs="Arial" w:eastAsia="Arial" w:hAnsi="Arial"/>
          <w:sz w:val="18"/>
          <w:szCs w:val="18"/>
          <w:color w:val="auto"/>
        </w:rPr>
      </w:pPr>
    </w:p>
    <w:p>
      <w:pPr>
        <w:ind w:left="400" w:right="160" w:hanging="393"/>
        <w:spacing w:after="0" w:line="267" w:lineRule="auto"/>
        <w:tabs>
          <w:tab w:leader="none" w:pos="3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banked number of shares under the 2024 High-Growth Segment Revenue PRSU Award. Performance-based restricted stock units vested or will vest, as applicable, in October 2025 and October 2026 based on the achievement of a high-growth and more stable market segment goal through Fiscal 2025 and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0" w:right="280" w:hanging="393"/>
        <w:spacing w:after="0" w:line="285" w:lineRule="auto"/>
        <w:tabs>
          <w:tab w:leader="none" w:pos="3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the banked number of shares under the 2024 rTSR PRSU Award. Performance-based restricted stock units vested or will vest, as applicable, in October 2025 and October 2026 based on the achievement of a rTSR goal through Fiscal 2025 and 2026.</w:t>
      </w:r>
    </w:p>
    <w:p>
      <w:pPr>
        <w:spacing w:after="0" w:line="113" w:lineRule="exact"/>
        <w:rPr>
          <w:rFonts w:ascii="Arial" w:cs="Arial" w:eastAsia="Arial" w:hAnsi="Arial"/>
          <w:sz w:val="18"/>
          <w:szCs w:val="18"/>
          <w:color w:val="auto"/>
        </w:rPr>
      </w:pPr>
    </w:p>
    <w:p>
      <w:pPr>
        <w:ind w:left="400" w:right="100" w:hanging="393"/>
        <w:spacing w:after="0" w:line="267" w:lineRule="auto"/>
        <w:tabs>
          <w:tab w:leader="none" w:pos="3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the target number of shares under the 2025 HBM3E+ PRSU Award. Performance-based restricted stock units will become banked in October 2026 and October 2027 depending on the achievement of a HBM3E+ shipments goal through Fiscal 2026 and 2027, but will vest and be settled in October 2027 upon certification of performance following Fiscal 2027.</w:t>
      </w:r>
    </w:p>
    <w:p>
      <w:pPr>
        <w:spacing w:after="0" w:line="142" w:lineRule="exact"/>
        <w:rPr>
          <w:rFonts w:ascii="Arial" w:cs="Arial" w:eastAsia="Arial" w:hAnsi="Arial"/>
          <w:sz w:val="18"/>
          <w:szCs w:val="18"/>
          <w:color w:val="auto"/>
        </w:rPr>
      </w:pPr>
    </w:p>
    <w:p>
      <w:pPr>
        <w:ind w:left="400" w:right="120" w:hanging="393"/>
        <w:spacing w:after="0" w:line="267" w:lineRule="auto"/>
        <w:tabs>
          <w:tab w:leader="none" w:pos="3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the target number of shares under the 2025 Data Center SSD PRSU Award. Performance-based restricted stock units will become banked in October 2026 and October 2027 depending on the achievement of a data center SSD shipments goal through Fiscal 2026 and 2027, but will vest and be settled in October 2027 upon certification of performance following Fiscal 2027.</w:t>
      </w:r>
    </w:p>
    <w:p>
      <w:pPr>
        <w:spacing w:after="0" w:line="128" w:lineRule="exact"/>
        <w:rPr>
          <w:rFonts w:ascii="Arial" w:cs="Arial" w:eastAsia="Arial" w:hAnsi="Arial"/>
          <w:sz w:val="18"/>
          <w:szCs w:val="18"/>
          <w:color w:val="auto"/>
        </w:rPr>
      </w:pPr>
    </w:p>
    <w:p>
      <w:pPr>
        <w:ind w:left="400" w:right="300" w:hanging="393"/>
        <w:spacing w:after="0" w:line="267" w:lineRule="auto"/>
        <w:tabs>
          <w:tab w:leader="none" w:pos="3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the target number of shares under the 2025 rTSR PRSU Award. Performance-based restricted stock units will become banked in October 2026 and October 2027 depending on the achievement of a rTSR goal through Fiscal 2026 and 2027, but will vest and be settled in October 2027 upon certification of performance following Fiscal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 VESTED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0046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following table sets forth information related to the number of restricted awards held by each of the Named Executive Officers that vested in Fiscal 2025 and the value realized. None of the Named Executive Officers held any stock options in Fiscal 2025.</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740" w:type="dxa"/>
            <w:vAlign w:val="bottom"/>
            <w:tcBorders>
              <w:bottom w:val="single" w:sz="8" w:color="BD03F7"/>
            </w:tcBorders>
            <w:gridSpan w:val="3"/>
          </w:tcPr>
          <w:p>
            <w:pPr>
              <w:jc w:val="right"/>
              <w:ind w:right="752"/>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55"/>
        </w:trPr>
        <w:tc>
          <w:tcPr>
            <w:tcW w:w="844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Number of</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440" w:type="dxa"/>
            <w:vAlign w:val="bottom"/>
          </w:tcPr>
          <w:p>
            <w:pPr>
              <w:spacing w:after="0"/>
              <w:rPr>
                <w:sz w:val="14"/>
                <w:szCs w:val="14"/>
                <w:color w:val="auto"/>
              </w:rPr>
            </w:pPr>
          </w:p>
        </w:tc>
        <w:tc>
          <w:tcPr>
            <w:tcW w:w="12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Shares</w:t>
            </w:r>
          </w:p>
        </w:tc>
        <w:tc>
          <w:tcPr>
            <w:tcW w:w="14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Value Realized on</w:t>
            </w:r>
          </w:p>
        </w:tc>
        <w:tc>
          <w:tcPr>
            <w:tcW w:w="0" w:type="dxa"/>
            <w:vAlign w:val="bottom"/>
          </w:tcPr>
          <w:p>
            <w:pPr>
              <w:spacing w:after="0"/>
              <w:rPr>
                <w:sz w:val="1"/>
                <w:szCs w:val="1"/>
                <w:color w:val="auto"/>
              </w:rPr>
            </w:pPr>
          </w:p>
        </w:tc>
      </w:tr>
      <w:tr>
        <w:trPr>
          <w:trHeight w:val="161"/>
        </w:trPr>
        <w:tc>
          <w:tcPr>
            <w:tcW w:w="8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2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Acquired on</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440" w:type="dxa"/>
            <w:vAlign w:val="bottom"/>
            <w:tcBorders>
              <w:bottom w:val="single" w:sz="8" w:color="BD03F7"/>
            </w:tcBorders>
            <w:vMerge w:val="continue"/>
          </w:tcPr>
          <w:p>
            <w:pPr>
              <w:spacing w:after="0"/>
              <w:rPr>
                <w:sz w:val="18"/>
                <w:szCs w:val="18"/>
                <w:color w:val="auto"/>
              </w:rPr>
            </w:pPr>
          </w:p>
        </w:tc>
        <w:tc>
          <w:tcPr>
            <w:tcW w:w="1260" w:type="dxa"/>
            <w:vAlign w:val="bottom"/>
            <w:tcBorders>
              <w:bottom w:val="single" w:sz="8" w:color="BD03F7"/>
            </w:tcBorders>
          </w:tcPr>
          <w:p>
            <w:pPr>
              <w:jc w:val="center"/>
              <w:spacing w:after="0"/>
              <w:rPr>
                <w:sz w:val="20"/>
                <w:szCs w:val="20"/>
                <w:color w:val="auto"/>
              </w:rPr>
            </w:pPr>
            <w:r>
              <w:rPr>
                <w:rFonts w:ascii="Arial" w:cs="Arial" w:eastAsia="Arial" w:hAnsi="Arial"/>
                <w:sz w:val="16"/>
                <w:szCs w:val="16"/>
                <w:b w:val="1"/>
                <w:bCs w:val="1"/>
                <w:color w:val="auto"/>
                <w:w w:val="98"/>
              </w:rPr>
              <w:t>Vesting(1)</w:t>
            </w:r>
          </w:p>
        </w:tc>
        <w:tc>
          <w:tcPr>
            <w:tcW w:w="260" w:type="dxa"/>
            <w:vAlign w:val="bottom"/>
            <w:tcBorders>
              <w:bottom w:val="single" w:sz="8" w:color="BD03F7"/>
            </w:tcBorders>
          </w:tcPr>
          <w:p>
            <w:pPr>
              <w:spacing w:after="0"/>
              <w:rPr>
                <w:sz w:val="18"/>
                <w:szCs w:val="18"/>
                <w:color w:val="auto"/>
              </w:rPr>
            </w:pPr>
          </w:p>
        </w:tc>
        <w:tc>
          <w:tcPr>
            <w:tcW w:w="1220" w:type="dxa"/>
            <w:vAlign w:val="bottom"/>
            <w:tcBorders>
              <w:bottom w:val="single" w:sz="8" w:color="BD03F7"/>
            </w:tcBorders>
          </w:tcPr>
          <w:p>
            <w:pPr>
              <w:jc w:val="right"/>
              <w:ind w:right="252"/>
              <w:spacing w:after="0"/>
              <w:rPr>
                <w:sz w:val="20"/>
                <w:szCs w:val="20"/>
                <w:color w:val="auto"/>
              </w:rPr>
            </w:pPr>
            <w:r>
              <w:rPr>
                <w:rFonts w:ascii="Arial" w:cs="Arial" w:eastAsia="Arial" w:hAnsi="Arial"/>
                <w:sz w:val="16"/>
                <w:szCs w:val="16"/>
                <w:b w:val="1"/>
                <w:bCs w:val="1"/>
                <w:color w:val="auto"/>
              </w:rPr>
              <w:t>Vesting(2)</w:t>
            </w:r>
          </w:p>
        </w:tc>
        <w:tc>
          <w:tcPr>
            <w:tcW w:w="0" w:type="dxa"/>
            <w:vAlign w:val="bottom"/>
          </w:tcPr>
          <w:p>
            <w:pPr>
              <w:spacing w:after="0"/>
              <w:rPr>
                <w:sz w:val="1"/>
                <w:szCs w:val="1"/>
                <w:color w:val="auto"/>
              </w:rPr>
            </w:pPr>
          </w:p>
        </w:tc>
      </w:tr>
      <w:tr>
        <w:trPr>
          <w:trHeight w:val="34"/>
        </w:trPr>
        <w:tc>
          <w:tcPr>
            <w:tcW w:w="8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44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2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613,046</w:t>
            </w:r>
          </w:p>
        </w:tc>
        <w:tc>
          <w:tcPr>
            <w:tcW w:w="260" w:type="dxa"/>
            <w:vAlign w:val="bottom"/>
            <w:shd w:val="clear" w:color="auto" w:fill="F2F2F2"/>
          </w:tcPr>
          <w:p>
            <w:pPr>
              <w:ind w:lef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97,767,677</w:t>
            </w:r>
          </w:p>
        </w:tc>
        <w:tc>
          <w:tcPr>
            <w:tcW w:w="0" w:type="dxa"/>
            <w:vAlign w:val="bottom"/>
          </w:tcPr>
          <w:p>
            <w:pPr>
              <w:spacing w:after="0"/>
              <w:rPr>
                <w:sz w:val="1"/>
                <w:szCs w:val="1"/>
                <w:color w:val="auto"/>
              </w:rPr>
            </w:pPr>
          </w:p>
        </w:tc>
      </w:tr>
      <w:tr>
        <w:trPr>
          <w:trHeight w:val="228"/>
        </w:trPr>
        <w:tc>
          <w:tcPr>
            <w:tcW w:w="844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260" w:type="dxa"/>
            <w:vAlign w:val="bottom"/>
          </w:tcPr>
          <w:p>
            <w:pPr>
              <w:jc w:val="right"/>
              <w:spacing w:after="0"/>
              <w:rPr>
                <w:sz w:val="20"/>
                <w:szCs w:val="20"/>
                <w:color w:val="auto"/>
              </w:rPr>
            </w:pPr>
            <w:r>
              <w:rPr>
                <w:rFonts w:ascii="Arial" w:cs="Arial" w:eastAsia="Arial" w:hAnsi="Arial"/>
                <w:sz w:val="18"/>
                <w:szCs w:val="18"/>
                <w:color w:val="auto"/>
              </w:rPr>
              <w:t>208,873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31,001,555</w:t>
            </w:r>
          </w:p>
        </w:tc>
        <w:tc>
          <w:tcPr>
            <w:tcW w:w="0" w:type="dxa"/>
            <w:vAlign w:val="bottom"/>
          </w:tcPr>
          <w:p>
            <w:pPr>
              <w:spacing w:after="0"/>
              <w:rPr>
                <w:sz w:val="1"/>
                <w:szCs w:val="1"/>
                <w:color w:val="auto"/>
              </w:rPr>
            </w:pPr>
          </w:p>
        </w:tc>
      </w:tr>
      <w:tr>
        <w:trPr>
          <w:trHeight w:val="228"/>
        </w:trPr>
        <w:tc>
          <w:tcPr>
            <w:tcW w:w="844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2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209,974</w:t>
            </w:r>
          </w:p>
        </w:tc>
        <w:tc>
          <w:tcPr>
            <w:tcW w:w="260" w:type="dxa"/>
            <w:vAlign w:val="bottom"/>
            <w:shd w:val="clear" w:color="auto" w:fill="F2F2F2"/>
          </w:tcPr>
          <w:p>
            <w:pPr>
              <w:spacing w:after="0"/>
              <w:rPr>
                <w:sz w:val="19"/>
                <w:szCs w:val="19"/>
                <w:color w:val="auto"/>
              </w:rPr>
            </w:pP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32,875,481</w:t>
            </w:r>
          </w:p>
        </w:tc>
        <w:tc>
          <w:tcPr>
            <w:tcW w:w="0" w:type="dxa"/>
            <w:vAlign w:val="bottom"/>
          </w:tcPr>
          <w:p>
            <w:pPr>
              <w:spacing w:after="0"/>
              <w:rPr>
                <w:sz w:val="1"/>
                <w:szCs w:val="1"/>
                <w:color w:val="auto"/>
              </w:rPr>
            </w:pPr>
          </w:p>
        </w:tc>
      </w:tr>
      <w:tr>
        <w:trPr>
          <w:trHeight w:val="228"/>
        </w:trPr>
        <w:tc>
          <w:tcPr>
            <w:tcW w:w="844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260" w:type="dxa"/>
            <w:vAlign w:val="bottom"/>
          </w:tcPr>
          <w:p>
            <w:pPr>
              <w:jc w:val="right"/>
              <w:spacing w:after="0"/>
              <w:rPr>
                <w:sz w:val="20"/>
                <w:szCs w:val="20"/>
                <w:color w:val="auto"/>
              </w:rPr>
            </w:pPr>
            <w:r>
              <w:rPr>
                <w:rFonts w:ascii="Arial" w:cs="Arial" w:eastAsia="Arial" w:hAnsi="Arial"/>
                <w:sz w:val="18"/>
                <w:szCs w:val="18"/>
                <w:color w:val="auto"/>
              </w:rPr>
              <w:t>166,630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26,100,486</w:t>
            </w:r>
          </w:p>
        </w:tc>
        <w:tc>
          <w:tcPr>
            <w:tcW w:w="0" w:type="dxa"/>
            <w:vAlign w:val="bottom"/>
          </w:tcPr>
          <w:p>
            <w:pPr>
              <w:spacing w:after="0"/>
              <w:rPr>
                <w:sz w:val="1"/>
                <w:szCs w:val="1"/>
                <w:color w:val="auto"/>
              </w:rPr>
            </w:pPr>
          </w:p>
        </w:tc>
      </w:tr>
      <w:tr>
        <w:trPr>
          <w:trHeight w:val="228"/>
        </w:trPr>
        <w:tc>
          <w:tcPr>
            <w:tcW w:w="844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2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214,078</w:t>
            </w:r>
          </w:p>
        </w:tc>
        <w:tc>
          <w:tcPr>
            <w:tcW w:w="260" w:type="dxa"/>
            <w:vAlign w:val="bottom"/>
            <w:tcBorders>
              <w:bottom w:val="single" w:sz="8" w:color="BD03F7"/>
            </w:tcBorders>
            <w:shd w:val="clear" w:color="auto" w:fill="F2F2F2"/>
          </w:tcPr>
          <w:p>
            <w:pPr>
              <w:spacing w:after="0"/>
              <w:rPr>
                <w:sz w:val="19"/>
                <w:szCs w:val="19"/>
                <w:color w:val="auto"/>
              </w:rPr>
            </w:pPr>
          </w:p>
        </w:tc>
        <w:tc>
          <w:tcPr>
            <w:tcW w:w="12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33,508,687</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40" w:right="40" w:hanging="333"/>
        <w:spacing w:after="0" w:line="258" w:lineRule="auto"/>
        <w:tabs>
          <w:tab w:leader="none" w:pos="3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performance-based restricted units vested in October 2025 based on performance completed by the end of Fiscal 2025 and performance-based restricted units for which time-based restrictions lapsed in Fiscal 2025 but for which the performance condition had been met in prior years. Excludes performance-based restricted units vested in October 2024 based on performance completed by the end of Fiscal 2024 and performance-based restricted units with time-based restrictions that had met the performance-based condition but for which the time-based restriction had not lapsed by the end of Fiscal 2025.</w:t>
      </w:r>
    </w:p>
    <w:p>
      <w:pPr>
        <w:spacing w:after="0" w:line="204" w:lineRule="exact"/>
        <w:rPr>
          <w:rFonts w:ascii="Arial" w:cs="Arial" w:eastAsia="Arial" w:hAnsi="Arial"/>
          <w:sz w:val="18"/>
          <w:szCs w:val="18"/>
          <w:color w:val="auto"/>
        </w:rPr>
      </w:pPr>
    </w:p>
    <w:p>
      <w:pPr>
        <w:ind w:left="320" w:hanging="313"/>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2025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00468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Mr. Mehrotra is the only Named Executive Officer who has participated in the Micron Technology, Inc. Deferred Compensation Plan (the “Deferred Compensation Plan”) through the end of Fiscal 2025.</w:t>
      </w:r>
    </w:p>
    <w:tbl>
      <w:tblPr>
        <w:tblLayout w:type="fixed"/>
        <w:tblInd w:w="0" w:type="dxa"/>
        <w:tblCellMar>
          <w:top w:w="0" w:type="dxa"/>
          <w:left w:w="0" w:type="dxa"/>
          <w:bottom w:w="0" w:type="dxa"/>
          <w:right w:w="0" w:type="dxa"/>
        </w:tblCellMar>
      </w:tblPr>
      <w:tr>
        <w:trPr>
          <w:trHeight w:val="163"/>
        </w:trPr>
        <w:tc>
          <w:tcPr>
            <w:tcW w:w="2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Executive</w:t>
            </w:r>
          </w:p>
        </w:tc>
        <w:tc>
          <w:tcPr>
            <w:tcW w:w="200" w:type="dxa"/>
            <w:vAlign w:val="bottom"/>
          </w:tcPr>
          <w:p>
            <w:pPr>
              <w:spacing w:after="0"/>
              <w:rPr>
                <w:sz w:val="14"/>
                <w:szCs w:val="14"/>
                <w:color w:val="auto"/>
              </w:rPr>
            </w:pPr>
          </w:p>
        </w:tc>
        <w:tc>
          <w:tcPr>
            <w:tcW w:w="13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Registrant</w:t>
            </w:r>
          </w:p>
        </w:tc>
        <w:tc>
          <w:tcPr>
            <w:tcW w:w="1120" w:type="dxa"/>
            <w:vAlign w:val="bottom"/>
          </w:tcPr>
          <w:p>
            <w:pPr>
              <w:jc w:val="center"/>
              <w:ind w:right="79"/>
              <w:spacing w:after="0" w:line="163" w:lineRule="exact"/>
              <w:rPr>
                <w:sz w:val="20"/>
                <w:szCs w:val="20"/>
                <w:color w:val="auto"/>
              </w:rPr>
            </w:pPr>
            <w:r>
              <w:rPr>
                <w:rFonts w:ascii="Arial" w:cs="Arial" w:eastAsia="Arial" w:hAnsi="Arial"/>
                <w:sz w:val="16"/>
                <w:szCs w:val="16"/>
                <w:b w:val="1"/>
                <w:bCs w:val="1"/>
                <w:color w:val="auto"/>
              </w:rPr>
              <w:t>Aggregate</w:t>
            </w:r>
          </w:p>
        </w:tc>
        <w:tc>
          <w:tcPr>
            <w:tcW w:w="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Aggregate Balance</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120" w:type="dxa"/>
            <w:vAlign w:val="bottom"/>
          </w:tcPr>
          <w:p>
            <w:pPr>
              <w:jc w:val="center"/>
              <w:ind w:right="79"/>
              <w:spacing w:after="0" w:line="161" w:lineRule="exact"/>
              <w:rPr>
                <w:sz w:val="20"/>
                <w:szCs w:val="20"/>
                <w:color w:val="auto"/>
              </w:rPr>
            </w:pPr>
            <w:r>
              <w:rPr>
                <w:rFonts w:ascii="Arial" w:cs="Arial" w:eastAsia="Arial" w:hAnsi="Arial"/>
                <w:sz w:val="16"/>
                <w:szCs w:val="16"/>
                <w:b w:val="1"/>
                <w:bCs w:val="1"/>
                <w:color w:val="auto"/>
                <w:w w:val="99"/>
              </w:rPr>
              <w:t>Earnings</w:t>
            </w:r>
          </w:p>
        </w:tc>
        <w:tc>
          <w:tcPr>
            <w:tcW w:w="380" w:type="dxa"/>
            <w:vAlign w:val="bottom"/>
          </w:tcPr>
          <w:p>
            <w:pPr>
              <w:spacing w:after="0"/>
              <w:rPr>
                <w:sz w:val="14"/>
                <w:szCs w:val="14"/>
                <w:color w:val="auto"/>
              </w:rPr>
            </w:pPr>
          </w:p>
        </w:tc>
        <w:tc>
          <w:tcPr>
            <w:tcW w:w="16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Aggregate</w:t>
            </w: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060" w:type="dxa"/>
            <w:vAlign w:val="bottom"/>
          </w:tcPr>
          <w:p>
            <w:pPr>
              <w:spacing w:after="0"/>
              <w:rPr>
                <w:sz w:val="14"/>
                <w:szCs w:val="14"/>
                <w:color w:val="auto"/>
              </w:rPr>
            </w:pPr>
          </w:p>
        </w:tc>
        <w:tc>
          <w:tcPr>
            <w:tcW w:w="1480" w:type="dxa"/>
            <w:vAlign w:val="bottom"/>
          </w:tcPr>
          <w:p>
            <w:pPr>
              <w:jc w:val="center"/>
              <w:ind w:right="79"/>
              <w:spacing w:after="0" w:line="161" w:lineRule="exact"/>
              <w:rPr>
                <w:sz w:val="20"/>
                <w:szCs w:val="20"/>
                <w:color w:val="auto"/>
              </w:rPr>
            </w:pPr>
            <w:r>
              <w:rPr>
                <w:rFonts w:ascii="Arial" w:cs="Arial" w:eastAsia="Arial" w:hAnsi="Arial"/>
                <w:sz w:val="16"/>
                <w:szCs w:val="16"/>
                <w:b w:val="1"/>
                <w:bCs w:val="1"/>
                <w:color w:val="auto"/>
              </w:rPr>
              <w:t>Contributions in</w:t>
            </w:r>
          </w:p>
        </w:tc>
        <w:tc>
          <w:tcPr>
            <w:tcW w:w="2640" w:type="dxa"/>
            <w:vAlign w:val="bottom"/>
            <w:gridSpan w:val="3"/>
          </w:tcPr>
          <w:p>
            <w:pPr>
              <w:ind w:left="60"/>
              <w:spacing w:after="0" w:line="161" w:lineRule="exact"/>
              <w:rPr>
                <w:sz w:val="20"/>
                <w:szCs w:val="20"/>
                <w:color w:val="auto"/>
              </w:rPr>
            </w:pPr>
            <w:r>
              <w:rPr>
                <w:rFonts w:ascii="Arial" w:cs="Arial" w:eastAsia="Arial" w:hAnsi="Arial"/>
                <w:sz w:val="16"/>
                <w:szCs w:val="16"/>
                <w:b w:val="1"/>
                <w:bCs w:val="1"/>
                <w:color w:val="auto"/>
              </w:rPr>
              <w:t>Contributions in (Losses) in Last</w:t>
            </w:r>
          </w:p>
        </w:tc>
        <w:tc>
          <w:tcPr>
            <w:tcW w:w="3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66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at Last Fiscal Year-</w:t>
            </w:r>
          </w:p>
        </w:tc>
        <w:tc>
          <w:tcPr>
            <w:tcW w:w="0" w:type="dxa"/>
            <w:vAlign w:val="bottom"/>
          </w:tcPr>
          <w:p>
            <w:pPr>
              <w:spacing w:after="0"/>
              <w:rPr>
                <w:sz w:val="1"/>
                <w:szCs w:val="1"/>
                <w:color w:val="auto"/>
              </w:rPr>
            </w:pPr>
          </w:p>
        </w:tc>
      </w:tr>
      <w:tr>
        <w:trPr>
          <w:trHeight w:val="215"/>
        </w:trPr>
        <w:tc>
          <w:tcPr>
            <w:tcW w:w="2260" w:type="dxa"/>
            <w:vAlign w:val="bottom"/>
            <w:tcBorders>
              <w:bottom w:val="single" w:sz="8" w:color="BD03F7"/>
            </w:tcBorders>
            <w:vMerge w:val="continue"/>
          </w:tcPr>
          <w:p>
            <w:pPr>
              <w:spacing w:after="0"/>
              <w:rPr>
                <w:sz w:val="18"/>
                <w:szCs w:val="18"/>
                <w:color w:val="auto"/>
              </w:rPr>
            </w:pPr>
          </w:p>
        </w:tc>
        <w:tc>
          <w:tcPr>
            <w:tcW w:w="1060" w:type="dxa"/>
            <w:vAlign w:val="bottom"/>
            <w:tcBorders>
              <w:bottom w:val="single" w:sz="8" w:color="BD03F7"/>
            </w:tcBorders>
          </w:tcPr>
          <w:p>
            <w:pPr>
              <w:spacing w:after="0"/>
              <w:rPr>
                <w:sz w:val="18"/>
                <w:szCs w:val="18"/>
                <w:color w:val="auto"/>
              </w:rPr>
            </w:pPr>
          </w:p>
        </w:tc>
        <w:tc>
          <w:tcPr>
            <w:tcW w:w="1480" w:type="dxa"/>
            <w:vAlign w:val="bottom"/>
            <w:tcBorders>
              <w:bottom w:val="single" w:sz="8" w:color="BD03F7"/>
            </w:tcBorders>
          </w:tcPr>
          <w:p>
            <w:pPr>
              <w:jc w:val="center"/>
              <w:ind w:right="59"/>
              <w:spacing w:after="0"/>
              <w:rPr>
                <w:sz w:val="20"/>
                <w:szCs w:val="20"/>
                <w:color w:val="auto"/>
              </w:rPr>
            </w:pPr>
            <w:r>
              <w:rPr>
                <w:rFonts w:ascii="Arial" w:cs="Arial" w:eastAsia="Arial" w:hAnsi="Arial"/>
                <w:sz w:val="16"/>
                <w:szCs w:val="16"/>
                <w:b w:val="1"/>
                <w:bCs w:val="1"/>
                <w:color w:val="auto"/>
              </w:rPr>
              <w:t>Last Fiscal Year</w:t>
            </w:r>
          </w:p>
        </w:tc>
        <w:tc>
          <w:tcPr>
            <w:tcW w:w="1520" w:type="dxa"/>
            <w:vAlign w:val="bottom"/>
            <w:tcBorders>
              <w:bottom w:val="single" w:sz="8" w:color="BD03F7"/>
            </w:tcBorders>
            <w:gridSpan w:val="2"/>
          </w:tcPr>
          <w:p>
            <w:pPr>
              <w:ind w:left="60"/>
              <w:spacing w:after="0"/>
              <w:rPr>
                <w:sz w:val="20"/>
                <w:szCs w:val="20"/>
                <w:color w:val="auto"/>
              </w:rPr>
            </w:pPr>
            <w:r>
              <w:rPr>
                <w:rFonts w:ascii="Arial" w:cs="Arial" w:eastAsia="Arial" w:hAnsi="Arial"/>
                <w:sz w:val="16"/>
                <w:szCs w:val="16"/>
                <w:b w:val="1"/>
                <w:bCs w:val="1"/>
                <w:color w:val="auto"/>
              </w:rPr>
              <w:t>Last Fiscal Year</w:t>
            </w:r>
          </w:p>
        </w:tc>
        <w:tc>
          <w:tcPr>
            <w:tcW w:w="1120" w:type="dxa"/>
            <w:vAlign w:val="bottom"/>
            <w:tcBorders>
              <w:bottom w:val="single" w:sz="8" w:color="BD03F7"/>
            </w:tcBorders>
          </w:tcPr>
          <w:p>
            <w:pPr>
              <w:jc w:val="center"/>
              <w:ind w:right="79"/>
              <w:spacing w:after="0"/>
              <w:rPr>
                <w:sz w:val="20"/>
                <w:szCs w:val="20"/>
                <w:color w:val="auto"/>
              </w:rPr>
            </w:pPr>
            <w:r>
              <w:rPr>
                <w:rFonts w:ascii="Arial" w:cs="Arial" w:eastAsia="Arial" w:hAnsi="Arial"/>
                <w:sz w:val="16"/>
                <w:szCs w:val="16"/>
                <w:b w:val="1"/>
                <w:bCs w:val="1"/>
                <w:color w:val="auto"/>
                <w:w w:val="99"/>
              </w:rPr>
              <w:t>Fiscal Year</w:t>
            </w:r>
          </w:p>
        </w:tc>
        <w:tc>
          <w:tcPr>
            <w:tcW w:w="2040" w:type="dxa"/>
            <w:vAlign w:val="bottom"/>
            <w:tcBorders>
              <w:bottom w:val="single" w:sz="8" w:color="BD03F7"/>
            </w:tcBorders>
            <w:gridSpan w:val="2"/>
          </w:tcPr>
          <w:p>
            <w:pPr>
              <w:ind w:left="40"/>
              <w:spacing w:after="0"/>
              <w:rPr>
                <w:sz w:val="20"/>
                <w:szCs w:val="20"/>
                <w:color w:val="auto"/>
              </w:rPr>
            </w:pPr>
            <w:r>
              <w:rPr>
                <w:rFonts w:ascii="Arial" w:cs="Arial" w:eastAsia="Arial" w:hAnsi="Arial"/>
                <w:sz w:val="16"/>
                <w:szCs w:val="16"/>
                <w:b w:val="1"/>
                <w:bCs w:val="1"/>
                <w:color w:val="auto"/>
              </w:rPr>
              <w:t>Withdrawals/Distributions</w:t>
            </w:r>
          </w:p>
        </w:tc>
        <w:tc>
          <w:tcPr>
            <w:tcW w:w="320" w:type="dxa"/>
            <w:vAlign w:val="bottom"/>
            <w:tcBorders>
              <w:bottom w:val="single" w:sz="8" w:color="BD03F7"/>
            </w:tcBorders>
          </w:tcPr>
          <w:p>
            <w:pPr>
              <w:spacing w:after="0"/>
              <w:rPr>
                <w:sz w:val="18"/>
                <w:szCs w:val="18"/>
                <w:color w:val="auto"/>
              </w:rPr>
            </w:pPr>
          </w:p>
        </w:tc>
        <w:tc>
          <w:tcPr>
            <w:tcW w:w="1340" w:type="dxa"/>
            <w:vAlign w:val="bottom"/>
            <w:tcBorders>
              <w:bottom w:val="single" w:sz="8" w:color="BD03F7"/>
            </w:tcBorders>
          </w:tcPr>
          <w:p>
            <w:pPr>
              <w:jc w:val="center"/>
              <w:ind w:right="239"/>
              <w:spacing w:after="0"/>
              <w:rPr>
                <w:sz w:val="20"/>
                <w:szCs w:val="20"/>
                <w:color w:val="auto"/>
              </w:rPr>
            </w:pPr>
            <w:r>
              <w:rPr>
                <w:rFonts w:ascii="Arial" w:cs="Arial" w:eastAsia="Arial" w:hAnsi="Arial"/>
                <w:sz w:val="16"/>
                <w:szCs w:val="16"/>
                <w:b w:val="1"/>
                <w:bCs w:val="1"/>
                <w:color w:val="auto"/>
                <w:w w:val="99"/>
              </w:rPr>
              <w:t>End</w:t>
            </w:r>
          </w:p>
        </w:tc>
        <w:tc>
          <w:tcPr>
            <w:tcW w:w="0" w:type="dxa"/>
            <w:vAlign w:val="bottom"/>
          </w:tcPr>
          <w:p>
            <w:pPr>
              <w:spacing w:after="0"/>
              <w:rPr>
                <w:sz w:val="1"/>
                <w:szCs w:val="1"/>
                <w:color w:val="auto"/>
              </w:rPr>
            </w:pPr>
          </w:p>
        </w:tc>
      </w:tr>
      <w:tr>
        <w:trPr>
          <w:trHeight w:val="262"/>
        </w:trPr>
        <w:tc>
          <w:tcPr>
            <w:tcW w:w="2260" w:type="dxa"/>
            <w:vAlign w:val="bottom"/>
            <w:tcBorders>
              <w:bottom w:val="single" w:sz="8" w:color="BD03F7"/>
            </w:tcBorders>
          </w:tcPr>
          <w:p>
            <w:pPr>
              <w:ind w:left="20"/>
              <w:spacing w:after="0"/>
              <w:rPr>
                <w:sz w:val="20"/>
                <w:szCs w:val="20"/>
                <w:color w:val="auto"/>
              </w:rPr>
            </w:pPr>
            <w:r>
              <w:rPr>
                <w:rFonts w:ascii="Arial" w:cs="Arial" w:eastAsia="Arial" w:hAnsi="Arial"/>
                <w:sz w:val="18"/>
                <w:szCs w:val="18"/>
                <w:color w:val="auto"/>
              </w:rPr>
              <w:t>Sanjay Mehrotra</w:t>
            </w:r>
          </w:p>
        </w:tc>
        <w:tc>
          <w:tcPr>
            <w:tcW w:w="106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3,403,151  (1)</w:t>
            </w:r>
          </w:p>
        </w:tc>
        <w:tc>
          <w:tcPr>
            <w:tcW w:w="20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D03F7"/>
            </w:tcBorders>
          </w:tcPr>
          <w:p>
            <w:pPr>
              <w:ind w:left="92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1,231,657</w:t>
            </w:r>
          </w:p>
        </w:tc>
        <w:tc>
          <w:tcPr>
            <w:tcW w:w="380" w:type="dxa"/>
            <w:vAlign w:val="bottom"/>
            <w:tcBorders>
              <w:bottom w:val="single" w:sz="8" w:color="BD03F7"/>
            </w:tcBorders>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(2,914,051)</w:t>
            </w:r>
          </w:p>
        </w:tc>
        <w:tc>
          <w:tcPr>
            <w:tcW w:w="320" w:type="dxa"/>
            <w:vAlign w:val="bottom"/>
            <w:tcBorders>
              <w:bottom w:val="single" w:sz="8" w:color="BD03F7"/>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D03F7"/>
            </w:tcBorders>
          </w:tcPr>
          <w:p>
            <w:pPr>
              <w:jc w:val="right"/>
              <w:spacing w:after="0"/>
              <w:rPr>
                <w:sz w:val="20"/>
                <w:szCs w:val="20"/>
                <w:color w:val="auto"/>
              </w:rPr>
            </w:pPr>
            <w:r>
              <w:rPr>
                <w:rFonts w:ascii="Arial" w:cs="Arial" w:eastAsia="Arial" w:hAnsi="Arial"/>
                <w:sz w:val="16"/>
                <w:szCs w:val="16"/>
                <w:color w:val="auto"/>
              </w:rPr>
              <w:t>8,256,487  (2)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100" w:hanging="333"/>
        <w:spacing w:after="0" w:line="267" w:lineRule="auto"/>
        <w:tabs>
          <w:tab w:leader="none" w:pos="3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$655,375 included in the Summary Compensation table in the “Salary” column for Fiscal 2025, $324,060 of dividend equivalents on vested stock units (paid at the same rate as for all shares of Common Stock), and $2,423,716 included in the “Non-Equity Incentive Plan Compensation” column for Fiscal 2024.</w:t>
      </w:r>
    </w:p>
    <w:p>
      <w:pPr>
        <w:spacing w:after="0" w:line="196" w:lineRule="exact"/>
        <w:rPr>
          <w:rFonts w:ascii="Arial" w:cs="Arial" w:eastAsia="Arial" w:hAnsi="Arial"/>
          <w:sz w:val="18"/>
          <w:szCs w:val="18"/>
          <w:color w:val="auto"/>
        </w:rPr>
      </w:pPr>
    </w:p>
    <w:p>
      <w:pPr>
        <w:ind w:left="320" w:hanging="313"/>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Balance as of the beginning of Fiscal 2025 was $6,535,730.</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SUMMARY OF MATERIAL TERMS OF DEFERRED COMPENSATION PLAN</w:t>
      </w:r>
    </w:p>
    <w:p>
      <w:pPr>
        <w:spacing w:after="0" w:line="252" w:lineRule="exact"/>
        <w:rPr>
          <w:sz w:val="20"/>
          <w:szCs w:val="20"/>
          <w:color w:val="auto"/>
        </w:rPr>
      </w:pPr>
    </w:p>
    <w:p>
      <w:pPr>
        <w:ind w:right="420"/>
        <w:spacing w:after="0" w:line="250" w:lineRule="auto"/>
        <w:rPr>
          <w:sz w:val="20"/>
          <w:szCs w:val="20"/>
          <w:color w:val="auto"/>
        </w:rPr>
      </w:pPr>
      <w:r>
        <w:rPr>
          <w:rFonts w:ascii="Arial" w:cs="Arial" w:eastAsia="Arial" w:hAnsi="Arial"/>
          <w:sz w:val="17"/>
          <w:szCs w:val="17"/>
          <w:color w:val="auto"/>
        </w:rPr>
        <w:t>The Deferred Compensation Plan is a nonqualified deferred compensation plan under which designated eligible participants may elect to defer compensation. Eligible participants include a select group of management and other employees of the Company that meet certain</w:t>
      </w:r>
    </w:p>
    <w:p>
      <w:pPr>
        <w:ind w:right="20"/>
        <w:spacing w:after="0" w:line="247" w:lineRule="auto"/>
        <w:rPr>
          <w:sz w:val="20"/>
          <w:szCs w:val="20"/>
          <w:color w:val="auto"/>
        </w:rPr>
      </w:pPr>
      <w:r>
        <w:rPr>
          <w:rFonts w:ascii="Arial" w:cs="Arial" w:eastAsia="Arial" w:hAnsi="Arial"/>
          <w:sz w:val="17"/>
          <w:szCs w:val="17"/>
          <w:color w:val="auto"/>
        </w:rPr>
        <w:t>compensation requirements, including each of the Company’s Named Executive Officers. Pursuant to the Deferred Compensation Plan and subject to applicable tax laws, participants may elect to defer up to 75% of their base salary and up to 100% of their bonus compensation. The Company may, in its sole discretion, provide matching and/or discretionary contributions to the Deferred Compensation Plan. Participants will be 100% vested at all times in their deferral accounts; provided, however, that matching and/or discretionary contributions by the Company, if any, may be subject to a vesting schedule as provided by the Company. Participants may elect to receive payment of their account balances upon a fixed date, or their separation from service with the Company, or the earlier of a fixed date or their separation from service. Participants may elect to receive payment of their account balances in a single sum cash payment or in substantially equal annual cash installments over not less than two years and not more than ten years. Account balances will become payable immediately in a single sum cash payment upon a participant’s death or disability, or upon a Change in Control. Account balances under the Deferred Compensation Plan earn or lose value based on the investment performance of one or more of the various investment funds offered under the Deferred</w:t>
      </w:r>
    </w:p>
    <w:p>
      <w:pPr>
        <w:spacing w:after="0" w:line="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Compensation Plan and selected by the participants. Incentive compensation that is subject to our Recoupment Policy remains subject to that policy when deferred under the Deferred Compensation Plan. Compensation deferred under the Deferred Compensation Plan represents an</w:t>
      </w:r>
    </w:p>
    <w:p>
      <w:pPr>
        <w:spacing w:after="0" w:line="248" w:lineRule="auto"/>
        <w:rPr>
          <w:sz w:val="20"/>
          <w:szCs w:val="20"/>
          <w:color w:val="auto"/>
        </w:rPr>
      </w:pPr>
      <w:r>
        <w:rPr>
          <w:rFonts w:ascii="Arial" w:cs="Arial" w:eastAsia="Arial" w:hAnsi="Arial"/>
          <w:sz w:val="18"/>
          <w:szCs w:val="18"/>
          <w:color w:val="auto"/>
        </w:rPr>
        <w:t>unsecured obligation of the Company. Amounts deferred under the Deferred Compensation Plan are held in a separate rabbi trust established to pay Plan benefits.</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CHIEF EXECUTIVE OFFICER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0046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In accordance with Item 402(u) of Regulation S-K, we are providing the ratio of the annual total compensation of our Chief Executive Officer to the annual total compensation of our median compensated employee.</w:t>
      </w:r>
    </w:p>
    <w:p>
      <w:pPr>
        <w:spacing w:after="0" w:line="180" w:lineRule="exact"/>
        <w:rPr>
          <w:sz w:val="20"/>
          <w:szCs w:val="20"/>
          <w:color w:val="auto"/>
        </w:rPr>
      </w:pPr>
    </w:p>
    <w:p>
      <w:pPr>
        <w:ind w:left="640" w:hanging="310"/>
        <w:spacing w:after="0"/>
        <w:tabs>
          <w:tab w:leader="none" w:pos="640" w:val="left"/>
        </w:tabs>
        <w:numPr>
          <w:ilvl w:val="0"/>
          <w:numId w:val="75"/>
        </w:numPr>
        <w:rPr>
          <w:rFonts w:ascii="Arial" w:cs="Arial" w:eastAsia="Arial" w:hAnsi="Arial"/>
          <w:sz w:val="18"/>
          <w:szCs w:val="18"/>
          <w:color w:val="BD03F7"/>
        </w:rPr>
      </w:pPr>
      <w:r>
        <w:rPr>
          <w:rFonts w:ascii="Arial" w:cs="Arial" w:eastAsia="Arial" w:hAnsi="Arial"/>
          <w:sz w:val="18"/>
          <w:szCs w:val="18"/>
          <w:color w:val="auto"/>
        </w:rPr>
        <w:t>The annual total compensation of our median compensated employee for Fiscal 2025 was $58,461.</w:t>
      </w:r>
    </w:p>
    <w:p>
      <w:pPr>
        <w:spacing w:after="0" w:line="26" w:lineRule="exact"/>
        <w:rPr>
          <w:rFonts w:ascii="Arial" w:cs="Arial" w:eastAsia="Arial" w:hAnsi="Arial"/>
          <w:sz w:val="18"/>
          <w:szCs w:val="18"/>
          <w:color w:val="BD03F7"/>
        </w:rPr>
      </w:pPr>
    </w:p>
    <w:p>
      <w:pPr>
        <w:ind w:left="640" w:hanging="310"/>
        <w:spacing w:after="0"/>
        <w:tabs>
          <w:tab w:leader="none" w:pos="640" w:val="left"/>
        </w:tabs>
        <w:numPr>
          <w:ilvl w:val="0"/>
          <w:numId w:val="75"/>
        </w:numPr>
        <w:rPr>
          <w:rFonts w:ascii="Arial" w:cs="Arial" w:eastAsia="Arial" w:hAnsi="Arial"/>
          <w:sz w:val="18"/>
          <w:szCs w:val="18"/>
          <w:color w:val="BD03F7"/>
        </w:rPr>
      </w:pPr>
      <w:r>
        <w:rPr>
          <w:rFonts w:ascii="Arial" w:cs="Arial" w:eastAsia="Arial" w:hAnsi="Arial"/>
          <w:sz w:val="18"/>
          <w:szCs w:val="18"/>
          <w:color w:val="auto"/>
        </w:rPr>
        <w:t>The annual total compensation of our Chief Executive Officer for Fiscal 2025 was $30,940,146.</w:t>
      </w:r>
    </w:p>
    <w:p>
      <w:pPr>
        <w:spacing w:after="0" w:line="8" w:lineRule="exact"/>
        <w:rPr>
          <w:rFonts w:ascii="Arial" w:cs="Arial" w:eastAsia="Arial" w:hAnsi="Arial"/>
          <w:sz w:val="18"/>
          <w:szCs w:val="18"/>
          <w:color w:val="BD03F7"/>
        </w:rPr>
      </w:pPr>
    </w:p>
    <w:p>
      <w:pPr>
        <w:ind w:left="660" w:right="760" w:hanging="330"/>
        <w:spacing w:after="0" w:line="264" w:lineRule="auto"/>
        <w:tabs>
          <w:tab w:leader="none" w:pos="655" w:val="left"/>
        </w:tabs>
        <w:numPr>
          <w:ilvl w:val="0"/>
          <w:numId w:val="75"/>
        </w:numPr>
        <w:rPr>
          <w:rFonts w:ascii="Arial" w:cs="Arial" w:eastAsia="Arial" w:hAnsi="Arial"/>
          <w:sz w:val="18"/>
          <w:szCs w:val="18"/>
          <w:color w:val="BD03F7"/>
        </w:rPr>
      </w:pPr>
      <w:r>
        <w:rPr>
          <w:rFonts w:ascii="Arial" w:cs="Arial" w:eastAsia="Arial" w:hAnsi="Arial"/>
          <w:sz w:val="18"/>
          <w:szCs w:val="18"/>
          <w:color w:val="auto"/>
        </w:rPr>
        <w:t>The ratio of the annual total compensation of our Chief Executive Officer to that of our median employee for Fiscal 2025 was estimated to be 529 to 1.</w:t>
      </w:r>
    </w:p>
    <w:p>
      <w:pPr>
        <w:spacing w:after="0" w:line="17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median compensated employee generally is the employee whose annual total compensation is at the midpoint of our employees (excluding our Chief Executive Officer), ranked in order of their compensation amounts. As permitted by the SEC rules, we used base salary, bonuses, and grant date fair value of equity awards granted to employees in Fiscal 2025, as reported in our payroll data, to identify our median employee. When calculating our median compensation for Fiscal 2025, we utilized our global employee population and exchange rates as of August 28, 2025, which was the last day of our Fiscal 2025. As of August 28, 2025, our employee population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6216015</wp:posOffset>
            </wp:positionH>
            <wp:positionV relativeFrom="paragraph">
              <wp:posOffset>269875</wp:posOffset>
            </wp:positionV>
            <wp:extent cx="776605" cy="161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6605" cy="16192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20"/>
        <w:spacing w:after="0" w:line="285" w:lineRule="auto"/>
        <w:rPr>
          <w:sz w:val="20"/>
          <w:szCs w:val="20"/>
          <w:color w:val="auto"/>
        </w:rPr>
      </w:pPr>
      <w:r>
        <w:rPr>
          <w:rFonts w:ascii="Arial" w:cs="Arial" w:eastAsia="Arial" w:hAnsi="Arial"/>
          <w:sz w:val="18"/>
          <w:szCs w:val="18"/>
          <w:color w:val="auto"/>
        </w:rPr>
        <w:t>approximately 53,000. This includes all regular, part-time, and temporary employees. No exclusions were made for countries, employee types, or acquisitions.</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median compensated employee for Fiscal 2025 was a Manufacturing Engineer in Taiwan. We determined actual annual total compensation in accordance with Item 402(c)(2)(x) of Regulation S-K and in the same manner as our Chief Executive Officer in the Summary Compensation Table using the daily average Taiwan dollar exchange rates for compensation paid to the median compensated employee during Fiscal 2025. We compared this value to the annual total compensation of our Chief Executive Officer for purposes of the ratio set forth above. We did not make any cost-of-living adjustments.</w:t>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Based on the above, the ratio shown of the annual total compensation of our Chief Executive Officer to the annual total compensation of the median compensated employee for Fiscal 2025 is a reasonable estimate calculated in a manner consistent with Item 402(u) of Regulation S-K.</w:t>
      </w:r>
    </w:p>
    <w:p>
      <w:pPr>
        <w:spacing w:after="0" w:line="256" w:lineRule="exact"/>
        <w:rPr>
          <w:sz w:val="20"/>
          <w:szCs w:val="20"/>
          <w:color w:val="auto"/>
        </w:rPr>
      </w:pPr>
    </w:p>
    <w:p>
      <w:pPr>
        <w:ind w:left="20" w:right="720"/>
        <w:spacing w:after="0" w:line="295" w:lineRule="auto"/>
        <w:rPr>
          <w:sz w:val="20"/>
          <w:szCs w:val="20"/>
          <w:color w:val="auto"/>
        </w:rPr>
      </w:pPr>
      <w:r>
        <w:rPr>
          <w:rFonts w:ascii="Arial" w:cs="Arial" w:eastAsia="Arial" w:hAnsi="Arial"/>
          <w:sz w:val="36"/>
          <w:szCs w:val="36"/>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0046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5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following tables quantify the estimated payments and benefits for each of our Named Executive Officers pursuant to the Executive Agreement and Named Executive Officer Severance Agreements and in the event of a Change in Control as described in “Compensation Discussion and Analysis—Other Compensation Practices—Severance and Change in Control Arrangements.” The amounts listed for the continuing Named Executive Officers are estimated amounts that were calculated as if a Change in Control occurred on August 28, 2025, or the Named Executive Officers separated from service on August 28, 2025, the last day of Fiscal 2025.</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POTENTIAL PAYMENTS UPON TERMINATION WITHOUT CHANGE IN CONTROL</w:t>
      </w:r>
    </w:p>
    <w:p>
      <w:pPr>
        <w:spacing w:after="0" w:line="252"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All the Named Executive Officers have severance agreements. Payments and benefits upon termination for Messrs. Mehrotra, Murphy, Bhatia, DeBoer and Sadana are payable only if their employment with the Company terminates as a result of death or disability (for Messrs. Mehrotra, Murphy, Bhatia and Sadana), the Company terminates their employment without cause, or they resign for good reason.</w:t>
      </w:r>
    </w:p>
    <w:p>
      <w:pPr>
        <w:spacing w:after="0" w:line="19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“Salary” portion of severance payments is paid on our regular bi-weekly payroll schedule during the officer’s one-year Transition Period subject to the possibility of a six-month delay that may be required by Section 409A of the Code (“Section 409A”). If Section 409A imposes a six-month delay, payments subject to the delay would be accumulated and paid to the officer on the first day of the seventh month following the Named Executive Officer’s separation from service. The remaining payments would then be paid according to our regular payroll schedule.</w:t>
      </w:r>
    </w:p>
    <w:p>
      <w:pPr>
        <w:spacing w:after="0" w:line="204"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The “Bonus” portion of the severance payments includes a component that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 Mr. Mehrotra would receive a separate bonus severance payment equal to two times his target annual bonus under the STI plan for the year of termination paid on the anniversary of his termination.</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with the exception of Mr. Mehrotra, who would receive two times this amount. These “Cash in Lieu of Benefits” payments will be made in a lump sum within 60 days after the Named Executive Officer’s separation</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from service for Dr. DeBoer or Mr. Mehrotra, and in roughly equal installments over the Transition Period for our other Named Executive Officers, subject to the possibility of a six-month delay that may be required by Section 409A. To the extent that Section 409A imposes a six-month delay, these payments would commence on the first day of the seventh month following the officer’s separation from service.</w:t>
      </w:r>
    </w:p>
    <w:tbl>
      <w:tblPr>
        <w:tblLayout w:type="fixed"/>
        <w:tblInd w:w="120" w:type="dxa"/>
        <w:tblCellMar>
          <w:top w:w="0" w:type="dxa"/>
          <w:left w:w="0" w:type="dxa"/>
          <w:bottom w:w="0" w:type="dxa"/>
          <w:right w:w="0" w:type="dxa"/>
        </w:tblCellMar>
      </w:tblPr>
      <w:tr>
        <w:trPr>
          <w:trHeight w:val="164"/>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Value of</w:t>
            </w:r>
          </w:p>
        </w:tc>
        <w:tc>
          <w:tcPr>
            <w:tcW w:w="120" w:type="dxa"/>
            <w:vAlign w:val="bottom"/>
          </w:tcPr>
          <w:p>
            <w:pPr>
              <w:spacing w:after="0"/>
              <w:rPr>
                <w:sz w:val="14"/>
                <w:szCs w:val="14"/>
                <w:color w:val="auto"/>
              </w:rPr>
            </w:pPr>
          </w:p>
        </w:tc>
        <w:tc>
          <w:tcPr>
            <w:tcW w:w="1160" w:type="dxa"/>
            <w:vAlign w:val="bottom"/>
          </w:tcPr>
          <w:p>
            <w:pPr>
              <w:jc w:val="center"/>
              <w:ind w:right="19"/>
              <w:spacing w:after="0" w:line="164" w:lineRule="exact"/>
              <w:rPr>
                <w:sz w:val="20"/>
                <w:szCs w:val="20"/>
                <w:color w:val="auto"/>
              </w:rPr>
            </w:pPr>
            <w:r>
              <w:rPr>
                <w:rFonts w:ascii="Arial" w:cs="Arial" w:eastAsia="Arial" w:hAnsi="Arial"/>
                <w:sz w:val="16"/>
                <w:szCs w:val="16"/>
                <w:b w:val="1"/>
                <w:bCs w:val="1"/>
                <w:color w:val="auto"/>
                <w:w w:val="99"/>
              </w:rPr>
              <w:t>Value of</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Cash in Lieu of</w:t>
            </w: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9"/>
              <w:spacing w:after="0" w:line="161" w:lineRule="exact"/>
              <w:rPr>
                <w:sz w:val="20"/>
                <w:szCs w:val="20"/>
                <w:color w:val="auto"/>
              </w:rPr>
            </w:pPr>
            <w:r>
              <w:rPr>
                <w:rFonts w:ascii="Arial" w:cs="Arial" w:eastAsia="Arial" w:hAnsi="Arial"/>
                <w:sz w:val="16"/>
                <w:szCs w:val="16"/>
                <w:b w:val="1"/>
                <w:bCs w:val="1"/>
                <w:color w:val="auto"/>
              </w:rPr>
              <w:t>Unearned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99"/>
              <w:spacing w:after="0" w:line="161" w:lineRule="exact"/>
              <w:rPr>
                <w:sz w:val="20"/>
                <w:szCs w:val="20"/>
                <w:color w:val="auto"/>
              </w:rPr>
            </w:pPr>
            <w:r>
              <w:rPr>
                <w:rFonts w:ascii="Arial" w:cs="Arial" w:eastAsia="Arial" w:hAnsi="Arial"/>
                <w:sz w:val="16"/>
                <w:szCs w:val="16"/>
                <w:b w:val="1"/>
                <w:bCs w:val="1"/>
                <w:color w:val="auto"/>
              </w:rPr>
              <w:t>Extended</w:t>
            </w:r>
          </w:p>
        </w:tc>
        <w:tc>
          <w:tcPr>
            <w:tcW w:w="120" w:type="dxa"/>
            <w:vAlign w:val="bottom"/>
          </w:tcPr>
          <w:p>
            <w:pPr>
              <w:spacing w:after="0"/>
              <w:rPr>
                <w:sz w:val="14"/>
                <w:szCs w:val="14"/>
                <w:color w:val="auto"/>
              </w:rPr>
            </w:pPr>
          </w:p>
        </w:tc>
        <w:tc>
          <w:tcPr>
            <w:tcW w:w="11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Performance -</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040" w:type="dxa"/>
            <w:vAlign w:val="bottom"/>
          </w:tcPr>
          <w:p>
            <w:pPr>
              <w:spacing w:after="0"/>
              <w:rPr>
                <w:sz w:val="14"/>
                <w:szCs w:val="14"/>
                <w:color w:val="auto"/>
              </w:rPr>
            </w:pP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Salary(1)(3)</w:t>
            </w:r>
          </w:p>
        </w:tc>
        <w:tc>
          <w:tcPr>
            <w:tcW w:w="200" w:type="dxa"/>
            <w:vAlign w:val="bottom"/>
          </w:tcPr>
          <w:p>
            <w:pPr>
              <w:spacing w:after="0"/>
              <w:rPr>
                <w:sz w:val="14"/>
                <w:szCs w:val="14"/>
                <w:color w:val="auto"/>
              </w:rPr>
            </w:pP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Bonus(2)(3)</w:t>
            </w:r>
          </w:p>
        </w:tc>
        <w:tc>
          <w:tcPr>
            <w:tcW w:w="200" w:type="dxa"/>
            <w:vAlign w:val="bottom"/>
          </w:tcPr>
          <w:p>
            <w:pPr>
              <w:spacing w:after="0"/>
              <w:rPr>
                <w:sz w:val="14"/>
                <w:szCs w:val="14"/>
                <w:color w:val="auto"/>
              </w:rPr>
            </w:pPr>
          </w:p>
        </w:tc>
        <w:tc>
          <w:tcPr>
            <w:tcW w:w="1120" w:type="dxa"/>
            <w:vAlign w:val="bottom"/>
          </w:tcPr>
          <w:p>
            <w:pPr>
              <w:jc w:val="center"/>
              <w:ind w:right="59"/>
              <w:spacing w:after="0" w:line="161" w:lineRule="exact"/>
              <w:rPr>
                <w:sz w:val="20"/>
                <w:szCs w:val="20"/>
                <w:color w:val="auto"/>
              </w:rPr>
            </w:pPr>
            <w:r>
              <w:rPr>
                <w:rFonts w:ascii="Arial" w:cs="Arial" w:eastAsia="Arial" w:hAnsi="Arial"/>
                <w:sz w:val="16"/>
                <w:szCs w:val="16"/>
                <w:b w:val="1"/>
                <w:bCs w:val="1"/>
                <w:color w:val="auto"/>
                <w:w w:val="98"/>
              </w:rPr>
              <w:t>Benefits</w:t>
            </w:r>
          </w:p>
        </w:tc>
        <w:tc>
          <w:tcPr>
            <w:tcW w:w="134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9"/>
              </w:rPr>
              <w:t>Restricted Stock</w:t>
            </w:r>
          </w:p>
        </w:tc>
        <w:tc>
          <w:tcPr>
            <w:tcW w:w="120" w:type="dxa"/>
            <w:vAlign w:val="bottom"/>
          </w:tcPr>
          <w:p>
            <w:pPr>
              <w:spacing w:after="0"/>
              <w:rPr>
                <w:sz w:val="14"/>
                <w:szCs w:val="14"/>
                <w:color w:val="auto"/>
              </w:rPr>
            </w:pPr>
          </w:p>
        </w:tc>
        <w:tc>
          <w:tcPr>
            <w:tcW w:w="11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Based Stock</w:t>
            </w:r>
          </w:p>
        </w:tc>
        <w:tc>
          <w:tcPr>
            <w:tcW w:w="260" w:type="dxa"/>
            <w:vAlign w:val="bottom"/>
          </w:tcPr>
          <w:p>
            <w:pPr>
              <w:spacing w:after="0"/>
              <w:rPr>
                <w:sz w:val="14"/>
                <w:szCs w:val="14"/>
                <w:color w:val="auto"/>
              </w:rPr>
            </w:pPr>
          </w:p>
        </w:tc>
        <w:tc>
          <w:tcPr>
            <w:tcW w:w="11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240" w:type="dxa"/>
            <w:vAlign w:val="bottom"/>
            <w:tcBorders>
              <w:bottom w:val="single" w:sz="8" w:color="BD03F7"/>
            </w:tcBorders>
            <w:vMerge w:val="continue"/>
          </w:tcPr>
          <w:p>
            <w:pPr>
              <w:spacing w:after="0"/>
              <w:rPr>
                <w:sz w:val="18"/>
                <w:szCs w:val="18"/>
                <w:color w:val="auto"/>
              </w:rPr>
            </w:pPr>
          </w:p>
        </w:tc>
        <w:tc>
          <w:tcPr>
            <w:tcW w:w="1040" w:type="dxa"/>
            <w:vAlign w:val="bottom"/>
            <w:tcBorders>
              <w:bottom w:val="single" w:sz="8" w:color="BD03F7"/>
            </w:tcBorders>
          </w:tcPr>
          <w:p>
            <w:pPr>
              <w:spacing w:after="0"/>
              <w:rPr>
                <w:sz w:val="18"/>
                <w:szCs w:val="18"/>
                <w:color w:val="auto"/>
              </w:rPr>
            </w:pPr>
          </w:p>
        </w:tc>
        <w:tc>
          <w:tcPr>
            <w:tcW w:w="1120" w:type="dxa"/>
            <w:vAlign w:val="bottom"/>
            <w:tcBorders>
              <w:bottom w:val="single" w:sz="8" w:color="BD03F7"/>
            </w:tcBorders>
            <w:vMerge w:val="continue"/>
          </w:tcPr>
          <w:p>
            <w:pPr>
              <w:spacing w:after="0"/>
              <w:rPr>
                <w:sz w:val="18"/>
                <w:szCs w:val="18"/>
                <w:color w:val="auto"/>
              </w:rPr>
            </w:pPr>
          </w:p>
        </w:tc>
        <w:tc>
          <w:tcPr>
            <w:tcW w:w="200" w:type="dxa"/>
            <w:vAlign w:val="bottom"/>
            <w:tcBorders>
              <w:bottom w:val="single" w:sz="8" w:color="BD03F7"/>
            </w:tcBorders>
          </w:tcPr>
          <w:p>
            <w:pPr>
              <w:spacing w:after="0"/>
              <w:rPr>
                <w:sz w:val="18"/>
                <w:szCs w:val="18"/>
                <w:color w:val="auto"/>
              </w:rPr>
            </w:pPr>
          </w:p>
        </w:tc>
        <w:tc>
          <w:tcPr>
            <w:tcW w:w="1120" w:type="dxa"/>
            <w:vAlign w:val="bottom"/>
            <w:tcBorders>
              <w:bottom w:val="single" w:sz="8" w:color="BD03F7"/>
            </w:tcBorders>
            <w:vMerge w:val="continue"/>
          </w:tcPr>
          <w:p>
            <w:pPr>
              <w:spacing w:after="0"/>
              <w:rPr>
                <w:sz w:val="18"/>
                <w:szCs w:val="18"/>
                <w:color w:val="auto"/>
              </w:rPr>
            </w:pPr>
          </w:p>
        </w:tc>
        <w:tc>
          <w:tcPr>
            <w:tcW w:w="200" w:type="dxa"/>
            <w:vAlign w:val="bottom"/>
            <w:tcBorders>
              <w:bottom w:val="single" w:sz="8" w:color="BD03F7"/>
            </w:tcBorders>
          </w:tcPr>
          <w:p>
            <w:pPr>
              <w:spacing w:after="0"/>
              <w:rPr>
                <w:sz w:val="18"/>
                <w:szCs w:val="18"/>
                <w:color w:val="auto"/>
              </w:rPr>
            </w:pPr>
          </w:p>
        </w:tc>
        <w:tc>
          <w:tcPr>
            <w:tcW w:w="1120" w:type="dxa"/>
            <w:vAlign w:val="bottom"/>
            <w:tcBorders>
              <w:bottom w:val="single" w:sz="8" w:color="BD03F7"/>
            </w:tcBorders>
          </w:tcPr>
          <w:p>
            <w:pPr>
              <w:jc w:val="center"/>
              <w:ind w:right="59"/>
              <w:spacing w:after="0"/>
              <w:rPr>
                <w:sz w:val="20"/>
                <w:szCs w:val="20"/>
                <w:color w:val="auto"/>
              </w:rPr>
            </w:pPr>
            <w:r>
              <w:rPr>
                <w:rFonts w:ascii="Arial" w:cs="Arial" w:eastAsia="Arial" w:hAnsi="Arial"/>
                <w:sz w:val="16"/>
                <w:szCs w:val="16"/>
                <w:b w:val="1"/>
                <w:bCs w:val="1"/>
                <w:color w:val="auto"/>
                <w:w w:val="99"/>
              </w:rPr>
              <w:t>Payment(4)</w:t>
            </w:r>
          </w:p>
        </w:tc>
        <w:tc>
          <w:tcPr>
            <w:tcW w:w="220" w:type="dxa"/>
            <w:vAlign w:val="bottom"/>
            <w:tcBorders>
              <w:bottom w:val="single" w:sz="8" w:color="BD03F7"/>
            </w:tcBorders>
          </w:tcPr>
          <w:p>
            <w:pPr>
              <w:spacing w:after="0"/>
              <w:rPr>
                <w:sz w:val="18"/>
                <w:szCs w:val="18"/>
                <w:color w:val="auto"/>
              </w:rPr>
            </w:pPr>
          </w:p>
        </w:tc>
        <w:tc>
          <w:tcPr>
            <w:tcW w:w="1120" w:type="dxa"/>
            <w:vAlign w:val="bottom"/>
            <w:tcBorders>
              <w:bottom w:val="single" w:sz="8" w:color="BD03F7"/>
            </w:tcBorders>
          </w:tcPr>
          <w:p>
            <w:pPr>
              <w:jc w:val="center"/>
              <w:ind w:right="99"/>
              <w:spacing w:after="0"/>
              <w:rPr>
                <w:sz w:val="20"/>
                <w:szCs w:val="20"/>
                <w:color w:val="auto"/>
              </w:rPr>
            </w:pPr>
            <w:r>
              <w:rPr>
                <w:rFonts w:ascii="Arial" w:cs="Arial" w:eastAsia="Arial" w:hAnsi="Arial"/>
                <w:sz w:val="16"/>
                <w:szCs w:val="16"/>
                <w:b w:val="1"/>
                <w:bCs w:val="1"/>
                <w:color w:val="auto"/>
              </w:rPr>
              <w:t>Vesting(5)</w:t>
            </w:r>
          </w:p>
        </w:tc>
        <w:tc>
          <w:tcPr>
            <w:tcW w:w="120" w:type="dxa"/>
            <w:vAlign w:val="bottom"/>
            <w:tcBorders>
              <w:bottom w:val="single" w:sz="8" w:color="BD03F7"/>
            </w:tcBorders>
          </w:tcPr>
          <w:p>
            <w:pPr>
              <w:spacing w:after="0"/>
              <w:rPr>
                <w:sz w:val="18"/>
                <w:szCs w:val="18"/>
                <w:color w:val="auto"/>
              </w:rPr>
            </w:pPr>
          </w:p>
        </w:tc>
        <w:tc>
          <w:tcPr>
            <w:tcW w:w="1160" w:type="dxa"/>
            <w:vAlign w:val="bottom"/>
            <w:tcBorders>
              <w:bottom w:val="single" w:sz="8" w:color="BD03F7"/>
            </w:tcBorders>
          </w:tcPr>
          <w:p>
            <w:pPr>
              <w:jc w:val="center"/>
              <w:ind w:right="19"/>
              <w:spacing w:after="0"/>
              <w:rPr>
                <w:sz w:val="20"/>
                <w:szCs w:val="20"/>
                <w:color w:val="auto"/>
              </w:rPr>
            </w:pPr>
            <w:r>
              <w:rPr>
                <w:rFonts w:ascii="Arial" w:cs="Arial" w:eastAsia="Arial" w:hAnsi="Arial"/>
                <w:sz w:val="16"/>
                <w:szCs w:val="16"/>
                <w:b w:val="1"/>
                <w:bCs w:val="1"/>
                <w:color w:val="auto"/>
              </w:rPr>
              <w:t>Awards(6)</w:t>
            </w:r>
          </w:p>
        </w:tc>
        <w:tc>
          <w:tcPr>
            <w:tcW w:w="260" w:type="dxa"/>
            <w:vAlign w:val="bottom"/>
            <w:tcBorders>
              <w:bottom w:val="single" w:sz="8" w:color="BD03F7"/>
            </w:tcBorders>
          </w:tcPr>
          <w:p>
            <w:pPr>
              <w:spacing w:after="0"/>
              <w:rPr>
                <w:sz w:val="18"/>
                <w:szCs w:val="18"/>
                <w:color w:val="auto"/>
              </w:rPr>
            </w:pPr>
          </w:p>
        </w:tc>
        <w:tc>
          <w:tcPr>
            <w:tcW w:w="1100" w:type="dxa"/>
            <w:vAlign w:val="bottom"/>
            <w:tcBorders>
              <w:bottom w:val="single" w:sz="8" w:color="BD03F7"/>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0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2,900,000</w:t>
            </w:r>
          </w:p>
        </w:tc>
        <w:tc>
          <w:tcPr>
            <w:tcW w:w="2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10,274,990</w:t>
            </w:r>
          </w:p>
        </w:tc>
        <w:tc>
          <w:tcPr>
            <w:tcW w:w="2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555,972</w:t>
            </w:r>
          </w:p>
        </w:tc>
        <w:tc>
          <w:tcPr>
            <w:tcW w:w="2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10,511,276</w:t>
            </w: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93,591,080</w:t>
            </w:r>
          </w:p>
        </w:tc>
        <w:tc>
          <w:tcPr>
            <w:tcW w:w="26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117,833,318</w:t>
            </w:r>
          </w:p>
        </w:tc>
        <w:tc>
          <w:tcPr>
            <w:tcW w:w="0" w:type="dxa"/>
            <w:vAlign w:val="bottom"/>
          </w:tcPr>
          <w:p>
            <w:pPr>
              <w:spacing w:after="0"/>
              <w:rPr>
                <w:sz w:val="1"/>
                <w:szCs w:val="1"/>
                <w:color w:val="auto"/>
              </w:rPr>
            </w:pPr>
          </w:p>
        </w:tc>
      </w:tr>
      <w:tr>
        <w:trPr>
          <w:trHeight w:val="228"/>
        </w:trPr>
        <w:tc>
          <w:tcPr>
            <w:tcW w:w="224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0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821,500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1,185,425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68,576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4,936,242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27,316,044</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34,327,787</w:t>
            </w:r>
          </w:p>
        </w:tc>
        <w:tc>
          <w:tcPr>
            <w:tcW w:w="0" w:type="dxa"/>
            <w:vAlign w:val="bottom"/>
          </w:tcPr>
          <w:p>
            <w:pPr>
              <w:spacing w:after="0"/>
              <w:rPr>
                <w:sz w:val="1"/>
                <w:szCs w:val="1"/>
                <w:color w:val="auto"/>
              </w:rPr>
            </w:pPr>
          </w:p>
        </w:tc>
      </w:tr>
      <w:tr>
        <w:trPr>
          <w:trHeight w:val="228"/>
        </w:trPr>
        <w:tc>
          <w:tcPr>
            <w:tcW w:w="2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04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848,000</w:t>
            </w:r>
          </w:p>
        </w:tc>
        <w:tc>
          <w:tcPr>
            <w:tcW w:w="20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1,397,801</w:t>
            </w:r>
          </w:p>
        </w:tc>
        <w:tc>
          <w:tcPr>
            <w:tcW w:w="20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68,256</w:t>
            </w:r>
          </w:p>
        </w:tc>
        <w:tc>
          <w:tcPr>
            <w:tcW w:w="2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5,225,504</w:t>
            </w: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28,965,606</w:t>
            </w:r>
          </w:p>
        </w:tc>
        <w:tc>
          <w:tcPr>
            <w:tcW w:w="26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36,505,167</w:t>
            </w:r>
          </w:p>
        </w:tc>
        <w:tc>
          <w:tcPr>
            <w:tcW w:w="0" w:type="dxa"/>
            <w:vAlign w:val="bottom"/>
          </w:tcPr>
          <w:p>
            <w:pPr>
              <w:spacing w:after="0"/>
              <w:rPr>
                <w:sz w:val="1"/>
                <w:szCs w:val="1"/>
                <w:color w:val="auto"/>
              </w:rPr>
            </w:pPr>
          </w:p>
        </w:tc>
      </w:tr>
      <w:tr>
        <w:trPr>
          <w:trHeight w:val="228"/>
        </w:trPr>
        <w:tc>
          <w:tcPr>
            <w:tcW w:w="224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0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624,750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1,318,223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84,531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4,308,796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23,459,258</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29,795,558</w:t>
            </w:r>
          </w:p>
        </w:tc>
        <w:tc>
          <w:tcPr>
            <w:tcW w:w="0" w:type="dxa"/>
            <w:vAlign w:val="bottom"/>
          </w:tcPr>
          <w:p>
            <w:pPr>
              <w:spacing w:after="0"/>
              <w:rPr>
                <w:sz w:val="1"/>
                <w:szCs w:val="1"/>
                <w:color w:val="auto"/>
              </w:rPr>
            </w:pPr>
          </w:p>
        </w:tc>
      </w:tr>
      <w:tr>
        <w:trPr>
          <w:trHeight w:val="228"/>
        </w:trPr>
        <w:tc>
          <w:tcPr>
            <w:tcW w:w="224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040" w:type="dxa"/>
            <w:vAlign w:val="bottom"/>
            <w:tcBorders>
              <w:bottom w:val="single" w:sz="8" w:color="BD03F7"/>
            </w:tcBorders>
            <w:shd w:val="clear" w:color="auto" w:fill="F2F2F2"/>
          </w:tcPr>
          <w:p>
            <w:pPr>
              <w:spacing w:after="0"/>
              <w:rPr>
                <w:sz w:val="19"/>
                <w:szCs w:val="19"/>
                <w:color w:val="auto"/>
              </w:rPr>
            </w:pPr>
          </w:p>
        </w:tc>
        <w:tc>
          <w:tcPr>
            <w:tcW w:w="11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866,250</w:t>
            </w:r>
          </w:p>
        </w:tc>
        <w:tc>
          <w:tcPr>
            <w:tcW w:w="200" w:type="dxa"/>
            <w:vAlign w:val="bottom"/>
            <w:tcBorders>
              <w:bottom w:val="single" w:sz="8" w:color="BD03F7"/>
            </w:tcBorders>
            <w:shd w:val="clear" w:color="auto" w:fill="F2F2F2"/>
          </w:tcPr>
          <w:p>
            <w:pPr>
              <w:spacing w:after="0"/>
              <w:rPr>
                <w:sz w:val="19"/>
                <w:szCs w:val="19"/>
                <w:color w:val="auto"/>
              </w:rPr>
            </w:pPr>
          </w:p>
        </w:tc>
        <w:tc>
          <w:tcPr>
            <w:tcW w:w="11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1,427,883</w:t>
            </w:r>
          </w:p>
        </w:tc>
        <w:tc>
          <w:tcPr>
            <w:tcW w:w="200" w:type="dxa"/>
            <w:vAlign w:val="bottom"/>
            <w:tcBorders>
              <w:bottom w:val="single" w:sz="8" w:color="BD03F7"/>
            </w:tcBorders>
            <w:shd w:val="clear" w:color="auto" w:fill="F2F2F2"/>
          </w:tcPr>
          <w:p>
            <w:pPr>
              <w:spacing w:after="0"/>
              <w:rPr>
                <w:sz w:val="19"/>
                <w:szCs w:val="19"/>
                <w:color w:val="auto"/>
              </w:rPr>
            </w:pPr>
          </w:p>
        </w:tc>
        <w:tc>
          <w:tcPr>
            <w:tcW w:w="11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59,440</w:t>
            </w:r>
          </w:p>
        </w:tc>
        <w:tc>
          <w:tcPr>
            <w:tcW w:w="220" w:type="dxa"/>
            <w:vAlign w:val="bottom"/>
            <w:tcBorders>
              <w:bottom w:val="single" w:sz="8" w:color="BD03F7"/>
            </w:tcBorders>
            <w:shd w:val="clear" w:color="auto" w:fill="F2F2F2"/>
          </w:tcPr>
          <w:p>
            <w:pPr>
              <w:spacing w:after="0"/>
              <w:rPr>
                <w:sz w:val="19"/>
                <w:szCs w:val="19"/>
                <w:color w:val="auto"/>
              </w:rPr>
            </w:pPr>
          </w:p>
        </w:tc>
        <w:tc>
          <w:tcPr>
            <w:tcW w:w="112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5,249,660</w:t>
            </w:r>
          </w:p>
        </w:tc>
        <w:tc>
          <w:tcPr>
            <w:tcW w:w="120" w:type="dxa"/>
            <w:vAlign w:val="bottom"/>
            <w:tcBorders>
              <w:bottom w:val="single" w:sz="8" w:color="BD03F7"/>
            </w:tcBorders>
            <w:shd w:val="clear" w:color="auto" w:fill="F2F2F2"/>
          </w:tcPr>
          <w:p>
            <w:pPr>
              <w:spacing w:after="0"/>
              <w:rPr>
                <w:sz w:val="19"/>
                <w:szCs w:val="19"/>
                <w:color w:val="auto"/>
              </w:rPr>
            </w:pPr>
          </w:p>
        </w:tc>
        <w:tc>
          <w:tcPr>
            <w:tcW w:w="116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29,293,664</w:t>
            </w:r>
          </w:p>
        </w:tc>
        <w:tc>
          <w:tcPr>
            <w:tcW w:w="260" w:type="dxa"/>
            <w:vAlign w:val="bottom"/>
            <w:tcBorders>
              <w:bottom w:val="single" w:sz="8" w:color="BD03F7"/>
            </w:tcBorders>
            <w:shd w:val="clear" w:color="auto" w:fill="F2F2F2"/>
          </w:tcPr>
          <w:p>
            <w:pPr>
              <w:spacing w:after="0"/>
              <w:rPr>
                <w:sz w:val="19"/>
                <w:szCs w:val="19"/>
                <w:color w:val="auto"/>
              </w:rPr>
            </w:pPr>
          </w:p>
        </w:tc>
        <w:tc>
          <w:tcPr>
            <w:tcW w:w="110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36,896,897</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80" w:hanging="333"/>
        <w:spacing w:after="0" w:line="267" w:lineRule="auto"/>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one year of the Named Executive Officer’s salary as of August 28, 2025, except the figure for Mr. Mehrotra, which represents two years of salary as of August 28, 2025, and the figure for Dr. DeBoer, which represents one year of his Fiscal 2023 salary prior to reduction.</w:t>
      </w:r>
    </w:p>
    <w:p>
      <w:pPr>
        <w:spacing w:after="0" w:line="196" w:lineRule="exact"/>
        <w:rPr>
          <w:rFonts w:ascii="Arial" w:cs="Arial" w:eastAsia="Arial" w:hAnsi="Arial"/>
          <w:sz w:val="18"/>
          <w:szCs w:val="18"/>
          <w:color w:val="auto"/>
        </w:rPr>
      </w:pPr>
    </w:p>
    <w:p>
      <w:pPr>
        <w:ind w:left="340" w:right="120" w:hanging="333"/>
        <w:spacing w:after="0" w:line="261" w:lineRule="auto"/>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for Mr. Mehrotra, a bonus severance payment equal to two times his target annual bonus and for Dr. DeBoer, the bonus severance payment equals the actual bonus he would earn for Fiscal 2025 and target bonus for Fiscal 2026, but calculated based on his Fiscal 2023 salary and bonus opportunity percentage prior to reduction. Additionally, this column includes the actual STI bonus paid for Fiscal 2025 for each of Messrs. Mehrotra, Murphy, Bhatia and Sadana.</w:t>
      </w:r>
    </w:p>
    <w:p>
      <w:pPr>
        <w:spacing w:after="0" w:line="201" w:lineRule="exact"/>
        <w:rPr>
          <w:rFonts w:ascii="Arial" w:cs="Arial" w:eastAsia="Arial" w:hAnsi="Arial"/>
          <w:sz w:val="18"/>
          <w:szCs w:val="18"/>
          <w:color w:val="auto"/>
        </w:rPr>
      </w:pPr>
    </w:p>
    <w:p>
      <w:pPr>
        <w:ind w:left="340" w:right="80" w:hanging="333"/>
        <w:spacing w:after="0" w:line="285" w:lineRule="auto"/>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Cash severance benefits payable to Mr. Mehrotra (subject to certain exceptions) would be reduced to the extent necessary not to exceed 2.99 times the sum of his base salary plus target bonus opportunity under our Executive Officer Cash Severance Policy.</w:t>
      </w:r>
    </w:p>
    <w:p>
      <w:pPr>
        <w:spacing w:after="0" w:line="166" w:lineRule="exact"/>
        <w:rPr>
          <w:rFonts w:ascii="Arial" w:cs="Arial" w:eastAsia="Arial" w:hAnsi="Arial"/>
          <w:sz w:val="18"/>
          <w:szCs w:val="18"/>
          <w:color w:val="auto"/>
        </w:rPr>
      </w:pPr>
    </w:p>
    <w:p>
      <w:pPr>
        <w:ind w:left="340" w:right="20" w:hanging="333"/>
        <w:spacing w:after="0" w:line="239" w:lineRule="auto"/>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Mr. Mehrotra, represents a cash payment of twice the amount estimated to allow Mr. Mehrotra to purchase, during the Transition Period, benefits similar to those received while an employee. For Dr. DeBoer, represents a cash payment in an amount estimated to allow Dr. DeBoer to purchase, during the Transition Period, benefits similar to those received while an employee. For Messrs. Murphy, Bhatia and Sadana, represents matching contributions under our 401(k) Plan and the cost of COBRA premiums at the benefit level in effect at the time of termination, reduced by the employee portion for that benefit level, in each case for the Transition Period.</w:t>
      </w:r>
    </w:p>
    <w:p>
      <w:pPr>
        <w:spacing w:after="0" w:line="218" w:lineRule="exact"/>
        <w:rPr>
          <w:rFonts w:ascii="Arial" w:cs="Arial" w:eastAsia="Arial" w:hAnsi="Arial"/>
          <w:sz w:val="18"/>
          <w:szCs w:val="18"/>
          <w:color w:val="auto"/>
        </w:rPr>
      </w:pPr>
    </w:p>
    <w:p>
      <w:pPr>
        <w:jc w:val="both"/>
        <w:ind w:left="340" w:right="280" w:hanging="333"/>
        <w:spacing w:after="0" w:line="267" w:lineRule="auto"/>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$122.00, our closing stock price on August 28, 2025.</w:t>
      </w:r>
    </w:p>
    <w:p>
      <w:pPr>
        <w:spacing w:after="0" w:line="196" w:lineRule="exact"/>
        <w:rPr>
          <w:rFonts w:ascii="Arial" w:cs="Arial" w:eastAsia="Arial" w:hAnsi="Arial"/>
          <w:sz w:val="18"/>
          <w:szCs w:val="18"/>
          <w:color w:val="auto"/>
        </w:rPr>
      </w:pPr>
    </w:p>
    <w:p>
      <w:pPr>
        <w:ind w:left="340" w:right="120" w:hanging="333"/>
        <w:spacing w:after="0" w:line="256" w:lineRule="auto"/>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the value resulting from the vesting of performance-based restricted awards during the Named Executive Officer’s Transition Period, the banking of performance-based restricted awards in connection with the Named Executive Officer’s termination, and the vesting of banked performance-based awards in connection with the Named Executive Officer’s termination. The amount shown is calculated as the number of additional shares that would vest during the Transition Period based on actual attainment of performance goals through the end of such Transition Period (assuming, for purposes of this disclosure, that this attainment will be at target levels), multiplied by $122.00, our closing stock price on August 28, 2025.</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POTENTIAL PAYMENT UPON TERMINATION WITH CHANGE IN CONTROL</w:t>
      </w:r>
    </w:p>
    <w:p>
      <w:pPr>
        <w:spacing w:after="0" w:line="25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For purposes of the Executive Agreement and the Named Executive Officers’ Severance Agreements, a Change in Control is generally defined as a change in the majority of the members of the Board within a specified time period, the acquisition of 35% or more of our outstanding Common Stock, or a reorganization or sale of assets after which the holders of the Company stock before the transaction do not hold a majority of the stock of the surviving entity.</w:t>
      </w:r>
    </w:p>
    <w:p>
      <w:pPr>
        <w:spacing w:after="0" w:line="20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equity plans, grant agreements, and STI plan have Change in Control provisions, including “double-trigger” vesting provisions in the event of a Change in Control. As a result, if awards are assumed by a successor in connection with a Change in Control, such awards will not automatically vest and pay out solely as a result of the</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For equity awards, the impact of a Change in Control differs for outstanding time-based and performance-based awards. Outstanding time-based awards would automatically become fully vested or the applicable restrictions would lapse upon occurrence of the double-trigger event. For our Named Executive Officers, upon the occurrence of a double-trigger event, outstanding performance-based awards are treated as if all required performance goals were satisfied at the target level, and the awards vested, on the date of the double-trigger event, except that if applicable performance goals have been exceeded, or the applicable performance period has been completed at the time of a double-trigger event, performance-based awards will be treated as if relevant performance goals were satisfied at the actual level instead of the target level, subject to any applicable caps.</w:t>
      </w:r>
    </w:p>
    <w:p>
      <w:pPr>
        <w:spacing w:after="0" w:line="2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Under the STI plan, a Change in Control results in an early payout of awards, to the extent earned. Upon a Change in Control, performance achievement is measured as of the last day of the month preceding the Change in Control.</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do not have separate Change in Control agreements for our Named Executive Officers. The severance agreements for Messrs. Mehrotra, Murphy, Bhatia, DeBoer and Sadana provide for transitional benefits for Change in Control separation. Change in Control separation means a qualifying separation from service that occurs on or within 12 months following a Change in Control. In the event of a Change in Control separation, the payments for “Salary,” “Bonus,” and “Cash in Lieu of Benefit” for these Named Executive Officers on a Change in Control separation are paid in a lump sum within 60 days from the date of separation, other than salary severance payable to Dr. DeBoer, which will be payable bi-weekly during the Transition Period, in each case subject to the possibility of a six-month delay that may be required by Section 409A. All outstanding time-based and performance-based awards would become fully vested.</w:t>
      </w:r>
    </w:p>
    <w:p>
      <w:pPr>
        <w:spacing w:after="0" w:line="213"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The compensation that executive officers could receive if a Change in Control occurs is intended to enable them to objectively evaluate whether a potential Change in Control is in the best interest of us and our shareholders.</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table sets forth the estimated benefits payable to the Named Executive Officers pursuant to Change in Control agreements or provisions, assuming a Change in Control separation occurred on August 28,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Cash in Lieu of</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Value of Stock</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580" w:type="dxa"/>
            <w:vAlign w:val="bottom"/>
          </w:tcPr>
          <w:p>
            <w:pPr>
              <w:spacing w:after="0"/>
              <w:rPr>
                <w:sz w:val="15"/>
                <w:szCs w:val="1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Salary(1)</w:t>
            </w:r>
          </w:p>
        </w:tc>
        <w:tc>
          <w:tcPr>
            <w:tcW w:w="260" w:type="dxa"/>
            <w:vAlign w:val="bottom"/>
          </w:tcPr>
          <w:p>
            <w:pPr>
              <w:spacing w:after="0"/>
              <w:rPr>
                <w:sz w:val="15"/>
                <w:szCs w:val="15"/>
                <w:color w:val="auto"/>
              </w:rPr>
            </w:pPr>
          </w:p>
        </w:tc>
        <w:tc>
          <w:tcPr>
            <w:tcW w:w="11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Bonus(2)</w:t>
            </w:r>
          </w:p>
        </w:tc>
        <w:tc>
          <w:tcPr>
            <w:tcW w:w="200" w:type="dxa"/>
            <w:vAlign w:val="bottom"/>
          </w:tcPr>
          <w:p>
            <w:pPr>
              <w:spacing w:after="0"/>
              <w:rPr>
                <w:sz w:val="15"/>
                <w:szCs w:val="15"/>
                <w:color w:val="auto"/>
              </w:rPr>
            </w:pPr>
          </w:p>
        </w:tc>
        <w:tc>
          <w:tcPr>
            <w:tcW w:w="1240" w:type="dxa"/>
            <w:vAlign w:val="bottom"/>
          </w:tcPr>
          <w:p>
            <w:pPr>
              <w:jc w:val="center"/>
              <w:ind w:right="50"/>
              <w:spacing w:after="0" w:line="175" w:lineRule="exact"/>
              <w:rPr>
                <w:sz w:val="20"/>
                <w:szCs w:val="20"/>
                <w:color w:val="auto"/>
              </w:rPr>
            </w:pPr>
            <w:r>
              <w:rPr>
                <w:rFonts w:ascii="Arial" w:cs="Arial" w:eastAsia="Arial" w:hAnsi="Arial"/>
                <w:sz w:val="18"/>
                <w:szCs w:val="18"/>
                <w:b w:val="1"/>
                <w:bCs w:val="1"/>
                <w:color w:val="auto"/>
                <w:w w:val="98"/>
              </w:rPr>
              <w:t>Benefits</w:t>
            </w:r>
          </w:p>
        </w:tc>
        <w:tc>
          <w:tcPr>
            <w:tcW w:w="14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2"/>
        </w:trPr>
        <w:tc>
          <w:tcPr>
            <w:tcW w:w="2700" w:type="dxa"/>
            <w:vAlign w:val="bottom"/>
            <w:tcBorders>
              <w:bottom w:val="single" w:sz="8" w:color="BD03F7"/>
            </w:tcBorders>
            <w:vMerge w:val="continue"/>
          </w:tcPr>
          <w:p>
            <w:pPr>
              <w:spacing w:after="0"/>
              <w:rPr>
                <w:sz w:val="21"/>
                <w:szCs w:val="21"/>
                <w:color w:val="auto"/>
              </w:rPr>
            </w:pPr>
          </w:p>
        </w:tc>
        <w:tc>
          <w:tcPr>
            <w:tcW w:w="1580" w:type="dxa"/>
            <w:vAlign w:val="bottom"/>
            <w:tcBorders>
              <w:bottom w:val="single" w:sz="8" w:color="BD03F7"/>
            </w:tcBorders>
          </w:tcPr>
          <w:p>
            <w:pPr>
              <w:spacing w:after="0"/>
              <w:rPr>
                <w:sz w:val="21"/>
                <w:szCs w:val="21"/>
                <w:color w:val="auto"/>
              </w:rPr>
            </w:pPr>
          </w:p>
        </w:tc>
        <w:tc>
          <w:tcPr>
            <w:tcW w:w="1180" w:type="dxa"/>
            <w:vAlign w:val="bottom"/>
            <w:tcBorders>
              <w:bottom w:val="single" w:sz="8" w:color="BD03F7"/>
            </w:tcBorders>
            <w:vMerge w:val="continue"/>
          </w:tcPr>
          <w:p>
            <w:pPr>
              <w:spacing w:after="0"/>
              <w:rPr>
                <w:sz w:val="21"/>
                <w:szCs w:val="21"/>
                <w:color w:val="auto"/>
              </w:rPr>
            </w:pPr>
          </w:p>
        </w:tc>
        <w:tc>
          <w:tcPr>
            <w:tcW w:w="260" w:type="dxa"/>
            <w:vAlign w:val="bottom"/>
            <w:tcBorders>
              <w:bottom w:val="single" w:sz="8" w:color="BD03F7"/>
            </w:tcBorders>
          </w:tcPr>
          <w:p>
            <w:pPr>
              <w:spacing w:after="0"/>
              <w:rPr>
                <w:sz w:val="21"/>
                <w:szCs w:val="21"/>
                <w:color w:val="auto"/>
              </w:rPr>
            </w:pPr>
          </w:p>
        </w:tc>
        <w:tc>
          <w:tcPr>
            <w:tcW w:w="1180" w:type="dxa"/>
            <w:vAlign w:val="bottom"/>
            <w:tcBorders>
              <w:bottom w:val="single" w:sz="8" w:color="BD03F7"/>
            </w:tcBorders>
            <w:vMerge w:val="continue"/>
          </w:tcPr>
          <w:p>
            <w:pPr>
              <w:spacing w:after="0"/>
              <w:rPr>
                <w:sz w:val="21"/>
                <w:szCs w:val="21"/>
                <w:color w:val="auto"/>
              </w:rPr>
            </w:pPr>
          </w:p>
        </w:tc>
        <w:tc>
          <w:tcPr>
            <w:tcW w:w="200" w:type="dxa"/>
            <w:vAlign w:val="bottom"/>
            <w:tcBorders>
              <w:bottom w:val="single" w:sz="8" w:color="BD03F7"/>
            </w:tcBorders>
          </w:tcPr>
          <w:p>
            <w:pPr>
              <w:spacing w:after="0"/>
              <w:rPr>
                <w:sz w:val="21"/>
                <w:szCs w:val="21"/>
                <w:color w:val="auto"/>
              </w:rPr>
            </w:pPr>
          </w:p>
        </w:tc>
        <w:tc>
          <w:tcPr>
            <w:tcW w:w="1240" w:type="dxa"/>
            <w:vAlign w:val="bottom"/>
            <w:tcBorders>
              <w:bottom w:val="single" w:sz="8" w:color="BD03F7"/>
            </w:tcBorders>
          </w:tcPr>
          <w:p>
            <w:pPr>
              <w:jc w:val="center"/>
              <w:ind w:right="70"/>
              <w:spacing w:after="0"/>
              <w:rPr>
                <w:sz w:val="20"/>
                <w:szCs w:val="20"/>
                <w:color w:val="auto"/>
              </w:rPr>
            </w:pPr>
            <w:r>
              <w:rPr>
                <w:rFonts w:ascii="Arial" w:cs="Arial" w:eastAsia="Arial" w:hAnsi="Arial"/>
                <w:sz w:val="18"/>
                <w:szCs w:val="18"/>
                <w:b w:val="1"/>
                <w:bCs w:val="1"/>
                <w:color w:val="auto"/>
                <w:w w:val="98"/>
              </w:rPr>
              <w:t>Payment(3)</w:t>
            </w:r>
          </w:p>
        </w:tc>
        <w:tc>
          <w:tcPr>
            <w:tcW w:w="1440" w:type="dxa"/>
            <w:vAlign w:val="bottom"/>
            <w:tcBorders>
              <w:bottom w:val="single" w:sz="8" w:color="BD03F7"/>
            </w:tcBorders>
          </w:tcPr>
          <w:p>
            <w:pPr>
              <w:jc w:val="right"/>
              <w:ind w:right="170"/>
              <w:spacing w:after="0"/>
              <w:rPr>
                <w:sz w:val="20"/>
                <w:szCs w:val="20"/>
                <w:color w:val="auto"/>
              </w:rPr>
            </w:pPr>
            <w:r>
              <w:rPr>
                <w:rFonts w:ascii="Arial" w:cs="Arial" w:eastAsia="Arial" w:hAnsi="Arial"/>
                <w:sz w:val="18"/>
                <w:szCs w:val="18"/>
                <w:b w:val="1"/>
                <w:bCs w:val="1"/>
                <w:color w:val="auto"/>
              </w:rPr>
              <w:t>Awards(4)</w:t>
            </w:r>
          </w:p>
        </w:tc>
        <w:tc>
          <w:tcPr>
            <w:tcW w:w="260" w:type="dxa"/>
            <w:vAlign w:val="bottom"/>
            <w:tcBorders>
              <w:bottom w:val="single" w:sz="8" w:color="BD03F7"/>
            </w:tcBorders>
          </w:tcPr>
          <w:p>
            <w:pPr>
              <w:spacing w:after="0"/>
              <w:rPr>
                <w:sz w:val="21"/>
                <w:szCs w:val="21"/>
                <w:color w:val="auto"/>
              </w:rPr>
            </w:pPr>
          </w:p>
        </w:tc>
        <w:tc>
          <w:tcPr>
            <w:tcW w:w="1200" w:type="dxa"/>
            <w:vAlign w:val="bottom"/>
            <w:tcBorders>
              <w:bottom w:val="single" w:sz="8" w:color="BD03F7"/>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700" w:type="dxa"/>
            <w:vAlign w:val="bottom"/>
            <w:shd w:val="clear" w:color="auto" w:fill="F2F2F2"/>
          </w:tcPr>
          <w:p>
            <w:pPr>
              <w:ind w:left="20"/>
              <w:spacing w:after="0"/>
              <w:rPr>
                <w:sz w:val="20"/>
                <w:szCs w:val="20"/>
                <w:color w:val="auto"/>
              </w:rPr>
            </w:pPr>
            <w:r>
              <w:rPr>
                <w:rFonts w:ascii="Arial" w:cs="Arial" w:eastAsia="Arial" w:hAnsi="Arial"/>
                <w:sz w:val="18"/>
                <w:szCs w:val="18"/>
                <w:color w:val="auto"/>
              </w:rPr>
              <w:t>Sanjay Mehrotra</w:t>
            </w:r>
          </w:p>
        </w:tc>
        <w:tc>
          <w:tcPr>
            <w:tcW w:w="158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2,900,000</w:t>
            </w:r>
          </w:p>
        </w:tc>
        <w:tc>
          <w:tcPr>
            <w:tcW w:w="2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10,274,990</w:t>
            </w:r>
          </w:p>
        </w:tc>
        <w:tc>
          <w:tcPr>
            <w:tcW w:w="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555,972</w:t>
            </w:r>
          </w:p>
        </w:tc>
        <w:tc>
          <w:tcPr>
            <w:tcW w:w="14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   115,700,652</w:t>
            </w:r>
          </w:p>
        </w:tc>
        <w:tc>
          <w:tcPr>
            <w:tcW w:w="2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129,431,614</w:t>
            </w: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Arial" w:cs="Arial" w:eastAsia="Arial" w:hAnsi="Arial"/>
                <w:sz w:val="18"/>
                <w:szCs w:val="18"/>
                <w:color w:val="auto"/>
              </w:rPr>
              <w:t>Mark Murphy</w:t>
            </w:r>
          </w:p>
        </w:tc>
        <w:tc>
          <w:tcPr>
            <w:tcW w:w="1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1,232,250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1,067,950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102,864</w:t>
            </w:r>
          </w:p>
        </w:tc>
        <w:tc>
          <w:tcPr>
            <w:tcW w:w="1440" w:type="dxa"/>
            <w:vAlign w:val="bottom"/>
          </w:tcPr>
          <w:p>
            <w:pPr>
              <w:jc w:val="right"/>
              <w:spacing w:after="0"/>
              <w:rPr>
                <w:sz w:val="20"/>
                <w:szCs w:val="20"/>
                <w:color w:val="auto"/>
              </w:rPr>
            </w:pPr>
            <w:r>
              <w:rPr>
                <w:rFonts w:ascii="Arial" w:cs="Arial" w:eastAsia="Arial" w:hAnsi="Arial"/>
                <w:sz w:val="18"/>
                <w:szCs w:val="18"/>
                <w:color w:val="auto"/>
              </w:rPr>
              <w:t>38,153,426</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40,556,490</w:t>
            </w:r>
          </w:p>
        </w:tc>
        <w:tc>
          <w:tcPr>
            <w:tcW w:w="0" w:type="dxa"/>
            <w:vAlign w:val="bottom"/>
          </w:tcPr>
          <w:p>
            <w:pPr>
              <w:spacing w:after="0"/>
              <w:rPr>
                <w:sz w:val="1"/>
                <w:szCs w:val="1"/>
                <w:color w:val="auto"/>
              </w:rPr>
            </w:pPr>
          </w:p>
        </w:tc>
      </w:tr>
      <w:tr>
        <w:trPr>
          <w:trHeight w:val="228"/>
        </w:trPr>
        <w:tc>
          <w:tcPr>
            <w:tcW w:w="270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580" w:type="dxa"/>
            <w:vAlign w:val="bottom"/>
            <w:shd w:val="clear" w:color="auto" w:fill="F2F2F2"/>
          </w:tcPr>
          <w:p>
            <w:pPr>
              <w:spacing w:after="0"/>
              <w:rPr>
                <w:sz w:val="19"/>
                <w:szCs w:val="19"/>
                <w:color w:val="auto"/>
              </w:rPr>
            </w:pPr>
          </w:p>
        </w:tc>
        <w:tc>
          <w:tcPr>
            <w:tcW w:w="1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1,272,000</w:t>
            </w:r>
          </w:p>
        </w:tc>
        <w:tc>
          <w:tcPr>
            <w:tcW w:w="260" w:type="dxa"/>
            <w:vAlign w:val="bottom"/>
            <w:shd w:val="clear" w:color="auto" w:fill="F2F2F2"/>
          </w:tcPr>
          <w:p>
            <w:pPr>
              <w:spacing w:after="0"/>
              <w:rPr>
                <w:sz w:val="19"/>
                <w:szCs w:val="19"/>
                <w:color w:val="auto"/>
              </w:rPr>
            </w:pPr>
          </w:p>
        </w:tc>
        <w:tc>
          <w:tcPr>
            <w:tcW w:w="1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1,144,800</w:t>
            </w:r>
          </w:p>
        </w:tc>
        <w:tc>
          <w:tcPr>
            <w:tcW w:w="200" w:type="dxa"/>
            <w:vAlign w:val="bottom"/>
            <w:shd w:val="clear" w:color="auto" w:fill="F2F2F2"/>
          </w:tcPr>
          <w:p>
            <w:pPr>
              <w:spacing w:after="0"/>
              <w:rPr>
                <w:sz w:val="19"/>
                <w:szCs w:val="19"/>
                <w:color w:val="auto"/>
              </w:rPr>
            </w:pPr>
          </w:p>
        </w:tc>
        <w:tc>
          <w:tcPr>
            <w:tcW w:w="12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102,384</w:t>
            </w:r>
          </w:p>
        </w:tc>
        <w:tc>
          <w:tcPr>
            <w:tcW w:w="14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40,427,994</w:t>
            </w:r>
          </w:p>
        </w:tc>
        <w:tc>
          <w:tcPr>
            <w:tcW w:w="260" w:type="dxa"/>
            <w:vAlign w:val="bottom"/>
            <w:shd w:val="clear" w:color="auto" w:fill="F2F2F2"/>
          </w:tcPr>
          <w:p>
            <w:pPr>
              <w:spacing w:after="0"/>
              <w:rPr>
                <w:sz w:val="19"/>
                <w:szCs w:val="19"/>
                <w:color w:val="auto"/>
              </w:rPr>
            </w:pP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42,947,178</w:t>
            </w:r>
          </w:p>
        </w:tc>
        <w:tc>
          <w:tcPr>
            <w:tcW w:w="0" w:type="dxa"/>
            <w:vAlign w:val="bottom"/>
          </w:tcPr>
          <w:p>
            <w:pPr>
              <w:spacing w:after="0"/>
              <w:rPr>
                <w:sz w:val="1"/>
                <w:szCs w:val="1"/>
                <w:color w:val="auto"/>
              </w:rPr>
            </w:pPr>
          </w:p>
        </w:tc>
      </w:tr>
      <w:tr>
        <w:trPr>
          <w:trHeight w:val="228"/>
        </w:trPr>
        <w:tc>
          <w:tcPr>
            <w:tcW w:w="2700" w:type="dxa"/>
            <w:vAlign w:val="bottom"/>
          </w:tcPr>
          <w:p>
            <w:pPr>
              <w:ind w:left="20"/>
              <w:spacing w:after="0"/>
              <w:rPr>
                <w:sz w:val="20"/>
                <w:szCs w:val="20"/>
                <w:color w:val="auto"/>
              </w:rPr>
            </w:pPr>
            <w:r>
              <w:rPr>
                <w:rFonts w:ascii="Arial" w:cs="Arial" w:eastAsia="Arial" w:hAnsi="Arial"/>
                <w:sz w:val="18"/>
                <w:szCs w:val="18"/>
                <w:color w:val="auto"/>
              </w:rPr>
              <w:t>Scott DeBoer</w:t>
            </w:r>
          </w:p>
        </w:tc>
        <w:tc>
          <w:tcPr>
            <w:tcW w:w="1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756,000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2,241,767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84,531</w:t>
            </w:r>
          </w:p>
        </w:tc>
        <w:tc>
          <w:tcPr>
            <w:tcW w:w="1440" w:type="dxa"/>
            <w:vAlign w:val="bottom"/>
          </w:tcPr>
          <w:p>
            <w:pPr>
              <w:jc w:val="right"/>
              <w:spacing w:after="0"/>
              <w:rPr>
                <w:sz w:val="20"/>
                <w:szCs w:val="20"/>
                <w:color w:val="auto"/>
              </w:rPr>
            </w:pPr>
            <w:r>
              <w:rPr>
                <w:rFonts w:ascii="Arial" w:cs="Arial" w:eastAsia="Arial" w:hAnsi="Arial"/>
                <w:sz w:val="18"/>
                <w:szCs w:val="18"/>
                <w:color w:val="auto"/>
              </w:rPr>
              <w:t>33,019,422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36,101,720</w:t>
            </w:r>
          </w:p>
        </w:tc>
        <w:tc>
          <w:tcPr>
            <w:tcW w:w="0" w:type="dxa"/>
            <w:vAlign w:val="bottom"/>
          </w:tcPr>
          <w:p>
            <w:pPr>
              <w:spacing w:after="0"/>
              <w:rPr>
                <w:sz w:val="1"/>
                <w:szCs w:val="1"/>
                <w:color w:val="auto"/>
              </w:rPr>
            </w:pPr>
          </w:p>
        </w:tc>
      </w:tr>
      <w:tr>
        <w:trPr>
          <w:trHeight w:val="228"/>
        </w:trPr>
        <w:tc>
          <w:tcPr>
            <w:tcW w:w="2700" w:type="dxa"/>
            <w:vAlign w:val="bottom"/>
            <w:tcBorders>
              <w:bottom w:val="single" w:sz="8" w:color="BD03F7"/>
            </w:tcBorders>
            <w:shd w:val="clear" w:color="auto" w:fill="F2F2F2"/>
          </w:tcPr>
          <w:p>
            <w:pPr>
              <w:ind w:left="20"/>
              <w:spacing w:after="0"/>
              <w:rPr>
                <w:sz w:val="20"/>
                <w:szCs w:val="20"/>
                <w:color w:val="auto"/>
              </w:rPr>
            </w:pPr>
            <w:r>
              <w:rPr>
                <w:rFonts w:ascii="Arial" w:cs="Arial" w:eastAsia="Arial" w:hAnsi="Arial"/>
                <w:sz w:val="18"/>
                <w:szCs w:val="18"/>
                <w:color w:val="auto"/>
              </w:rPr>
              <w:t>Sumit Sadana</w:t>
            </w:r>
          </w:p>
        </w:tc>
        <w:tc>
          <w:tcPr>
            <w:tcW w:w="1580" w:type="dxa"/>
            <w:vAlign w:val="bottom"/>
            <w:tcBorders>
              <w:bottom w:val="single" w:sz="8" w:color="BD03F7"/>
            </w:tcBorders>
            <w:shd w:val="clear" w:color="auto" w:fill="F2F2F2"/>
          </w:tcPr>
          <w:p>
            <w:pPr>
              <w:spacing w:after="0"/>
              <w:rPr>
                <w:sz w:val="19"/>
                <w:szCs w:val="19"/>
                <w:color w:val="auto"/>
              </w:rPr>
            </w:pPr>
          </w:p>
        </w:tc>
        <w:tc>
          <w:tcPr>
            <w:tcW w:w="11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1,299,375</w:t>
            </w:r>
          </w:p>
        </w:tc>
        <w:tc>
          <w:tcPr>
            <w:tcW w:w="260" w:type="dxa"/>
            <w:vAlign w:val="bottom"/>
            <w:tcBorders>
              <w:bottom w:val="single" w:sz="8" w:color="BD03F7"/>
            </w:tcBorders>
            <w:shd w:val="clear" w:color="auto" w:fill="F2F2F2"/>
          </w:tcPr>
          <w:p>
            <w:pPr>
              <w:spacing w:after="0"/>
              <w:rPr>
                <w:sz w:val="19"/>
                <w:szCs w:val="19"/>
                <w:color w:val="auto"/>
              </w:rPr>
            </w:pPr>
          </w:p>
        </w:tc>
        <w:tc>
          <w:tcPr>
            <w:tcW w:w="118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1,169,438</w:t>
            </w:r>
          </w:p>
        </w:tc>
        <w:tc>
          <w:tcPr>
            <w:tcW w:w="200" w:type="dxa"/>
            <w:vAlign w:val="bottom"/>
            <w:tcBorders>
              <w:bottom w:val="single" w:sz="8" w:color="BD03F7"/>
            </w:tcBorders>
            <w:shd w:val="clear" w:color="auto" w:fill="F2F2F2"/>
          </w:tcPr>
          <w:p>
            <w:pPr>
              <w:spacing w:after="0"/>
              <w:rPr>
                <w:sz w:val="19"/>
                <w:szCs w:val="19"/>
                <w:color w:val="auto"/>
              </w:rPr>
            </w:pPr>
          </w:p>
        </w:tc>
        <w:tc>
          <w:tcPr>
            <w:tcW w:w="124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89,160</w:t>
            </w:r>
          </w:p>
        </w:tc>
        <w:tc>
          <w:tcPr>
            <w:tcW w:w="144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40,780,208</w:t>
            </w:r>
          </w:p>
        </w:tc>
        <w:tc>
          <w:tcPr>
            <w:tcW w:w="260" w:type="dxa"/>
            <w:vAlign w:val="bottom"/>
            <w:tcBorders>
              <w:bottom w:val="single" w:sz="8" w:color="BD03F7"/>
            </w:tcBorders>
            <w:shd w:val="clear" w:color="auto" w:fill="F2F2F2"/>
          </w:tcPr>
          <w:p>
            <w:pPr>
              <w:spacing w:after="0"/>
              <w:rPr>
                <w:sz w:val="19"/>
                <w:szCs w:val="19"/>
                <w:color w:val="auto"/>
              </w:rPr>
            </w:pPr>
          </w:p>
        </w:tc>
        <w:tc>
          <w:tcPr>
            <w:tcW w:w="1200" w:type="dxa"/>
            <w:vAlign w:val="bottom"/>
            <w:tcBorders>
              <w:bottom w:val="single" w:sz="8" w:color="BD03F7"/>
            </w:tcBorders>
            <w:shd w:val="clear" w:color="auto" w:fill="F2F2F2"/>
          </w:tcPr>
          <w:p>
            <w:pPr>
              <w:jc w:val="right"/>
              <w:spacing w:after="0"/>
              <w:rPr>
                <w:sz w:val="20"/>
                <w:szCs w:val="20"/>
                <w:color w:val="auto"/>
              </w:rPr>
            </w:pPr>
            <w:r>
              <w:rPr>
                <w:rFonts w:ascii="Arial" w:cs="Arial" w:eastAsia="Arial" w:hAnsi="Arial"/>
                <w:sz w:val="18"/>
                <w:szCs w:val="18"/>
                <w:color w:val="auto"/>
              </w:rPr>
              <w:t>43,338,181</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20" w:hanging="333"/>
        <w:spacing w:after="0" w:line="267" w:lineRule="auto"/>
        <w:tabs>
          <w:tab w:leader="none" w:pos="3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one-and-a-half years of the Named Executive Officer’s salary as of August 28, 2025, except the figure for Mr. Mehrotra, which represents two years of his salary as of August 28, 2025, and the figure for Dr. DeBoer, which represents one year of his salary as of August 28, 2025.</w:t>
      </w:r>
    </w:p>
    <w:p>
      <w:pPr>
        <w:spacing w:after="0" w:line="196" w:lineRule="exact"/>
        <w:rPr>
          <w:rFonts w:ascii="Arial" w:cs="Arial" w:eastAsia="Arial" w:hAnsi="Arial"/>
          <w:sz w:val="18"/>
          <w:szCs w:val="18"/>
          <w:color w:val="auto"/>
        </w:rPr>
      </w:pPr>
    </w:p>
    <w:p>
      <w:pPr>
        <w:ind w:left="340" w:right="180" w:hanging="333"/>
        <w:spacing w:after="0" w:line="261" w:lineRule="auto"/>
        <w:tabs>
          <w:tab w:leader="none" w:pos="3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the target STI bonus opportunity for Fiscal 2025, except the figure for Mr. Mehrotra, which also includes two times his target annual bonus, subject to the maximum award limit imposed by the STI plan, and the figure for Dr. DeBoer, which includes his actual STI bonus paid for Fiscal 2025 together with a bonus severance payment equal to the actual bonus Dr. DeBoer would earn for Fiscal 2026 (assuming, for purposes of this disclosure, that attainment of the Fiscal 2026 bonus would be at target levels).</w:t>
      </w:r>
    </w:p>
    <w:p>
      <w:pPr>
        <w:spacing w:after="0" w:line="187" w:lineRule="exact"/>
        <w:rPr>
          <w:rFonts w:ascii="Arial" w:cs="Arial" w:eastAsia="Arial" w:hAnsi="Arial"/>
          <w:sz w:val="18"/>
          <w:szCs w:val="18"/>
          <w:color w:val="auto"/>
        </w:rPr>
      </w:pPr>
    </w:p>
    <w:p>
      <w:pPr>
        <w:ind w:left="340" w:right="80" w:hanging="333"/>
        <w:spacing w:after="0" w:line="239" w:lineRule="auto"/>
        <w:tabs>
          <w:tab w:leader="none" w:pos="3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Mr. Mehrotra and Dr. DeBoer, represents a cash payment in an amount estimated to allow the Named Executive Officer to purchase 12 months of benefits similar to those received while an employee, except the figure for Mr. Mehrotra, which represents 24 months of such benefits. For Messrs. Murphy, Bhatia and Sadana, represents matching contributions under our 401(k) Plan and the cost of COBRA premiums at the benefit level in effect at the time of termination, reduced by the employee portion for that benefit level, in each case for the 18-month Transition Period.</w:t>
      </w:r>
    </w:p>
    <w:p>
      <w:pPr>
        <w:spacing w:after="0" w:line="218" w:lineRule="exact"/>
        <w:rPr>
          <w:rFonts w:ascii="Arial" w:cs="Arial" w:eastAsia="Arial" w:hAnsi="Arial"/>
          <w:sz w:val="18"/>
          <w:szCs w:val="18"/>
          <w:color w:val="auto"/>
        </w:rPr>
      </w:pPr>
    </w:p>
    <w:p>
      <w:pPr>
        <w:ind w:left="340" w:right="520" w:hanging="333"/>
        <w:spacing w:after="0" w:line="285" w:lineRule="auto"/>
        <w:tabs>
          <w:tab w:leader="none" w:pos="3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the value of all outstanding time-based and performance-based restricted stock awards vesting in full at target or actual achievement level on August 28, 2025. The amount shown is calculated as the number of</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shares upon which restrictions would lapse, multiplied by $122.00, the closing price of our Common Stock on August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6000115</wp:posOffset>
            </wp:positionH>
            <wp:positionV relativeFrom="paragraph">
              <wp:posOffset>298450</wp:posOffset>
            </wp:positionV>
            <wp:extent cx="776605" cy="161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6605" cy="16192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75565</wp:posOffset>
            </wp:positionV>
            <wp:extent cx="71583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2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0046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following table provides information as of August 28, 2025 regarding shares of Common Stock that may be issued pursuant to our equity compensation plans:</w:t>
      </w:r>
    </w:p>
    <w:tbl>
      <w:tblPr>
        <w:tblLayout w:type="fixed"/>
        <w:tblInd w:w="0" w:type="dxa"/>
        <w:tblCellMar>
          <w:top w:w="0" w:type="dxa"/>
          <w:left w:w="0" w:type="dxa"/>
          <w:bottom w:w="0" w:type="dxa"/>
          <w:right w:w="0" w:type="dxa"/>
        </w:tblCellMar>
      </w:tblPr>
      <w:tr>
        <w:trPr>
          <w:trHeight w:val="163"/>
        </w:trPr>
        <w:tc>
          <w:tcPr>
            <w:tcW w:w="5360" w:type="dxa"/>
            <w:vAlign w:val="bottom"/>
          </w:tcPr>
          <w:p>
            <w:pPr>
              <w:spacing w:after="0"/>
              <w:rPr>
                <w:sz w:val="14"/>
                <w:szCs w:val="14"/>
                <w:color w:val="auto"/>
              </w:rPr>
            </w:pPr>
          </w:p>
        </w:tc>
        <w:tc>
          <w:tcPr>
            <w:tcW w:w="17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9"/>
              </w:rPr>
              <w:t>(a) Number of</w:t>
            </w:r>
          </w:p>
        </w:tc>
        <w:tc>
          <w:tcPr>
            <w:tcW w:w="120" w:type="dxa"/>
            <w:vAlign w:val="bottom"/>
          </w:tcPr>
          <w:p>
            <w:pPr>
              <w:spacing w:after="0"/>
              <w:rPr>
                <w:sz w:val="14"/>
                <w:szCs w:val="14"/>
                <w:color w:val="auto"/>
              </w:rPr>
            </w:pPr>
          </w:p>
        </w:tc>
        <w:tc>
          <w:tcPr>
            <w:tcW w:w="15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(b) Weighted</w:t>
            </w:r>
          </w:p>
        </w:tc>
        <w:tc>
          <w:tcPr>
            <w:tcW w:w="2360" w:type="dxa"/>
            <w:vAlign w:val="bottom"/>
            <w:gridSpan w:val="2"/>
          </w:tcPr>
          <w:p>
            <w:pPr>
              <w:jc w:val="center"/>
              <w:ind w:right="20"/>
              <w:spacing w:after="0" w:line="163" w:lineRule="exact"/>
              <w:rPr>
                <w:sz w:val="20"/>
                <w:szCs w:val="20"/>
                <w:color w:val="auto"/>
              </w:rPr>
            </w:pPr>
            <w:r>
              <w:rPr>
                <w:rFonts w:ascii="Arial" w:cs="Arial" w:eastAsia="Arial" w:hAnsi="Arial"/>
                <w:sz w:val="16"/>
                <w:szCs w:val="16"/>
                <w:b w:val="1"/>
                <w:bCs w:val="1"/>
                <w:color w:val="auto"/>
              </w:rPr>
              <w:t>(c) Number of Securities</w:t>
            </w: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17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Securities to be</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36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17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Issued Upon Exercise</w:t>
            </w:r>
          </w:p>
        </w:tc>
        <w:tc>
          <w:tcPr>
            <w:tcW w:w="120" w:type="dxa"/>
            <w:vAlign w:val="bottom"/>
          </w:tcPr>
          <w:p>
            <w:pPr>
              <w:spacing w:after="0"/>
              <w:rPr>
                <w:sz w:val="14"/>
                <w:szCs w:val="14"/>
                <w:color w:val="auto"/>
              </w:rPr>
            </w:pPr>
          </w:p>
        </w:tc>
        <w:tc>
          <w:tcPr>
            <w:tcW w:w="154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auto"/>
              </w:rPr>
              <w:t>Average Exercise</w:t>
            </w:r>
          </w:p>
        </w:tc>
        <w:tc>
          <w:tcPr>
            <w:tcW w:w="236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Future Issuance Under Equity</w:t>
            </w: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17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of Outstanding</w:t>
            </w:r>
          </w:p>
        </w:tc>
        <w:tc>
          <w:tcPr>
            <w:tcW w:w="166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Price of Outstanding</w:t>
            </w:r>
          </w:p>
        </w:tc>
        <w:tc>
          <w:tcPr>
            <w:tcW w:w="236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Compensation Plans</w:t>
            </w: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17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Options, Warrants and</w:t>
            </w:r>
          </w:p>
        </w:tc>
        <w:tc>
          <w:tcPr>
            <w:tcW w:w="120" w:type="dxa"/>
            <w:vAlign w:val="bottom"/>
          </w:tcPr>
          <w:p>
            <w:pPr>
              <w:spacing w:after="0"/>
              <w:rPr>
                <w:sz w:val="14"/>
                <w:szCs w:val="14"/>
                <w:color w:val="auto"/>
              </w:rPr>
            </w:pPr>
          </w:p>
        </w:tc>
        <w:tc>
          <w:tcPr>
            <w:tcW w:w="154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auto"/>
                <w:w w:val="99"/>
              </w:rPr>
              <w:t>Options, Warrants</w:t>
            </w:r>
          </w:p>
        </w:tc>
        <w:tc>
          <w:tcPr>
            <w:tcW w:w="236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15"/>
        </w:trPr>
        <w:tc>
          <w:tcPr>
            <w:tcW w:w="5360" w:type="dxa"/>
            <w:vAlign w:val="bottom"/>
            <w:tcBorders>
              <w:bottom w:val="single" w:sz="8" w:color="BD03F7"/>
            </w:tcBorders>
          </w:tcPr>
          <w:p>
            <w:pPr>
              <w:spacing w:after="0"/>
              <w:rPr>
                <w:sz w:val="18"/>
                <w:szCs w:val="18"/>
                <w:color w:val="auto"/>
              </w:rPr>
            </w:pPr>
          </w:p>
        </w:tc>
        <w:tc>
          <w:tcPr>
            <w:tcW w:w="1760" w:type="dxa"/>
            <w:vAlign w:val="bottom"/>
            <w:tcBorders>
              <w:bottom w:val="single" w:sz="8" w:color="BD03F7"/>
            </w:tcBorders>
          </w:tcPr>
          <w:p>
            <w:pPr>
              <w:jc w:val="center"/>
              <w:spacing w:after="0"/>
              <w:rPr>
                <w:sz w:val="20"/>
                <w:szCs w:val="20"/>
                <w:color w:val="auto"/>
              </w:rPr>
            </w:pPr>
            <w:r>
              <w:rPr>
                <w:rFonts w:ascii="Arial" w:cs="Arial" w:eastAsia="Arial" w:hAnsi="Arial"/>
                <w:sz w:val="16"/>
                <w:szCs w:val="16"/>
                <w:b w:val="1"/>
                <w:bCs w:val="1"/>
                <w:color w:val="auto"/>
              </w:rPr>
              <w:t>Rights</w:t>
            </w:r>
          </w:p>
        </w:tc>
        <w:tc>
          <w:tcPr>
            <w:tcW w:w="120" w:type="dxa"/>
            <w:vAlign w:val="bottom"/>
            <w:tcBorders>
              <w:bottom w:val="single" w:sz="8" w:color="BD03F7"/>
            </w:tcBorders>
          </w:tcPr>
          <w:p>
            <w:pPr>
              <w:spacing w:after="0"/>
              <w:rPr>
                <w:sz w:val="18"/>
                <w:szCs w:val="18"/>
                <w:color w:val="auto"/>
              </w:rPr>
            </w:pPr>
          </w:p>
        </w:tc>
        <w:tc>
          <w:tcPr>
            <w:tcW w:w="1540" w:type="dxa"/>
            <w:vAlign w:val="bottom"/>
            <w:tcBorders>
              <w:bottom w:val="single" w:sz="8" w:color="BD03F7"/>
            </w:tcBorders>
          </w:tcPr>
          <w:p>
            <w:pPr>
              <w:jc w:val="center"/>
              <w:ind w:right="39"/>
              <w:spacing w:after="0"/>
              <w:rPr>
                <w:sz w:val="20"/>
                <w:szCs w:val="20"/>
                <w:color w:val="auto"/>
              </w:rPr>
            </w:pPr>
            <w:r>
              <w:rPr>
                <w:rFonts w:ascii="Arial" w:cs="Arial" w:eastAsia="Arial" w:hAnsi="Arial"/>
                <w:sz w:val="16"/>
                <w:szCs w:val="16"/>
                <w:b w:val="1"/>
                <w:bCs w:val="1"/>
                <w:color w:val="auto"/>
                <w:w w:val="99"/>
              </w:rPr>
              <w:t>and Rights(1)</w:t>
            </w:r>
          </w:p>
        </w:tc>
        <w:tc>
          <w:tcPr>
            <w:tcW w:w="2360" w:type="dxa"/>
            <w:vAlign w:val="bottom"/>
            <w:tcBorders>
              <w:bottom w:val="single" w:sz="8" w:color="BD03F7"/>
            </w:tcBorders>
            <w:gridSpan w:val="2"/>
          </w:tcPr>
          <w:p>
            <w:pPr>
              <w:jc w:val="center"/>
              <w:spacing w:after="0"/>
              <w:rPr>
                <w:sz w:val="20"/>
                <w:szCs w:val="20"/>
                <w:color w:val="auto"/>
              </w:rPr>
            </w:pPr>
            <w:r>
              <w:rPr>
                <w:rFonts w:ascii="Arial" w:cs="Arial" w:eastAsia="Arial" w:hAnsi="Arial"/>
                <w:sz w:val="16"/>
                <w:szCs w:val="16"/>
                <w:b w:val="1"/>
                <w:bCs w:val="1"/>
                <w:color w:val="auto"/>
                <w:w w:val="99"/>
              </w:rPr>
              <w:t>Reflected in Column (a))</w:t>
            </w:r>
          </w:p>
        </w:tc>
        <w:tc>
          <w:tcPr>
            <w:tcW w:w="0" w:type="dxa"/>
            <w:vAlign w:val="bottom"/>
          </w:tcPr>
          <w:p>
            <w:pPr>
              <w:spacing w:after="0"/>
              <w:rPr>
                <w:sz w:val="1"/>
                <w:szCs w:val="1"/>
                <w:color w:val="auto"/>
              </w:rPr>
            </w:pPr>
          </w:p>
        </w:tc>
      </w:tr>
      <w:tr>
        <w:trPr>
          <w:trHeight w:val="34"/>
        </w:trPr>
        <w:tc>
          <w:tcPr>
            <w:tcW w:w="5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360" w:type="dxa"/>
            <w:vAlign w:val="bottom"/>
            <w:shd w:val="clear" w:color="auto" w:fill="F2F2F2"/>
          </w:tcPr>
          <w:p>
            <w:pPr>
              <w:ind w:left="20"/>
              <w:spacing w:after="0"/>
              <w:rPr>
                <w:sz w:val="20"/>
                <w:szCs w:val="20"/>
                <w:color w:val="auto"/>
              </w:rPr>
            </w:pPr>
            <w:r>
              <w:rPr>
                <w:rFonts w:ascii="Arial" w:cs="Arial" w:eastAsia="Arial" w:hAnsi="Arial"/>
                <w:sz w:val="16"/>
                <w:szCs w:val="16"/>
                <w:color w:val="auto"/>
              </w:rPr>
              <w:t>Equity Compensation Plans Approved by Shareholders(2)</w:t>
            </w:r>
          </w:p>
        </w:tc>
        <w:tc>
          <w:tcPr>
            <w:tcW w:w="17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26,192,235</w:t>
            </w: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45.81</w:t>
            </w:r>
          </w:p>
        </w:tc>
        <w:tc>
          <w:tcPr>
            <w:tcW w:w="2360" w:type="dxa"/>
            <w:vAlign w:val="bottom"/>
            <w:gridSpan w:val="2"/>
            <w:shd w:val="clear" w:color="auto" w:fill="F2F2F2"/>
          </w:tcPr>
          <w:p>
            <w:pPr>
              <w:jc w:val="right"/>
              <w:ind w:right="180"/>
              <w:spacing w:after="0"/>
              <w:rPr>
                <w:sz w:val="20"/>
                <w:szCs w:val="20"/>
                <w:color w:val="auto"/>
              </w:rPr>
            </w:pPr>
            <w:r>
              <w:rPr>
                <w:rFonts w:ascii="Arial" w:cs="Arial" w:eastAsia="Arial" w:hAnsi="Arial"/>
                <w:sz w:val="16"/>
                <w:szCs w:val="16"/>
                <w:color w:val="auto"/>
              </w:rPr>
              <w:t>54,525,877 (3)</w:t>
            </w:r>
          </w:p>
        </w:tc>
        <w:tc>
          <w:tcPr>
            <w:tcW w:w="0" w:type="dxa"/>
            <w:vAlign w:val="bottom"/>
          </w:tcPr>
          <w:p>
            <w:pPr>
              <w:spacing w:after="0"/>
              <w:rPr>
                <w:sz w:val="1"/>
                <w:szCs w:val="1"/>
                <w:color w:val="auto"/>
              </w:rPr>
            </w:pPr>
          </w:p>
        </w:tc>
      </w:tr>
      <w:tr>
        <w:trPr>
          <w:trHeight w:val="228"/>
        </w:trPr>
        <w:tc>
          <w:tcPr>
            <w:tcW w:w="536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 Shareholders(4)</w:t>
            </w:r>
          </w:p>
        </w:tc>
        <w:tc>
          <w:tcPr>
            <w:tcW w:w="1760" w:type="dxa"/>
            <w:vAlign w:val="bottom"/>
          </w:tcPr>
          <w:p>
            <w:pPr>
              <w:jc w:val="right"/>
              <w:spacing w:after="0"/>
              <w:rPr>
                <w:sz w:val="20"/>
                <w:szCs w:val="20"/>
                <w:color w:val="auto"/>
              </w:rPr>
            </w:pPr>
            <w:r>
              <w:rPr>
                <w:rFonts w:ascii="Arial" w:cs="Arial" w:eastAsia="Arial" w:hAnsi="Arial"/>
                <w:sz w:val="16"/>
                <w:szCs w:val="16"/>
                <w:color w:val="auto"/>
              </w:rPr>
              <w:t>40,675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43.99</w:t>
            </w:r>
          </w:p>
        </w:tc>
        <w:tc>
          <w:tcPr>
            <w:tcW w:w="23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360" w:type="dxa"/>
            <w:vAlign w:val="bottom"/>
            <w:tcBorders>
              <w:top w:val="single" w:sz="8" w:color="F2F2F2"/>
              <w:bottom w:val="single" w:sz="8" w:color="BD03F7"/>
            </w:tcBorders>
            <w:shd w:val="clear" w:color="auto" w:fill="F2F2F2"/>
          </w:tcPr>
          <w:p>
            <w:pPr>
              <w:ind w:left="20"/>
              <w:spacing w:after="0"/>
              <w:rPr>
                <w:sz w:val="20"/>
                <w:szCs w:val="20"/>
                <w:color w:val="auto"/>
              </w:rPr>
            </w:pPr>
            <w:r>
              <w:rPr>
                <w:rFonts w:ascii="Arial" w:cs="Arial" w:eastAsia="Arial" w:hAnsi="Arial"/>
                <w:sz w:val="16"/>
                <w:szCs w:val="16"/>
                <w:color w:val="auto"/>
              </w:rPr>
              <w:t>Totals(5)</w:t>
            </w:r>
          </w:p>
        </w:tc>
        <w:tc>
          <w:tcPr>
            <w:tcW w:w="1760" w:type="dxa"/>
            <w:vAlign w:val="bottom"/>
            <w:tcBorders>
              <w:top w:val="single" w:sz="8" w:color="auto"/>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26,232,910</w:t>
            </w:r>
          </w:p>
        </w:tc>
        <w:tc>
          <w:tcPr>
            <w:tcW w:w="120" w:type="dxa"/>
            <w:vAlign w:val="bottom"/>
            <w:tcBorders>
              <w:top w:val="single" w:sz="8" w:color="F2F2F2"/>
              <w:bottom w:val="single" w:sz="8" w:color="BD03F7"/>
            </w:tcBorders>
            <w:shd w:val="clear" w:color="auto" w:fill="F2F2F2"/>
          </w:tcPr>
          <w:p>
            <w:pPr>
              <w:spacing w:after="0"/>
              <w:rPr>
                <w:sz w:val="18"/>
                <w:szCs w:val="18"/>
                <w:color w:val="auto"/>
              </w:rPr>
            </w:pPr>
          </w:p>
        </w:tc>
        <w:tc>
          <w:tcPr>
            <w:tcW w:w="1540" w:type="dxa"/>
            <w:vAlign w:val="bottom"/>
            <w:tcBorders>
              <w:top w:val="single" w:sz="8" w:color="F2F2F2"/>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44.22</w:t>
            </w:r>
          </w:p>
        </w:tc>
        <w:tc>
          <w:tcPr>
            <w:tcW w:w="1960" w:type="dxa"/>
            <w:vAlign w:val="bottom"/>
            <w:tcBorders>
              <w:top w:val="single" w:sz="8" w:color="auto"/>
              <w:bottom w:val="single" w:sz="8" w:color="BD03F7"/>
            </w:tcBorders>
            <w:shd w:val="clear" w:color="auto" w:fill="F2F2F2"/>
          </w:tcPr>
          <w:p>
            <w:pPr>
              <w:jc w:val="right"/>
              <w:spacing w:after="0"/>
              <w:rPr>
                <w:sz w:val="20"/>
                <w:szCs w:val="20"/>
                <w:color w:val="auto"/>
              </w:rPr>
            </w:pPr>
            <w:r>
              <w:rPr>
                <w:rFonts w:ascii="Arial" w:cs="Arial" w:eastAsia="Arial" w:hAnsi="Arial"/>
                <w:sz w:val="16"/>
                <w:szCs w:val="16"/>
                <w:color w:val="auto"/>
              </w:rPr>
              <w:t>54,525,877</w:t>
            </w:r>
          </w:p>
        </w:tc>
        <w:tc>
          <w:tcPr>
            <w:tcW w:w="400" w:type="dxa"/>
            <w:vAlign w:val="bottom"/>
            <w:tcBorders>
              <w:top w:val="single" w:sz="8" w:color="F2F2F2"/>
              <w:bottom w:val="single" w:sz="8" w:color="BD03F7"/>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-443230</wp:posOffset>
            </wp:positionV>
            <wp:extent cx="11176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42" w:lineRule="exact"/>
        <w:rPr>
          <w:sz w:val="20"/>
          <w:szCs w:val="20"/>
          <w:color w:val="auto"/>
        </w:rPr>
      </w:pPr>
    </w:p>
    <w:p>
      <w:pPr>
        <w:ind w:left="340" w:right="60" w:hanging="333"/>
        <w:spacing w:after="0" w:line="285" w:lineRule="auto"/>
        <w:tabs>
          <w:tab w:leader="none" w:pos="3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Excludes restricted stock that is issued for no consideration and upon vesting, all restrictions lapse without payment of consideration, and excludes ESPP shares for which the exercise price will not be fixed until the purchase date.</w:t>
      </w:r>
    </w:p>
    <w:p>
      <w:pPr>
        <w:spacing w:after="0" w:line="45" w:lineRule="exact"/>
        <w:rPr>
          <w:rFonts w:ascii="Arial" w:cs="Arial" w:eastAsia="Arial" w:hAnsi="Arial"/>
          <w:sz w:val="18"/>
          <w:szCs w:val="18"/>
          <w:color w:val="auto"/>
        </w:rPr>
      </w:pPr>
    </w:p>
    <w:p>
      <w:pPr>
        <w:ind w:left="340" w:hanging="333"/>
        <w:spacing w:after="0" w:line="255" w:lineRule="auto"/>
        <w:tabs>
          <w:tab w:leader="none" w:pos="3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2004 Equity Incentive Plan (the “2004 Plan”), 2007 Plan, 2025 Plan and Employee Stock Purchase Plan (the “ESPP”). The 2004 Plan and the 2007 Plan provide for a maximum term for options and Stock Appreciation Rights (“SARs”) of eight years. The 2025 Plan provides for a maximum term for options and SARs of ten years. The 2004 Plan, 2007 Plan and 2025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72" w:lineRule="exact"/>
        <w:rPr>
          <w:rFonts w:ascii="Arial" w:cs="Arial" w:eastAsia="Arial" w:hAnsi="Arial"/>
          <w:sz w:val="18"/>
          <w:szCs w:val="18"/>
          <w:color w:val="auto"/>
        </w:rPr>
      </w:pPr>
    </w:p>
    <w:p>
      <w:pPr>
        <w:ind w:left="340" w:right="420" w:hanging="333"/>
        <w:spacing w:after="0" w:line="285" w:lineRule="auto"/>
        <w:tabs>
          <w:tab w:leader="none" w:pos="3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2025 Plan permits granting options and full-value awards. The 2007 Plan was terminated in January 2025 in connection with the approval of the 2025 Plan by shareholders. The 2004 Plan expired in January 2023.</w:t>
      </w:r>
    </w:p>
    <w:p>
      <w:pPr>
        <w:spacing w:after="0" w:line="45" w:lineRule="exact"/>
        <w:rPr>
          <w:rFonts w:ascii="Arial" w:cs="Arial" w:eastAsia="Arial" w:hAnsi="Arial"/>
          <w:sz w:val="18"/>
          <w:szCs w:val="18"/>
          <w:color w:val="auto"/>
        </w:rPr>
      </w:pPr>
    </w:p>
    <w:p>
      <w:pPr>
        <w:jc w:val="both"/>
        <w:ind w:left="340" w:right="180" w:hanging="333"/>
        <w:spacing w:after="0" w:line="271" w:lineRule="auto"/>
        <w:tabs>
          <w:tab w:leader="none" w:pos="33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Options granted under our Nonstatutory Stock Option Plan (the “NSOP”). Options granted under the NSOP have terms ranging from six to ten years. The exercise price and the vesting schedule of the options granted under this plan are determined by the administrators of the plan or our Board. The NSOP was terminated in January 2025 in connection with the approval of the 2025 Plan by shareholders.</w:t>
      </w:r>
    </w:p>
    <w:p>
      <w:pPr>
        <w:ind w:left="340"/>
        <w:spacing w:after="0"/>
        <w:rPr>
          <w:rFonts w:ascii="Arial" w:cs="Arial" w:eastAsia="Arial" w:hAnsi="Arial"/>
          <w:sz w:val="17"/>
          <w:szCs w:val="17"/>
          <w:color w:val="auto"/>
        </w:rPr>
      </w:pPr>
      <w:r>
        <w:rPr>
          <w:rFonts w:ascii="Arial" w:cs="Arial" w:eastAsia="Arial" w:hAnsi="Arial"/>
          <w:sz w:val="18"/>
          <w:szCs w:val="18"/>
          <w:color w:val="auto"/>
        </w:rPr>
        <w:t>Executive officers and directors did not participate in the NSOP.</w:t>
      </w:r>
    </w:p>
    <w:p>
      <w:pPr>
        <w:spacing w:after="0" w:line="97" w:lineRule="exact"/>
        <w:rPr>
          <w:rFonts w:ascii="Arial" w:cs="Arial" w:eastAsia="Arial" w:hAnsi="Arial"/>
          <w:sz w:val="17"/>
          <w:szCs w:val="17"/>
          <w:color w:val="auto"/>
        </w:rPr>
      </w:pPr>
    </w:p>
    <w:p>
      <w:pPr>
        <w:ind w:left="340" w:right="140" w:hanging="333"/>
        <w:spacing w:after="0" w:line="285" w:lineRule="auto"/>
        <w:tabs>
          <w:tab w:leader="none" w:pos="3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 as of August 28, 2025:</w:t>
      </w:r>
    </w:p>
    <w:p>
      <w:pPr>
        <w:spacing w:after="0" w:line="69"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1"/>
              </w:rPr>
              <w:t>(a)</w:t>
            </w:r>
          </w:p>
        </w:tc>
        <w:tc>
          <w:tcPr>
            <w:tcW w:w="40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97"/>
              </w:rPr>
              <w:t>(b)</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6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Number of Securities to be</w:t>
            </w:r>
          </w:p>
        </w:tc>
        <w:tc>
          <w:tcPr>
            <w:tcW w:w="400" w:type="dxa"/>
            <w:vAlign w:val="bottom"/>
          </w:tcPr>
          <w:p>
            <w:pPr>
              <w:spacing w:after="0"/>
              <w:rPr>
                <w:sz w:val="14"/>
                <w:szCs w:val="14"/>
                <w:color w:val="auto"/>
              </w:rPr>
            </w:pPr>
          </w:p>
        </w:tc>
        <w:tc>
          <w:tcPr>
            <w:tcW w:w="26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Number of Securities Available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6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Issued upon Exercise of</w:t>
            </w:r>
          </w:p>
        </w:tc>
        <w:tc>
          <w:tcPr>
            <w:tcW w:w="400" w:type="dxa"/>
            <w:vAlign w:val="bottom"/>
          </w:tcPr>
          <w:p>
            <w:pPr>
              <w:spacing w:after="0"/>
              <w:rPr>
                <w:sz w:val="14"/>
                <w:szCs w:val="14"/>
                <w:color w:val="auto"/>
              </w:rPr>
            </w:pPr>
          </w:p>
        </w:tc>
        <w:tc>
          <w:tcPr>
            <w:tcW w:w="26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for Issuance (Excluding</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Equity Plan</w:t>
            </w:r>
          </w:p>
        </w:tc>
        <w:tc>
          <w:tcPr>
            <w:tcW w:w="26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Outstanding Options,</w:t>
            </w:r>
          </w:p>
        </w:tc>
        <w:tc>
          <w:tcPr>
            <w:tcW w:w="400" w:type="dxa"/>
            <w:vAlign w:val="bottom"/>
          </w:tcPr>
          <w:p>
            <w:pPr>
              <w:spacing w:after="0"/>
              <w:rPr>
                <w:sz w:val="14"/>
                <w:szCs w:val="14"/>
                <w:color w:val="auto"/>
              </w:rPr>
            </w:pPr>
          </w:p>
        </w:tc>
        <w:tc>
          <w:tcPr>
            <w:tcW w:w="26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Securities Reflected in Column</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00" w:type="dxa"/>
            <w:vAlign w:val="bottom"/>
            <w:tcBorders>
              <w:bottom w:val="single" w:sz="8" w:color="BD03F7"/>
            </w:tcBorders>
            <w:vMerge w:val="continue"/>
          </w:tcPr>
          <w:p>
            <w:pPr>
              <w:spacing w:after="0"/>
              <w:rPr>
                <w:sz w:val="18"/>
                <w:szCs w:val="18"/>
                <w:color w:val="auto"/>
              </w:rPr>
            </w:pPr>
          </w:p>
        </w:tc>
        <w:tc>
          <w:tcPr>
            <w:tcW w:w="2620" w:type="dxa"/>
            <w:vAlign w:val="bottom"/>
            <w:tcBorders>
              <w:bottom w:val="single" w:sz="8" w:color="BD03F7"/>
            </w:tcBorders>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400" w:type="dxa"/>
            <w:vAlign w:val="bottom"/>
          </w:tcPr>
          <w:p>
            <w:pPr>
              <w:spacing w:after="0"/>
              <w:rPr>
                <w:sz w:val="18"/>
                <w:szCs w:val="18"/>
                <w:color w:val="auto"/>
              </w:rPr>
            </w:pPr>
          </w:p>
        </w:tc>
        <w:tc>
          <w:tcPr>
            <w:tcW w:w="2600" w:type="dxa"/>
            <w:vAlign w:val="bottom"/>
            <w:tcBorders>
              <w:bottom w:val="single" w:sz="8" w:color="BD03F7"/>
            </w:tcBorders>
          </w:tcPr>
          <w:p>
            <w:pPr>
              <w:jc w:val="center"/>
              <w:spacing w:after="0"/>
              <w:rPr>
                <w:sz w:val="20"/>
                <w:szCs w:val="20"/>
                <w:color w:val="auto"/>
              </w:rPr>
            </w:pPr>
            <w:r>
              <w:rPr>
                <w:rFonts w:ascii="Arial" w:cs="Arial" w:eastAsia="Arial" w:hAnsi="Arial"/>
                <w:sz w:val="16"/>
                <w:szCs w:val="16"/>
                <w:b w:val="1"/>
                <w:bCs w:val="1"/>
                <w:color w:val="auto"/>
                <w:w w:val="96"/>
              </w:rPr>
              <w:t>(a))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00" w:type="dxa"/>
            <w:vAlign w:val="bottom"/>
            <w:shd w:val="clear" w:color="auto" w:fill="F2F2F2"/>
          </w:tcPr>
          <w:p>
            <w:pPr>
              <w:ind w:left="120"/>
              <w:spacing w:after="0"/>
              <w:rPr>
                <w:sz w:val="20"/>
                <w:szCs w:val="20"/>
                <w:color w:val="auto"/>
              </w:rPr>
            </w:pPr>
            <w:r>
              <w:rPr>
                <w:rFonts w:ascii="Arial" w:cs="Arial" w:eastAsia="Arial" w:hAnsi="Arial"/>
                <w:sz w:val="16"/>
                <w:szCs w:val="16"/>
                <w:color w:val="auto"/>
              </w:rPr>
              <w:t>Plans Approved by Shareholders</w:t>
            </w:r>
          </w:p>
        </w:tc>
        <w:tc>
          <w:tcPr>
            <w:tcW w:w="2620" w:type="dxa"/>
            <w:vAlign w:val="bottom"/>
            <w:shd w:val="clear" w:color="auto" w:fill="F2F2F2"/>
          </w:tcPr>
          <w:p>
            <w:pPr>
              <w:spacing w:after="0"/>
              <w:rPr>
                <w:sz w:val="18"/>
                <w:szCs w:val="18"/>
                <w:color w:val="auto"/>
              </w:rPr>
            </w:pPr>
          </w:p>
        </w:tc>
        <w:tc>
          <w:tcPr>
            <w:tcW w:w="400" w:type="dxa"/>
            <w:vAlign w:val="bottom"/>
            <w:shd w:val="clear" w:color="auto" w:fill="F2F2F2"/>
          </w:tcPr>
          <w:p>
            <w:pPr>
              <w:spacing w:after="0"/>
              <w:rPr>
                <w:sz w:val="18"/>
                <w:szCs w:val="18"/>
                <w:color w:val="auto"/>
              </w:rPr>
            </w:pPr>
          </w:p>
        </w:tc>
        <w:tc>
          <w:tcPr>
            <w:tcW w:w="2600" w:type="dxa"/>
            <w:vAlign w:val="bottom"/>
            <w:shd w:val="clear" w:color="auto" w:fill="F2F2F2"/>
          </w:tcPr>
          <w:p>
            <w:pPr>
              <w:spacing w:after="0"/>
              <w:rPr>
                <w:sz w:val="18"/>
                <w:szCs w:val="18"/>
                <w:color w:val="auto"/>
              </w:rPr>
            </w:pPr>
          </w:p>
        </w:tc>
        <w:tc>
          <w:tcPr>
            <w:tcW w:w="40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tcPr>
          <w:p>
            <w:pPr>
              <w:ind w:left="140"/>
              <w:spacing w:after="0"/>
              <w:rPr>
                <w:sz w:val="20"/>
                <w:szCs w:val="20"/>
                <w:color w:val="auto"/>
              </w:rPr>
            </w:pPr>
            <w:r>
              <w:rPr>
                <w:rFonts w:ascii="Arial" w:cs="Arial" w:eastAsia="Arial" w:hAnsi="Arial"/>
                <w:sz w:val="16"/>
                <w:szCs w:val="16"/>
                <w:color w:val="auto"/>
              </w:rPr>
              <w:t>2004 Plan</w:t>
            </w:r>
          </w:p>
        </w:tc>
        <w:tc>
          <w:tcPr>
            <w:tcW w:w="2620" w:type="dxa"/>
            <w:vAlign w:val="bottom"/>
          </w:tcPr>
          <w:p>
            <w:pPr>
              <w:jc w:val="right"/>
              <w:ind w:right="59"/>
              <w:spacing w:after="0"/>
              <w:rPr>
                <w:sz w:val="20"/>
                <w:szCs w:val="20"/>
                <w:color w:val="auto"/>
              </w:rPr>
            </w:pPr>
            <w:r>
              <w:rPr>
                <w:rFonts w:ascii="Arial" w:cs="Arial" w:eastAsia="Arial" w:hAnsi="Arial"/>
                <w:sz w:val="16"/>
                <w:szCs w:val="16"/>
                <w:color w:val="auto"/>
              </w:rPr>
              <w:t>329,298</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3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2007 Plan</w:t>
            </w:r>
          </w:p>
        </w:tc>
        <w:tc>
          <w:tcPr>
            <w:tcW w:w="2620" w:type="dxa"/>
            <w:vAlign w:val="bottom"/>
            <w:shd w:val="clear" w:color="auto" w:fill="F2F2F2"/>
          </w:tcPr>
          <w:p>
            <w:pPr>
              <w:jc w:val="right"/>
              <w:ind w:right="59"/>
              <w:spacing w:after="0"/>
              <w:rPr>
                <w:sz w:val="20"/>
                <w:szCs w:val="20"/>
                <w:color w:val="auto"/>
              </w:rPr>
            </w:pPr>
            <w:r>
              <w:rPr>
                <w:rFonts w:ascii="Arial" w:cs="Arial" w:eastAsia="Arial" w:hAnsi="Arial"/>
                <w:sz w:val="16"/>
                <w:szCs w:val="16"/>
                <w:color w:val="auto"/>
              </w:rPr>
              <w:t>22,851,684</w:t>
            </w:r>
          </w:p>
        </w:tc>
        <w:tc>
          <w:tcPr>
            <w:tcW w:w="4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w:t>
            </w:r>
          </w:p>
        </w:tc>
        <w:tc>
          <w:tcPr>
            <w:tcW w:w="260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4"/>
        </w:trPr>
        <w:tc>
          <w:tcPr>
            <w:tcW w:w="3300" w:type="dxa"/>
            <w:vAlign w:val="bottom"/>
          </w:tcPr>
          <w:p>
            <w:pPr>
              <w:ind w:left="140"/>
              <w:spacing w:after="0"/>
              <w:rPr>
                <w:sz w:val="20"/>
                <w:szCs w:val="20"/>
                <w:color w:val="auto"/>
              </w:rPr>
            </w:pPr>
            <w:r>
              <w:rPr>
                <w:rFonts w:ascii="Arial" w:cs="Arial" w:eastAsia="Arial" w:hAnsi="Arial"/>
                <w:sz w:val="16"/>
                <w:szCs w:val="16"/>
                <w:color w:val="auto"/>
              </w:rPr>
              <w:t>2025 Plan</w:t>
            </w:r>
          </w:p>
        </w:tc>
        <w:tc>
          <w:tcPr>
            <w:tcW w:w="2620" w:type="dxa"/>
            <w:vAlign w:val="bottom"/>
          </w:tcPr>
          <w:p>
            <w:pPr>
              <w:jc w:val="right"/>
              <w:ind w:right="59"/>
              <w:spacing w:after="0"/>
              <w:rPr>
                <w:sz w:val="20"/>
                <w:szCs w:val="20"/>
                <w:color w:val="auto"/>
              </w:rPr>
            </w:pPr>
            <w:r>
              <w:rPr>
                <w:rFonts w:ascii="Arial" w:cs="Arial" w:eastAsia="Arial" w:hAnsi="Arial"/>
                <w:sz w:val="16"/>
                <w:szCs w:val="16"/>
                <w:color w:val="auto"/>
              </w:rPr>
              <w:t>1,018,974</w:t>
            </w: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2600" w:type="dxa"/>
            <w:vAlign w:val="bottom"/>
          </w:tcPr>
          <w:p>
            <w:pPr>
              <w:jc w:val="right"/>
              <w:ind w:right="39"/>
              <w:spacing w:after="0"/>
              <w:rPr>
                <w:sz w:val="20"/>
                <w:szCs w:val="20"/>
                <w:color w:val="auto"/>
              </w:rPr>
            </w:pPr>
            <w:r>
              <w:rPr>
                <w:rFonts w:ascii="Arial" w:cs="Arial" w:eastAsia="Arial" w:hAnsi="Arial"/>
                <w:sz w:val="16"/>
                <w:szCs w:val="16"/>
                <w:color w:val="auto"/>
              </w:rPr>
              <w:t>47,557,072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ESPP</w:t>
            </w:r>
          </w:p>
        </w:tc>
        <w:tc>
          <w:tcPr>
            <w:tcW w:w="2620" w:type="dxa"/>
            <w:vAlign w:val="bottom"/>
            <w:tcBorders>
              <w:bottom w:val="single" w:sz="8" w:color="auto"/>
            </w:tcBorders>
            <w:shd w:val="clear" w:color="auto" w:fill="F2F2F2"/>
          </w:tcPr>
          <w:p>
            <w:pPr>
              <w:jc w:val="right"/>
              <w:ind w:right="59"/>
              <w:spacing w:after="0"/>
              <w:rPr>
                <w:sz w:val="20"/>
                <w:szCs w:val="20"/>
                <w:color w:val="auto"/>
              </w:rPr>
            </w:pPr>
            <w:r>
              <w:rPr>
                <w:rFonts w:ascii="Arial" w:cs="Arial" w:eastAsia="Arial" w:hAnsi="Arial"/>
                <w:sz w:val="16"/>
                <w:szCs w:val="16"/>
                <w:color w:val="auto"/>
              </w:rPr>
              <w:t>1,992,279</w:t>
            </w:r>
          </w:p>
        </w:tc>
        <w:tc>
          <w:tcPr>
            <w:tcW w:w="400" w:type="dxa"/>
            <w:vAlign w:val="bottom"/>
            <w:shd w:val="clear" w:color="auto" w:fill="F2F2F2"/>
          </w:tcPr>
          <w:p>
            <w:pPr>
              <w:spacing w:after="0"/>
              <w:rPr>
                <w:sz w:val="18"/>
                <w:szCs w:val="18"/>
                <w:color w:val="auto"/>
              </w:rPr>
            </w:pPr>
          </w:p>
        </w:tc>
        <w:tc>
          <w:tcPr>
            <w:tcW w:w="2600" w:type="dxa"/>
            <w:vAlign w:val="bottom"/>
            <w:tcBorders>
              <w:bottom w:val="single" w:sz="8" w:color="auto"/>
            </w:tcBorders>
            <w:shd w:val="clear" w:color="auto" w:fill="F2F2F2"/>
          </w:tcPr>
          <w:p>
            <w:pPr>
              <w:jc w:val="right"/>
              <w:ind w:right="39"/>
              <w:spacing w:after="0"/>
              <w:rPr>
                <w:sz w:val="20"/>
                <w:szCs w:val="20"/>
                <w:color w:val="auto"/>
              </w:rPr>
            </w:pPr>
            <w:r>
              <w:rPr>
                <w:rFonts w:ascii="Arial" w:cs="Arial" w:eastAsia="Arial" w:hAnsi="Arial"/>
                <w:sz w:val="16"/>
                <w:szCs w:val="16"/>
                <w:color w:val="auto"/>
              </w:rPr>
              <w:t>6,968,805</w:t>
            </w:r>
          </w:p>
        </w:tc>
        <w:tc>
          <w:tcPr>
            <w:tcW w:w="40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Borders>
              <w:bottom w:val="single" w:sz="8" w:color="F2F2F2"/>
            </w:tcBorders>
          </w:tcPr>
          <w:p>
            <w:pPr>
              <w:ind w:left="300"/>
              <w:spacing w:after="0"/>
              <w:rPr>
                <w:sz w:val="20"/>
                <w:szCs w:val="20"/>
                <w:color w:val="auto"/>
              </w:rPr>
            </w:pPr>
            <w:r>
              <w:rPr>
                <w:rFonts w:ascii="Arial" w:cs="Arial" w:eastAsia="Arial" w:hAnsi="Arial"/>
                <w:sz w:val="16"/>
                <w:szCs w:val="16"/>
                <w:color w:val="auto"/>
              </w:rPr>
              <w:t>Approved Plan Total</w:t>
            </w:r>
          </w:p>
        </w:tc>
        <w:tc>
          <w:tcPr>
            <w:tcW w:w="2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26,192,235</w:t>
            </w:r>
          </w:p>
        </w:tc>
        <w:tc>
          <w:tcPr>
            <w:tcW w:w="400" w:type="dxa"/>
            <w:vAlign w:val="bottom"/>
            <w:tcBorders>
              <w:bottom w:val="single" w:sz="8" w:color="F2F2F2"/>
            </w:tcBorders>
          </w:tcPr>
          <w:p>
            <w:pPr>
              <w:spacing w:after="0"/>
              <w:rPr>
                <w:sz w:val="18"/>
                <w:szCs w:val="18"/>
                <w:color w:val="auto"/>
              </w:rPr>
            </w:pPr>
          </w:p>
        </w:tc>
        <w:tc>
          <w:tcPr>
            <w:tcW w:w="2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54,525,877</w:t>
            </w:r>
          </w:p>
        </w:tc>
        <w:tc>
          <w:tcPr>
            <w:tcW w:w="400" w:type="dxa"/>
            <w:vAlign w:val="bottom"/>
            <w:tcBorders>
              <w:bottom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F2F2F2"/>
          </w:tcPr>
          <w:p>
            <w:pPr>
              <w:spacing w:after="0"/>
              <w:rPr>
                <w:sz w:val="17"/>
                <w:szCs w:val="17"/>
                <w:color w:val="auto"/>
              </w:rPr>
            </w:pPr>
          </w:p>
        </w:tc>
        <w:tc>
          <w:tcPr>
            <w:tcW w:w="262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60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00" w:type="dxa"/>
            <w:vAlign w:val="bottom"/>
          </w:tcPr>
          <w:p>
            <w:pPr>
              <w:ind w:left="120"/>
              <w:spacing w:after="0"/>
              <w:rPr>
                <w:sz w:val="20"/>
                <w:szCs w:val="20"/>
                <w:color w:val="auto"/>
              </w:rPr>
            </w:pPr>
            <w:r>
              <w:rPr>
                <w:rFonts w:ascii="Arial" w:cs="Arial" w:eastAsia="Arial" w:hAnsi="Arial"/>
                <w:sz w:val="16"/>
                <w:szCs w:val="16"/>
                <w:color w:val="auto"/>
              </w:rPr>
              <w:t>Plans Not Approved by Shareholders</w:t>
            </w:r>
          </w:p>
        </w:tc>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NSOP</w:t>
            </w:r>
          </w:p>
        </w:tc>
        <w:tc>
          <w:tcPr>
            <w:tcW w:w="2620" w:type="dxa"/>
            <w:vAlign w:val="bottom"/>
            <w:tcBorders>
              <w:bottom w:val="single" w:sz="8" w:color="auto"/>
            </w:tcBorders>
            <w:shd w:val="clear" w:color="auto" w:fill="F2F2F2"/>
          </w:tcPr>
          <w:p>
            <w:pPr>
              <w:jc w:val="right"/>
              <w:ind w:right="59"/>
              <w:spacing w:after="0"/>
              <w:rPr>
                <w:sz w:val="20"/>
                <w:szCs w:val="20"/>
                <w:color w:val="auto"/>
              </w:rPr>
            </w:pPr>
            <w:r>
              <w:rPr>
                <w:rFonts w:ascii="Arial" w:cs="Arial" w:eastAsia="Arial" w:hAnsi="Arial"/>
                <w:sz w:val="16"/>
                <w:szCs w:val="16"/>
                <w:color w:val="auto"/>
              </w:rPr>
              <w:t>40,675</w:t>
            </w:r>
          </w:p>
        </w:tc>
        <w:tc>
          <w:tcPr>
            <w:tcW w:w="400" w:type="dxa"/>
            <w:vAlign w:val="bottom"/>
            <w:shd w:val="clear" w:color="auto" w:fill="F2F2F2"/>
          </w:tcPr>
          <w:p>
            <w:pPr>
              <w:spacing w:after="0"/>
              <w:rPr>
                <w:sz w:val="18"/>
                <w:szCs w:val="18"/>
                <w:color w:val="auto"/>
              </w:rPr>
            </w:pPr>
          </w:p>
        </w:tc>
        <w:tc>
          <w:tcPr>
            <w:tcW w:w="2600" w:type="dxa"/>
            <w:vAlign w:val="bottom"/>
            <w:tcBorders>
              <w:bottom w:val="single" w:sz="8" w:color="auto"/>
            </w:tcBorders>
            <w:shd w:val="clear" w:color="auto" w:fill="F2F2F2"/>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8"/>
        </w:trPr>
        <w:tc>
          <w:tcPr>
            <w:tcW w:w="3300" w:type="dxa"/>
            <w:vAlign w:val="bottom"/>
            <w:tcBorders>
              <w:bottom w:val="single" w:sz="8" w:color="F2F2F2"/>
            </w:tcBorders>
          </w:tcPr>
          <w:p>
            <w:pPr>
              <w:ind w:left="300"/>
              <w:spacing w:after="0"/>
              <w:rPr>
                <w:sz w:val="20"/>
                <w:szCs w:val="20"/>
                <w:color w:val="auto"/>
              </w:rPr>
            </w:pPr>
            <w:r>
              <w:rPr>
                <w:rFonts w:ascii="Arial" w:cs="Arial" w:eastAsia="Arial" w:hAnsi="Arial"/>
                <w:sz w:val="16"/>
                <w:szCs w:val="16"/>
                <w:color w:val="auto"/>
              </w:rPr>
              <w:t>Not Approved Plan Total</w:t>
            </w:r>
          </w:p>
        </w:tc>
        <w:tc>
          <w:tcPr>
            <w:tcW w:w="2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40,675</w:t>
            </w:r>
          </w:p>
        </w:tc>
        <w:tc>
          <w:tcPr>
            <w:tcW w:w="400" w:type="dxa"/>
            <w:vAlign w:val="bottom"/>
            <w:tcBorders>
              <w:bottom w:val="single" w:sz="8" w:color="F2F2F2"/>
            </w:tcBorders>
          </w:tcPr>
          <w:p>
            <w:pPr>
              <w:spacing w:after="0"/>
              <w:rPr>
                <w:sz w:val="18"/>
                <w:szCs w:val="18"/>
                <w:color w:val="auto"/>
              </w:rPr>
            </w:pPr>
          </w:p>
        </w:tc>
        <w:tc>
          <w:tcPr>
            <w:tcW w:w="2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F2F2F2"/>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Borders>
              <w:bottom w:val="single" w:sz="8" w:color="F2F2F2"/>
            </w:tcBorders>
            <w:shd w:val="clear" w:color="auto" w:fill="F2F2F2"/>
          </w:tcPr>
          <w:p>
            <w:pPr>
              <w:ind w:left="460"/>
              <w:spacing w:after="0"/>
              <w:rPr>
                <w:sz w:val="20"/>
                <w:szCs w:val="20"/>
                <w:color w:val="auto"/>
              </w:rPr>
            </w:pPr>
            <w:r>
              <w:rPr>
                <w:rFonts w:ascii="Arial" w:cs="Arial" w:eastAsia="Arial" w:hAnsi="Arial"/>
                <w:sz w:val="16"/>
                <w:szCs w:val="16"/>
                <w:color w:val="auto"/>
              </w:rPr>
              <w:t>Grand Total</w:t>
            </w:r>
          </w:p>
        </w:tc>
        <w:tc>
          <w:tcPr>
            <w:tcW w:w="2620" w:type="dxa"/>
            <w:vAlign w:val="bottom"/>
            <w:tcBorders>
              <w:bottom w:val="single" w:sz="8" w:color="auto"/>
            </w:tcBorders>
            <w:shd w:val="clear" w:color="auto" w:fill="F2F2F2"/>
          </w:tcPr>
          <w:p>
            <w:pPr>
              <w:jc w:val="right"/>
              <w:ind w:right="59"/>
              <w:spacing w:after="0"/>
              <w:rPr>
                <w:sz w:val="20"/>
                <w:szCs w:val="20"/>
                <w:color w:val="auto"/>
              </w:rPr>
            </w:pPr>
            <w:r>
              <w:rPr>
                <w:rFonts w:ascii="Arial" w:cs="Arial" w:eastAsia="Arial" w:hAnsi="Arial"/>
                <w:sz w:val="16"/>
                <w:szCs w:val="16"/>
                <w:color w:val="auto"/>
              </w:rPr>
              <w:t>26,232,910</w:t>
            </w:r>
          </w:p>
        </w:tc>
        <w:tc>
          <w:tcPr>
            <w:tcW w:w="400" w:type="dxa"/>
            <w:vAlign w:val="bottom"/>
            <w:tcBorders>
              <w:bottom w:val="single" w:sz="8" w:color="F2F2F2"/>
            </w:tcBorders>
            <w:shd w:val="clear" w:color="auto" w:fill="F2F2F2"/>
          </w:tcPr>
          <w:p>
            <w:pPr>
              <w:spacing w:after="0"/>
              <w:rPr>
                <w:sz w:val="19"/>
                <w:szCs w:val="19"/>
                <w:color w:val="auto"/>
              </w:rPr>
            </w:pPr>
          </w:p>
        </w:tc>
        <w:tc>
          <w:tcPr>
            <w:tcW w:w="2600" w:type="dxa"/>
            <w:vAlign w:val="bottom"/>
            <w:tcBorders>
              <w:bottom w:val="single" w:sz="8" w:color="auto"/>
            </w:tcBorders>
            <w:shd w:val="clear" w:color="auto" w:fill="F2F2F2"/>
          </w:tcPr>
          <w:p>
            <w:pPr>
              <w:jc w:val="right"/>
              <w:ind w:right="39"/>
              <w:spacing w:after="0"/>
              <w:rPr>
                <w:sz w:val="20"/>
                <w:szCs w:val="20"/>
                <w:color w:val="auto"/>
              </w:rPr>
            </w:pPr>
            <w:r>
              <w:rPr>
                <w:rFonts w:ascii="Arial" w:cs="Arial" w:eastAsia="Arial" w:hAnsi="Arial"/>
                <w:sz w:val="16"/>
                <w:szCs w:val="16"/>
                <w:color w:val="auto"/>
              </w:rPr>
              <w:t>54,525,877</w:t>
            </w:r>
          </w:p>
        </w:tc>
        <w:tc>
          <w:tcPr>
            <w:tcW w:w="40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F2F2F2"/>
            </w:tcBorders>
          </w:tcPr>
          <w:p>
            <w:pPr>
              <w:spacing w:after="0" w:line="20" w:lineRule="exact"/>
              <w:rPr>
                <w:sz w:val="1"/>
                <w:szCs w:val="1"/>
                <w:color w:val="auto"/>
              </w:rPr>
            </w:pPr>
          </w:p>
        </w:tc>
        <w:tc>
          <w:tcPr>
            <w:tcW w:w="2620" w:type="dxa"/>
            <w:vAlign w:val="bottom"/>
            <w:tcBorders>
              <w:top w:val="single" w:sz="8" w:color="F2F2F2"/>
              <w:bottom w:val="single" w:sz="8" w:color="auto"/>
            </w:tcBorders>
          </w:tcPr>
          <w:p>
            <w:pPr>
              <w:spacing w:after="0" w:line="20" w:lineRule="exact"/>
              <w:rPr>
                <w:sz w:val="1"/>
                <w:szCs w:val="1"/>
                <w:color w:val="auto"/>
              </w:rPr>
            </w:pPr>
          </w:p>
        </w:tc>
        <w:tc>
          <w:tcPr>
            <w:tcW w:w="400" w:type="dxa"/>
            <w:vAlign w:val="bottom"/>
            <w:tcBorders>
              <w:top w:val="single" w:sz="8" w:color="F2F2F2"/>
            </w:tcBorders>
          </w:tcPr>
          <w:p>
            <w:pPr>
              <w:spacing w:after="0" w:line="20" w:lineRule="exact"/>
              <w:rPr>
                <w:sz w:val="1"/>
                <w:szCs w:val="1"/>
                <w:color w:val="auto"/>
              </w:rPr>
            </w:pPr>
          </w:p>
        </w:tc>
        <w:tc>
          <w:tcPr>
            <w:tcW w:w="2600" w:type="dxa"/>
            <w:vAlign w:val="bottom"/>
            <w:tcBorders>
              <w:top w:val="single" w:sz="8" w:color="F2F2F2"/>
              <w:bottom w:val="single" w:sz="8" w:color="auto"/>
            </w:tcBorders>
          </w:tcPr>
          <w:p>
            <w:pPr>
              <w:spacing w:after="0" w:line="20" w:lineRule="exact"/>
              <w:rPr>
                <w:sz w:val="1"/>
                <w:szCs w:val="1"/>
                <w:color w:val="auto"/>
              </w:rPr>
            </w:pPr>
          </w:p>
        </w:tc>
        <w:tc>
          <w:tcPr>
            <w:tcW w:w="400" w:type="dxa"/>
            <w:vAlign w:val="bottom"/>
            <w:tcBorders>
              <w:top w:val="single" w:sz="8" w:color="F2F2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00" w:type="dxa"/>
            <w:vAlign w:val="bottom"/>
            <w:tcBorders>
              <w:bottom w:val="single" w:sz="8" w:color="BD03F7"/>
            </w:tcBorders>
          </w:tcPr>
          <w:p>
            <w:pPr>
              <w:spacing w:after="0" w:line="20" w:lineRule="exact"/>
              <w:rPr>
                <w:sz w:val="1"/>
                <w:szCs w:val="1"/>
                <w:color w:val="auto"/>
              </w:rPr>
            </w:pPr>
          </w:p>
        </w:tc>
        <w:tc>
          <w:tcPr>
            <w:tcW w:w="2620" w:type="dxa"/>
            <w:vAlign w:val="bottom"/>
            <w:tcBorders>
              <w:bottom w:val="single" w:sz="8" w:color="BD03F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Borders>
              <w:bottom w:val="single" w:sz="8" w:color="BD03F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1120" w:hanging="306"/>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325,577 restricted stock units.</w:t>
      </w:r>
    </w:p>
    <w:p>
      <w:pPr>
        <w:spacing w:after="0" w:line="115" w:lineRule="exact"/>
        <w:rPr>
          <w:rFonts w:ascii="Arial" w:cs="Arial" w:eastAsia="Arial" w:hAnsi="Arial"/>
          <w:sz w:val="18"/>
          <w:szCs w:val="18"/>
          <w:color w:val="auto"/>
        </w:rPr>
      </w:pPr>
    </w:p>
    <w:p>
      <w:pPr>
        <w:ind w:left="1120" w:hanging="306"/>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22,849,403 restricted stock units and excludes 791,400 shares of restricted stock.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6" w:hanging="306"/>
        <w:spacing w:after="0"/>
        <w:tabs>
          <w:tab w:leader="none" w:pos="3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2004 Plan expired in January 2023.</w:t>
      </w:r>
    </w:p>
    <w:p>
      <w:pPr>
        <w:spacing w:after="0" w:line="115" w:lineRule="exact"/>
        <w:rPr>
          <w:rFonts w:ascii="Arial" w:cs="Arial" w:eastAsia="Arial" w:hAnsi="Arial"/>
          <w:sz w:val="18"/>
          <w:szCs w:val="18"/>
          <w:color w:val="auto"/>
        </w:rPr>
      </w:pPr>
    </w:p>
    <w:p>
      <w:pPr>
        <w:ind w:left="306" w:hanging="306"/>
        <w:spacing w:after="0"/>
        <w:tabs>
          <w:tab w:leader="none" w:pos="3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2007 Plan was terminated in January 2025.</w:t>
      </w:r>
    </w:p>
    <w:p>
      <w:pPr>
        <w:spacing w:after="0" w:line="115" w:lineRule="exact"/>
        <w:rPr>
          <w:rFonts w:ascii="Arial" w:cs="Arial" w:eastAsia="Arial" w:hAnsi="Arial"/>
          <w:sz w:val="18"/>
          <w:szCs w:val="18"/>
          <w:color w:val="auto"/>
        </w:rPr>
      </w:pPr>
    </w:p>
    <w:p>
      <w:pPr>
        <w:ind w:left="306" w:hanging="306"/>
        <w:spacing w:after="0"/>
        <w:tabs>
          <w:tab w:leader="none" w:pos="306"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Includes 1,018,974 restricted stock units and excluded 2,666 shares of restricted stock.</w:t>
      </w:r>
    </w:p>
    <w:p>
      <w:pPr>
        <w:spacing w:after="0" w:line="127" w:lineRule="exact"/>
        <w:rPr>
          <w:rFonts w:ascii="Arial" w:cs="Arial" w:eastAsia="Arial" w:hAnsi="Arial"/>
          <w:sz w:val="17"/>
          <w:szCs w:val="17"/>
          <w:color w:val="auto"/>
        </w:rPr>
      </w:pPr>
    </w:p>
    <w:p>
      <w:pPr>
        <w:ind w:left="306" w:hanging="306"/>
        <w:spacing w:after="0"/>
        <w:tabs>
          <w:tab w:leader="none" w:pos="3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NSOP was terminated in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652780</wp:posOffset>
            </wp:positionV>
            <wp:extent cx="71583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sz w:val="1"/>
          <w:szCs w:val="1"/>
          <w:color w:val="auto"/>
        </w:rPr>
        <w:drawing>
          <wp:inline distT="0" distB="0" distL="0" distR="0">
            <wp:extent cx="776605" cy="16192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79</w:t>
      </w:r>
    </w:p>
    <w:p>
      <w:pPr>
        <w:sectPr>
          <w:pgSz w:w="11900" w:h="16838" w:orient="portrait"/>
          <w:cols w:equalWidth="0" w:num="2">
            <w:col w:w="8246" w:space="720"/>
            <w:col w:w="1460"/>
          </w:cols>
          <w:pgMar w:left="1134" w:top="12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Borders>
              <w:bottom w:val="single" w:sz="8" w:color="BD03F7"/>
            </w:tcBorders>
            <w:gridSpan w:val="5"/>
          </w:tcPr>
          <w:p>
            <w:pPr>
              <w:spacing w:after="0"/>
              <w:rPr>
                <w:sz w:val="20"/>
                <w:szCs w:val="20"/>
                <w:color w:val="auto"/>
              </w:rPr>
            </w:pPr>
            <w:r>
              <w:rPr>
                <w:rFonts w:ascii="Arial" w:cs="Arial" w:eastAsia="Arial" w:hAnsi="Arial"/>
                <w:sz w:val="16"/>
                <w:szCs w:val="16"/>
                <w:b w:val="1"/>
                <w:bCs w:val="1"/>
                <w:color w:val="BD03F7"/>
                <w:w w:val="97"/>
              </w:rPr>
              <w:t>Table of Contents</w:t>
            </w:r>
          </w:p>
        </w:tc>
        <w:tc>
          <w:tcPr>
            <w:tcW w:w="0" w:type="dxa"/>
            <w:vAlign w:val="bottom"/>
          </w:tcPr>
          <w:p>
            <w:pPr>
              <w:spacing w:after="0"/>
              <w:rPr>
                <w:sz w:val="1"/>
                <w:szCs w:val="1"/>
                <w:color w:val="auto"/>
              </w:rPr>
            </w:pPr>
          </w:p>
        </w:tc>
      </w:tr>
      <w:tr>
        <w:trPr>
          <w:trHeight w:val="1149"/>
        </w:trPr>
        <w:tc>
          <w:tcPr>
            <w:tcW w:w="5260" w:type="dxa"/>
            <w:vAlign w:val="bottom"/>
            <w:gridSpan w:val="8"/>
          </w:tcPr>
          <w:p>
            <w:pPr>
              <w:jc w:val="right"/>
              <w:spacing w:after="0"/>
              <w:rPr>
                <w:sz w:val="20"/>
                <w:szCs w:val="20"/>
                <w:color w:val="auto"/>
              </w:rPr>
            </w:pPr>
            <w:r>
              <w:rPr>
                <w:rFonts w:ascii="Arial" w:cs="Arial" w:eastAsia="Arial" w:hAnsi="Arial"/>
                <w:sz w:val="36"/>
                <w:szCs w:val="36"/>
                <w:b w:val="1"/>
                <w:bCs w:val="1"/>
                <w:color w:val="auto"/>
                <w:w w:val="98"/>
              </w:rPr>
              <w:t>PAY VERSUS PERFORMANCE</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58"/>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rPr>
              <w:t>Value of Initial Fixed $100</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8"/>
              </w:rPr>
              <w:t>Company</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jc w:val="right"/>
              <w:ind w:right="93"/>
              <w:spacing w:after="0" w:line="161" w:lineRule="exact"/>
              <w:rPr>
                <w:sz w:val="20"/>
                <w:szCs w:val="20"/>
                <w:color w:val="auto"/>
              </w:rPr>
            </w:pPr>
            <w:r>
              <w:rPr>
                <w:rFonts w:ascii="Arial" w:cs="Arial" w:eastAsia="Arial" w:hAnsi="Arial"/>
                <w:sz w:val="16"/>
                <w:szCs w:val="16"/>
                <w:b w:val="1"/>
                <w:bCs w:val="1"/>
                <w:color w:val="auto"/>
              </w:rPr>
              <w:t>Investment Based on:(4)</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Borders>
              <w:bottom w:val="single" w:sz="8" w:color="BD03F7"/>
            </w:tcBorders>
          </w:tcPr>
          <w:p>
            <w:pPr>
              <w:spacing w:after="0"/>
              <w:rPr>
                <w:sz w:val="4"/>
                <w:szCs w:val="4"/>
                <w:color w:val="auto"/>
              </w:rPr>
            </w:pPr>
          </w:p>
        </w:tc>
        <w:tc>
          <w:tcPr>
            <w:tcW w:w="980" w:type="dxa"/>
            <w:vAlign w:val="bottom"/>
            <w:tcBorders>
              <w:bottom w:val="single" w:sz="8" w:color="BD03F7"/>
            </w:tcBorders>
          </w:tcPr>
          <w:p>
            <w:pPr>
              <w:spacing w:after="0"/>
              <w:rPr>
                <w:sz w:val="4"/>
                <w:szCs w:val="4"/>
                <w:color w:val="auto"/>
              </w:rPr>
            </w:pPr>
          </w:p>
        </w:tc>
        <w:tc>
          <w:tcPr>
            <w:tcW w:w="220" w:type="dxa"/>
            <w:vAlign w:val="bottom"/>
            <w:tcBorders>
              <w:bottom w:val="single" w:sz="8" w:color="BD03F7"/>
            </w:tcBorders>
          </w:tcPr>
          <w:p>
            <w:pPr>
              <w:spacing w:after="0"/>
              <w:rPr>
                <w:sz w:val="4"/>
                <w:szCs w:val="4"/>
                <w:color w:val="auto"/>
              </w:rPr>
            </w:pPr>
          </w:p>
        </w:tc>
        <w:tc>
          <w:tcPr>
            <w:tcW w:w="900" w:type="dxa"/>
            <w:vAlign w:val="bottom"/>
            <w:tcBorders>
              <w:bottom w:val="single" w:sz="8" w:color="BD03F7"/>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3"/>
            <w:vMerge w:val="restart"/>
          </w:tcPr>
          <w:p>
            <w:pPr>
              <w:jc w:val="center"/>
              <w:ind w:right="160"/>
              <w:spacing w:after="0" w:line="107" w:lineRule="exact"/>
              <w:rPr>
                <w:sz w:val="20"/>
                <w:szCs w:val="20"/>
                <w:color w:val="auto"/>
              </w:rPr>
            </w:pPr>
            <w:r>
              <w:rPr>
                <w:rFonts w:ascii="Arial" w:cs="Arial" w:eastAsia="Arial" w:hAnsi="Arial"/>
                <w:sz w:val="12"/>
                <w:szCs w:val="12"/>
                <w:b w:val="1"/>
                <w:bCs w:val="1"/>
                <w:color w:val="auto"/>
              </w:rPr>
              <w:t>Selected</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Company</w:t>
            </w: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Average Summary</w:t>
            </w:r>
          </w:p>
        </w:tc>
        <w:tc>
          <w:tcPr>
            <w:tcW w:w="160" w:type="dxa"/>
            <w:vAlign w:val="bottom"/>
          </w:tcPr>
          <w:p>
            <w:pPr>
              <w:spacing w:after="0"/>
              <w:rPr>
                <w:sz w:val="14"/>
                <w:szCs w:val="14"/>
                <w:color w:val="auto"/>
              </w:rPr>
            </w:pPr>
          </w:p>
        </w:tc>
        <w:tc>
          <w:tcPr>
            <w:tcW w:w="1380" w:type="dxa"/>
            <w:vAlign w:val="bottom"/>
            <w:vMerge w:val="restart"/>
          </w:tcPr>
          <w:p>
            <w:pPr>
              <w:jc w:val="center"/>
              <w:ind w:right="56"/>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spacing w:after="0" w:line="161" w:lineRule="exact"/>
              <w:rPr>
                <w:sz w:val="20"/>
                <w:szCs w:val="20"/>
                <w:color w:val="auto"/>
              </w:rPr>
            </w:pPr>
            <w:r>
              <w:rPr>
                <w:rFonts w:ascii="Arial" w:cs="Arial" w:eastAsia="Arial" w:hAnsi="Arial"/>
                <w:sz w:val="16"/>
                <w:szCs w:val="16"/>
                <w:b w:val="1"/>
                <w:bCs w:val="1"/>
                <w:color w:val="auto"/>
              </w:rPr>
              <w:t>Measure: Non-</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center"/>
              <w:ind w:right="15"/>
              <w:spacing w:after="0"/>
              <w:rPr>
                <w:sz w:val="20"/>
                <w:szCs w:val="20"/>
                <w:color w:val="auto"/>
              </w:rPr>
            </w:pPr>
            <w:r>
              <w:rPr>
                <w:rFonts w:ascii="Arial" w:cs="Arial" w:eastAsia="Arial" w:hAnsi="Arial"/>
                <w:sz w:val="16"/>
                <w:szCs w:val="16"/>
                <w:b w:val="1"/>
                <w:bCs w:val="1"/>
                <w:color w:val="auto"/>
              </w:rPr>
              <w:t>Summary</w:t>
            </w:r>
          </w:p>
        </w:tc>
        <w:tc>
          <w:tcPr>
            <w:tcW w:w="160" w:type="dxa"/>
            <w:vAlign w:val="bottom"/>
          </w:tcPr>
          <w:p>
            <w:pPr>
              <w:spacing w:after="0"/>
              <w:rPr>
                <w:sz w:val="14"/>
                <w:szCs w:val="14"/>
                <w:color w:val="auto"/>
              </w:rPr>
            </w:pPr>
          </w:p>
        </w:tc>
        <w:tc>
          <w:tcPr>
            <w:tcW w:w="132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rPr>
              <w:t>Compensation</w:t>
            </w: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7"/>
              <w:spacing w:after="0" w:line="161" w:lineRule="exact"/>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19"/>
              <w:spacing w:after="0"/>
              <w:rPr>
                <w:sz w:val="20"/>
                <w:szCs w:val="20"/>
                <w:color w:val="auto"/>
              </w:rPr>
            </w:pPr>
            <w:r>
              <w:rPr>
                <w:rFonts w:ascii="Arial" w:cs="Arial" w:eastAsia="Arial" w:hAnsi="Arial"/>
                <w:sz w:val="16"/>
                <w:szCs w:val="16"/>
                <w:b w:val="1"/>
                <w:bCs w:val="1"/>
                <w:color w:val="auto"/>
                <w:w w:val="99"/>
              </w:rPr>
              <w:t>Net Income</w:t>
            </w:r>
          </w:p>
        </w:tc>
        <w:tc>
          <w:tcPr>
            <w:tcW w:w="180" w:type="dxa"/>
            <w:vAlign w:val="bottom"/>
          </w:tcPr>
          <w:p>
            <w:pPr>
              <w:spacing w:after="0"/>
              <w:rPr>
                <w:sz w:val="14"/>
                <w:szCs w:val="14"/>
                <w:color w:val="auto"/>
              </w:rPr>
            </w:pPr>
          </w:p>
        </w:tc>
        <w:tc>
          <w:tcPr>
            <w:tcW w:w="1060" w:type="dxa"/>
            <w:vAlign w:val="bottom"/>
            <w:gridSpan w:val="3"/>
          </w:tcPr>
          <w:p>
            <w:pPr>
              <w:jc w:val="center"/>
              <w:ind w:right="180"/>
              <w:spacing w:after="0" w:line="161" w:lineRule="exact"/>
              <w:rPr>
                <w:sz w:val="20"/>
                <w:szCs w:val="20"/>
                <w:color w:val="auto"/>
              </w:rPr>
            </w:pPr>
            <w:r>
              <w:rPr>
                <w:rFonts w:ascii="Arial" w:cs="Arial" w:eastAsia="Arial" w:hAnsi="Arial"/>
                <w:sz w:val="16"/>
                <w:szCs w:val="16"/>
                <w:b w:val="1"/>
                <w:bCs w:val="1"/>
                <w:color w:val="auto"/>
                <w:w w:val="99"/>
              </w:rPr>
              <w:t>GAAP Net</w:t>
            </w:r>
          </w:p>
        </w:tc>
        <w:tc>
          <w:tcPr>
            <w:tcW w:w="0" w:type="dxa"/>
            <w:vAlign w:val="bottom"/>
          </w:tcPr>
          <w:p>
            <w:pPr>
              <w:spacing w:after="0"/>
              <w:rPr>
                <w:sz w:val="1"/>
                <w:szCs w:val="1"/>
                <w:color w:val="auto"/>
              </w:rPr>
            </w:pPr>
          </w:p>
        </w:tc>
      </w:tr>
      <w:tr>
        <w:trPr>
          <w:trHeight w:val="161"/>
        </w:trPr>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Fiscal</w:t>
            </w: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75"/>
              <w:spacing w:after="0" w:line="161" w:lineRule="exact"/>
              <w:rPr>
                <w:sz w:val="20"/>
                <w:szCs w:val="20"/>
                <w:color w:val="auto"/>
              </w:rPr>
            </w:pPr>
            <w:r>
              <w:rPr>
                <w:rFonts w:ascii="Arial" w:cs="Arial" w:eastAsia="Arial" w:hAnsi="Arial"/>
                <w:sz w:val="16"/>
                <w:szCs w:val="16"/>
                <w:b w:val="1"/>
                <w:bCs w:val="1"/>
                <w:color w:val="auto"/>
              </w:rPr>
              <w:t>Compensation</w:t>
            </w:r>
          </w:p>
        </w:tc>
        <w:tc>
          <w:tcPr>
            <w:tcW w:w="160" w:type="dxa"/>
            <w:vAlign w:val="bottom"/>
          </w:tcPr>
          <w:p>
            <w:pPr>
              <w:spacing w:after="0"/>
              <w:rPr>
                <w:sz w:val="14"/>
                <w:szCs w:val="14"/>
                <w:color w:val="auto"/>
              </w:rPr>
            </w:pPr>
          </w:p>
        </w:tc>
        <w:tc>
          <w:tcPr>
            <w:tcW w:w="1380" w:type="dxa"/>
            <w:vAlign w:val="bottom"/>
          </w:tcPr>
          <w:p>
            <w:pPr>
              <w:jc w:val="center"/>
              <w:ind w:right="56"/>
              <w:spacing w:after="0" w:line="161" w:lineRule="exact"/>
              <w:rPr>
                <w:sz w:val="20"/>
                <w:szCs w:val="20"/>
                <w:color w:val="auto"/>
              </w:rPr>
            </w:pPr>
            <w:r>
              <w:rPr>
                <w:rFonts w:ascii="Arial" w:cs="Arial" w:eastAsia="Arial" w:hAnsi="Arial"/>
                <w:sz w:val="16"/>
                <w:szCs w:val="16"/>
                <w:b w:val="1"/>
                <w:bCs w:val="1"/>
                <w:color w:val="auto"/>
              </w:rPr>
              <w:t>Compensation</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Shareholder</w:t>
            </w:r>
          </w:p>
        </w:tc>
        <w:tc>
          <w:tcPr>
            <w:tcW w:w="1120" w:type="dxa"/>
            <w:vAlign w:val="bottom"/>
            <w:gridSpan w:val="2"/>
            <w:vMerge w:val="restart"/>
          </w:tcPr>
          <w:p>
            <w:pPr>
              <w:jc w:val="right"/>
              <w:ind w:right="13"/>
              <w:spacing w:after="0"/>
              <w:rPr>
                <w:sz w:val="20"/>
                <w:szCs w:val="20"/>
                <w:color w:val="auto"/>
              </w:rPr>
            </w:pPr>
            <w:r>
              <w:rPr>
                <w:rFonts w:ascii="Arial" w:cs="Arial" w:eastAsia="Arial" w:hAnsi="Arial"/>
                <w:sz w:val="16"/>
                <w:szCs w:val="16"/>
                <w:b w:val="1"/>
                <w:bCs w:val="1"/>
                <w:color w:val="auto"/>
              </w:rPr>
              <w:t>Peer Group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40" w:type="dxa"/>
            <w:vAlign w:val="bottom"/>
            <w:gridSpan w:val="4"/>
          </w:tcPr>
          <w:p>
            <w:pPr>
              <w:jc w:val="center"/>
              <w:spacing w:after="0" w:line="161" w:lineRule="exact"/>
              <w:rPr>
                <w:sz w:val="20"/>
                <w:szCs w:val="20"/>
                <w:color w:val="auto"/>
              </w:rPr>
            </w:pPr>
            <w:r>
              <w:rPr>
                <w:rFonts w:ascii="Arial" w:cs="Arial" w:eastAsia="Arial" w:hAnsi="Arial"/>
                <w:sz w:val="16"/>
                <w:szCs w:val="16"/>
                <w:b w:val="1"/>
                <w:bCs w:val="1"/>
                <w:color w:val="auto"/>
                <w:w w:val="99"/>
              </w:rPr>
              <w:t>Income (Loss)</w:t>
            </w:r>
          </w:p>
        </w:tc>
        <w:tc>
          <w:tcPr>
            <w:tcW w:w="0" w:type="dxa"/>
            <w:vAlign w:val="bottom"/>
          </w:tcPr>
          <w:p>
            <w:pPr>
              <w:spacing w:after="0"/>
              <w:rPr>
                <w:sz w:val="1"/>
                <w:szCs w:val="1"/>
                <w:color w:val="auto"/>
              </w:rPr>
            </w:pPr>
          </w:p>
        </w:tc>
      </w:tr>
      <w:tr>
        <w:trPr>
          <w:trHeight w:val="161"/>
        </w:trPr>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35"/>
              <w:spacing w:after="0" w:line="161" w:lineRule="exact"/>
              <w:rPr>
                <w:sz w:val="20"/>
                <w:szCs w:val="20"/>
                <w:color w:val="auto"/>
              </w:rPr>
            </w:pPr>
            <w:r>
              <w:rPr>
                <w:rFonts w:ascii="Arial" w:cs="Arial" w:eastAsia="Arial" w:hAnsi="Arial"/>
                <w:sz w:val="16"/>
                <w:szCs w:val="16"/>
                <w:b w:val="1"/>
                <w:bCs w:val="1"/>
                <w:color w:val="auto"/>
              </w:rPr>
              <w:t>Compensation</w:t>
            </w:r>
          </w:p>
        </w:tc>
        <w:tc>
          <w:tcPr>
            <w:tcW w:w="160" w:type="dxa"/>
            <w:vAlign w:val="bottom"/>
          </w:tcPr>
          <w:p>
            <w:pPr>
              <w:spacing w:after="0"/>
              <w:rPr>
                <w:sz w:val="14"/>
                <w:szCs w:val="14"/>
                <w:color w:val="auto"/>
              </w:rPr>
            </w:pPr>
          </w:p>
        </w:tc>
        <w:tc>
          <w:tcPr>
            <w:tcW w:w="1320" w:type="dxa"/>
            <w:vAlign w:val="bottom"/>
          </w:tcPr>
          <w:p>
            <w:pPr>
              <w:jc w:val="center"/>
              <w:ind w:right="16"/>
              <w:spacing w:after="0" w:line="161" w:lineRule="exact"/>
              <w:rPr>
                <w:sz w:val="20"/>
                <w:szCs w:val="20"/>
                <w:color w:val="auto"/>
              </w:rPr>
            </w:pPr>
            <w:r>
              <w:rPr>
                <w:rFonts w:ascii="Arial" w:cs="Arial" w:eastAsia="Arial" w:hAnsi="Arial"/>
                <w:sz w:val="16"/>
                <w:szCs w:val="16"/>
                <w:b w:val="1"/>
                <w:bCs w:val="1"/>
                <w:color w:val="auto"/>
              </w:rPr>
              <w:t>Actually Paid to</w:t>
            </w:r>
          </w:p>
        </w:tc>
        <w:tc>
          <w:tcPr>
            <w:tcW w:w="180" w:type="dxa"/>
            <w:vAlign w:val="bottom"/>
          </w:tcPr>
          <w:p>
            <w:pPr>
              <w:spacing w:after="0"/>
              <w:rPr>
                <w:sz w:val="14"/>
                <w:szCs w:val="14"/>
                <w:color w:val="auto"/>
              </w:rPr>
            </w:pPr>
          </w:p>
        </w:tc>
        <w:tc>
          <w:tcPr>
            <w:tcW w:w="1360" w:type="dxa"/>
            <w:vAlign w:val="bottom"/>
          </w:tcPr>
          <w:p>
            <w:pPr>
              <w:jc w:val="center"/>
              <w:ind w:right="55"/>
              <w:spacing w:after="0" w:line="161" w:lineRule="exact"/>
              <w:rPr>
                <w:sz w:val="20"/>
                <w:szCs w:val="20"/>
                <w:color w:val="auto"/>
              </w:rPr>
            </w:pPr>
            <w:r>
              <w:rPr>
                <w:rFonts w:ascii="Arial" w:cs="Arial" w:eastAsia="Arial" w:hAnsi="Arial"/>
                <w:sz w:val="16"/>
                <w:szCs w:val="16"/>
                <w:b w:val="1"/>
                <w:bCs w:val="1"/>
                <w:color w:val="auto"/>
                <w:w w:val="99"/>
              </w:rPr>
              <w:t>Table Total for</w:t>
            </w:r>
          </w:p>
        </w:tc>
        <w:tc>
          <w:tcPr>
            <w:tcW w:w="160" w:type="dxa"/>
            <w:vAlign w:val="bottom"/>
          </w:tcPr>
          <w:p>
            <w:pPr>
              <w:spacing w:after="0"/>
              <w:rPr>
                <w:sz w:val="14"/>
                <w:szCs w:val="14"/>
                <w:color w:val="auto"/>
              </w:rPr>
            </w:pPr>
          </w:p>
        </w:tc>
        <w:tc>
          <w:tcPr>
            <w:tcW w:w="1380" w:type="dxa"/>
            <w:vAlign w:val="bottom"/>
          </w:tcPr>
          <w:p>
            <w:pPr>
              <w:jc w:val="center"/>
              <w:ind w:right="56"/>
              <w:spacing w:after="0" w:line="161" w:lineRule="exact"/>
              <w:rPr>
                <w:sz w:val="20"/>
                <w:szCs w:val="20"/>
                <w:color w:val="auto"/>
              </w:rPr>
            </w:pPr>
            <w:r>
              <w:rPr>
                <w:rFonts w:ascii="Arial" w:cs="Arial" w:eastAsia="Arial" w:hAnsi="Arial"/>
                <w:sz w:val="16"/>
                <w:szCs w:val="16"/>
                <w:b w:val="1"/>
                <w:bCs w:val="1"/>
                <w:color w:val="auto"/>
                <w:w w:val="99"/>
              </w:rPr>
              <w:t>Actually Paid to</w:t>
            </w:r>
          </w:p>
        </w:tc>
        <w:tc>
          <w:tcPr>
            <w:tcW w:w="120" w:type="dxa"/>
            <w:vAlign w:val="bottom"/>
          </w:tcPr>
          <w:p>
            <w:pPr>
              <w:spacing w:after="0"/>
              <w:rPr>
                <w:sz w:val="14"/>
                <w:szCs w:val="14"/>
                <w:color w:val="auto"/>
              </w:rPr>
            </w:pPr>
          </w:p>
        </w:tc>
        <w:tc>
          <w:tcPr>
            <w:tcW w:w="980" w:type="dxa"/>
            <w:vAlign w:val="bottom"/>
          </w:tcPr>
          <w:p>
            <w:pPr>
              <w:jc w:val="center"/>
              <w:ind w:right="17"/>
              <w:spacing w:after="0" w:line="161" w:lineRule="exact"/>
              <w:rPr>
                <w:sz w:val="20"/>
                <w:szCs w:val="20"/>
                <w:color w:val="auto"/>
              </w:rPr>
            </w:pPr>
            <w:r>
              <w:rPr>
                <w:rFonts w:ascii="Arial" w:cs="Arial" w:eastAsia="Arial" w:hAnsi="Arial"/>
                <w:sz w:val="16"/>
                <w:szCs w:val="16"/>
                <w:b w:val="1"/>
                <w:bCs w:val="1"/>
                <w:color w:val="auto"/>
              </w:rPr>
              <w:t>Return</w:t>
            </w: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9"/>
              <w:spacing w:after="0" w:line="161" w:lineRule="exact"/>
              <w:rPr>
                <w:sz w:val="20"/>
                <w:szCs w:val="20"/>
                <w:color w:val="auto"/>
              </w:rPr>
            </w:pPr>
            <w:r>
              <w:rPr>
                <w:rFonts w:ascii="Arial" w:cs="Arial" w:eastAsia="Arial" w:hAnsi="Arial"/>
                <w:sz w:val="16"/>
                <w:szCs w:val="16"/>
                <w:b w:val="1"/>
                <w:bCs w:val="1"/>
                <w:color w:val="auto"/>
              </w:rPr>
              <w:t>(Loss)(6)</w:t>
            </w:r>
          </w:p>
        </w:tc>
        <w:tc>
          <w:tcPr>
            <w:tcW w:w="180" w:type="dxa"/>
            <w:vAlign w:val="bottom"/>
          </w:tcPr>
          <w:p>
            <w:pPr>
              <w:spacing w:after="0"/>
              <w:rPr>
                <w:sz w:val="14"/>
                <w:szCs w:val="14"/>
                <w:color w:val="auto"/>
              </w:rPr>
            </w:pPr>
          </w:p>
        </w:tc>
        <w:tc>
          <w:tcPr>
            <w:tcW w:w="960" w:type="dxa"/>
            <w:vAlign w:val="bottom"/>
          </w:tcPr>
          <w:p>
            <w:pPr>
              <w:jc w:val="center"/>
              <w:ind w:right="1"/>
              <w:spacing w:after="0" w:line="161" w:lineRule="exact"/>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60" w:type="dxa"/>
            <w:vAlign w:val="bottom"/>
          </w:tcPr>
          <w:p>
            <w:pPr>
              <w:jc w:val="right"/>
              <w:ind w:right="56"/>
              <w:spacing w:after="0"/>
              <w:rPr>
                <w:sz w:val="20"/>
                <w:szCs w:val="20"/>
                <w:color w:val="auto"/>
              </w:rPr>
            </w:pPr>
            <w:r>
              <w:rPr>
                <w:rFonts w:ascii="Arial" w:cs="Arial" w:eastAsia="Arial" w:hAnsi="Arial"/>
                <w:sz w:val="16"/>
                <w:szCs w:val="16"/>
                <w:b w:val="1"/>
                <w:bCs w:val="1"/>
                <w:color w:val="auto"/>
              </w:rPr>
              <w:t>Year</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Table for PEO(1)</w:t>
            </w:r>
          </w:p>
        </w:tc>
        <w:tc>
          <w:tcPr>
            <w:tcW w:w="160" w:type="dxa"/>
            <w:vAlign w:val="bottom"/>
          </w:tcPr>
          <w:p>
            <w:pPr>
              <w:spacing w:after="0"/>
              <w:rPr>
                <w:sz w:val="17"/>
                <w:szCs w:val="17"/>
                <w:color w:val="auto"/>
              </w:rPr>
            </w:pPr>
          </w:p>
        </w:tc>
        <w:tc>
          <w:tcPr>
            <w:tcW w:w="1320" w:type="dxa"/>
            <w:vAlign w:val="bottom"/>
          </w:tcPr>
          <w:p>
            <w:pPr>
              <w:jc w:val="center"/>
              <w:ind w:right="16"/>
              <w:spacing w:after="0"/>
              <w:rPr>
                <w:sz w:val="20"/>
                <w:szCs w:val="20"/>
                <w:color w:val="auto"/>
              </w:rPr>
            </w:pPr>
            <w:r>
              <w:rPr>
                <w:rFonts w:ascii="Arial" w:cs="Arial" w:eastAsia="Arial" w:hAnsi="Arial"/>
                <w:sz w:val="16"/>
                <w:szCs w:val="16"/>
                <w:b w:val="1"/>
                <w:bCs w:val="1"/>
                <w:color w:val="auto"/>
              </w:rPr>
              <w:t>PEO(2)</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rPr>
              <w:t>Non-PEO NEOs(3)</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rPr>
              <w:t>Non-PEO NEOs(2)</w:t>
            </w:r>
          </w:p>
        </w:tc>
        <w:tc>
          <w:tcPr>
            <w:tcW w:w="120" w:type="dxa"/>
            <w:vAlign w:val="bottom"/>
          </w:tcPr>
          <w:p>
            <w:pPr>
              <w:spacing w:after="0"/>
              <w:rPr>
                <w:sz w:val="17"/>
                <w:szCs w:val="17"/>
                <w:color w:val="auto"/>
              </w:rPr>
            </w:pPr>
          </w:p>
        </w:tc>
        <w:tc>
          <w:tcPr>
            <w:tcW w:w="980" w:type="dxa"/>
            <w:vAlign w:val="bottom"/>
          </w:tcPr>
          <w:p>
            <w:pPr>
              <w:jc w:val="center"/>
              <w:ind w:right="17"/>
              <w:spacing w:after="0"/>
              <w:rPr>
                <w:sz w:val="20"/>
                <w:szCs w:val="20"/>
                <w:color w:val="auto"/>
              </w:rPr>
            </w:pPr>
            <w:r>
              <w:rPr>
                <w:rFonts w:ascii="Arial" w:cs="Arial" w:eastAsia="Arial" w:hAnsi="Arial"/>
                <w:sz w:val="16"/>
                <w:szCs w:val="16"/>
                <w:b w:val="1"/>
                <w:bCs w:val="1"/>
                <w:color w:val="auto"/>
              </w:rPr>
              <w:t>(“TSR”)</w:t>
            </w:r>
          </w:p>
        </w:tc>
        <w:tc>
          <w:tcPr>
            <w:tcW w:w="220" w:type="dxa"/>
            <w:vAlign w:val="bottom"/>
          </w:tcPr>
          <w:p>
            <w:pPr>
              <w:spacing w:after="0"/>
              <w:rPr>
                <w:sz w:val="17"/>
                <w:szCs w:val="17"/>
                <w:color w:val="auto"/>
              </w:rPr>
            </w:pPr>
          </w:p>
        </w:tc>
        <w:tc>
          <w:tcPr>
            <w:tcW w:w="900" w:type="dxa"/>
            <w:vAlign w:val="bottom"/>
          </w:tcPr>
          <w:p>
            <w:pPr>
              <w:jc w:val="right"/>
              <w:ind w:right="193"/>
              <w:spacing w:after="0"/>
              <w:rPr>
                <w:sz w:val="20"/>
                <w:szCs w:val="20"/>
                <w:color w:val="auto"/>
              </w:rPr>
            </w:pPr>
            <w:r>
              <w:rPr>
                <w:rFonts w:ascii="Arial" w:cs="Arial" w:eastAsia="Arial" w:hAnsi="Arial"/>
                <w:sz w:val="16"/>
                <w:szCs w:val="16"/>
                <w:b w:val="1"/>
                <w:bCs w:val="1"/>
                <w:color w:val="auto"/>
              </w:rPr>
              <w:t>TSR(5)</w:t>
            </w:r>
          </w:p>
        </w:tc>
        <w:tc>
          <w:tcPr>
            <w:tcW w:w="140" w:type="dxa"/>
            <w:vAlign w:val="bottom"/>
          </w:tcPr>
          <w:p>
            <w:pPr>
              <w:spacing w:after="0"/>
              <w:rPr>
                <w:sz w:val="17"/>
                <w:szCs w:val="17"/>
                <w:color w:val="auto"/>
              </w:rPr>
            </w:pPr>
          </w:p>
        </w:tc>
        <w:tc>
          <w:tcPr>
            <w:tcW w:w="100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34"/>
        </w:trPr>
        <w:tc>
          <w:tcPr>
            <w:tcW w:w="660" w:type="dxa"/>
            <w:vAlign w:val="bottom"/>
            <w:tcBorders>
              <w:top w:val="single" w:sz="8" w:color="BD03F7"/>
            </w:tcBorders>
          </w:tcPr>
          <w:p>
            <w:pPr>
              <w:spacing w:after="0"/>
              <w:rPr>
                <w:sz w:val="2"/>
                <w:szCs w:val="2"/>
                <w:color w:val="auto"/>
              </w:rPr>
            </w:pPr>
          </w:p>
        </w:tc>
        <w:tc>
          <w:tcPr>
            <w:tcW w:w="140" w:type="dxa"/>
            <w:vAlign w:val="bottom"/>
            <w:tcBorders>
              <w:top w:val="single" w:sz="8" w:color="BD03F7"/>
            </w:tcBorders>
          </w:tcPr>
          <w:p>
            <w:pPr>
              <w:spacing w:after="0"/>
              <w:rPr>
                <w:sz w:val="2"/>
                <w:szCs w:val="2"/>
                <w:color w:val="auto"/>
              </w:rPr>
            </w:pPr>
          </w:p>
        </w:tc>
        <w:tc>
          <w:tcPr>
            <w:tcW w:w="1280" w:type="dxa"/>
            <w:vAlign w:val="bottom"/>
            <w:tcBorders>
              <w:top w:val="single" w:sz="8" w:color="BD03F7"/>
            </w:tcBorders>
          </w:tcPr>
          <w:p>
            <w:pPr>
              <w:spacing w:after="0"/>
              <w:rPr>
                <w:sz w:val="2"/>
                <w:szCs w:val="2"/>
                <w:color w:val="auto"/>
              </w:rPr>
            </w:pPr>
          </w:p>
        </w:tc>
        <w:tc>
          <w:tcPr>
            <w:tcW w:w="160" w:type="dxa"/>
            <w:vAlign w:val="bottom"/>
            <w:tcBorders>
              <w:top w:val="single" w:sz="8" w:color="BD03F7"/>
            </w:tcBorders>
          </w:tcPr>
          <w:p>
            <w:pPr>
              <w:spacing w:after="0"/>
              <w:rPr>
                <w:sz w:val="2"/>
                <w:szCs w:val="2"/>
                <w:color w:val="auto"/>
              </w:rPr>
            </w:pPr>
          </w:p>
        </w:tc>
        <w:tc>
          <w:tcPr>
            <w:tcW w:w="1320" w:type="dxa"/>
            <w:vAlign w:val="bottom"/>
            <w:tcBorders>
              <w:top w:val="single" w:sz="8" w:color="BD03F7"/>
            </w:tcBorders>
          </w:tcPr>
          <w:p>
            <w:pPr>
              <w:spacing w:after="0"/>
              <w:rPr>
                <w:sz w:val="2"/>
                <w:szCs w:val="2"/>
                <w:color w:val="auto"/>
              </w:rPr>
            </w:pPr>
          </w:p>
        </w:tc>
        <w:tc>
          <w:tcPr>
            <w:tcW w:w="180" w:type="dxa"/>
            <w:vAlign w:val="bottom"/>
            <w:tcBorders>
              <w:top w:val="single" w:sz="8" w:color="BD03F7"/>
            </w:tcBorders>
          </w:tcPr>
          <w:p>
            <w:pPr>
              <w:spacing w:after="0"/>
              <w:rPr>
                <w:sz w:val="2"/>
                <w:szCs w:val="2"/>
                <w:color w:val="auto"/>
              </w:rPr>
            </w:pPr>
          </w:p>
        </w:tc>
        <w:tc>
          <w:tcPr>
            <w:tcW w:w="1360" w:type="dxa"/>
            <w:vAlign w:val="bottom"/>
            <w:tcBorders>
              <w:top w:val="single" w:sz="8" w:color="BD03F7"/>
            </w:tcBorders>
          </w:tcPr>
          <w:p>
            <w:pPr>
              <w:spacing w:after="0"/>
              <w:rPr>
                <w:sz w:val="2"/>
                <w:szCs w:val="2"/>
                <w:color w:val="auto"/>
              </w:rPr>
            </w:pPr>
          </w:p>
        </w:tc>
        <w:tc>
          <w:tcPr>
            <w:tcW w:w="160" w:type="dxa"/>
            <w:vAlign w:val="bottom"/>
            <w:tcBorders>
              <w:top w:val="single" w:sz="8" w:color="BD03F7"/>
            </w:tcBorders>
          </w:tcPr>
          <w:p>
            <w:pPr>
              <w:spacing w:after="0"/>
              <w:rPr>
                <w:sz w:val="2"/>
                <w:szCs w:val="2"/>
                <w:color w:val="auto"/>
              </w:rPr>
            </w:pPr>
          </w:p>
        </w:tc>
        <w:tc>
          <w:tcPr>
            <w:tcW w:w="1380" w:type="dxa"/>
            <w:vAlign w:val="bottom"/>
            <w:tcBorders>
              <w:top w:val="single" w:sz="8" w:color="BD03F7"/>
            </w:tcBorders>
          </w:tcPr>
          <w:p>
            <w:pPr>
              <w:spacing w:after="0"/>
              <w:rPr>
                <w:sz w:val="2"/>
                <w:szCs w:val="2"/>
                <w:color w:val="auto"/>
              </w:rPr>
            </w:pPr>
          </w:p>
        </w:tc>
        <w:tc>
          <w:tcPr>
            <w:tcW w:w="120" w:type="dxa"/>
            <w:vAlign w:val="bottom"/>
            <w:tcBorders>
              <w:top w:val="single" w:sz="8" w:color="BD03F7"/>
            </w:tcBorders>
          </w:tcPr>
          <w:p>
            <w:pPr>
              <w:spacing w:after="0"/>
              <w:rPr>
                <w:sz w:val="2"/>
                <w:szCs w:val="2"/>
                <w:color w:val="auto"/>
              </w:rPr>
            </w:pPr>
          </w:p>
        </w:tc>
        <w:tc>
          <w:tcPr>
            <w:tcW w:w="980" w:type="dxa"/>
            <w:vAlign w:val="bottom"/>
            <w:tcBorders>
              <w:top w:val="single" w:sz="8" w:color="BD03F7"/>
            </w:tcBorders>
          </w:tcPr>
          <w:p>
            <w:pPr>
              <w:spacing w:after="0"/>
              <w:rPr>
                <w:sz w:val="2"/>
                <w:szCs w:val="2"/>
                <w:color w:val="auto"/>
              </w:rPr>
            </w:pPr>
          </w:p>
        </w:tc>
        <w:tc>
          <w:tcPr>
            <w:tcW w:w="220" w:type="dxa"/>
            <w:vAlign w:val="bottom"/>
            <w:tcBorders>
              <w:top w:val="single" w:sz="8" w:color="BD03F7"/>
            </w:tcBorders>
          </w:tcPr>
          <w:p>
            <w:pPr>
              <w:spacing w:after="0"/>
              <w:rPr>
                <w:sz w:val="2"/>
                <w:szCs w:val="2"/>
                <w:color w:val="auto"/>
              </w:rPr>
            </w:pPr>
          </w:p>
        </w:tc>
        <w:tc>
          <w:tcPr>
            <w:tcW w:w="900" w:type="dxa"/>
            <w:vAlign w:val="bottom"/>
            <w:tcBorders>
              <w:top w:val="single" w:sz="8" w:color="BD03F7"/>
            </w:tcBorders>
          </w:tcPr>
          <w:p>
            <w:pPr>
              <w:spacing w:after="0"/>
              <w:rPr>
                <w:sz w:val="2"/>
                <w:szCs w:val="2"/>
                <w:color w:val="auto"/>
              </w:rPr>
            </w:pPr>
          </w:p>
        </w:tc>
        <w:tc>
          <w:tcPr>
            <w:tcW w:w="140" w:type="dxa"/>
            <w:vAlign w:val="bottom"/>
            <w:tcBorders>
              <w:top w:val="single" w:sz="8" w:color="BD03F7"/>
            </w:tcBorders>
          </w:tcPr>
          <w:p>
            <w:pPr>
              <w:spacing w:after="0"/>
              <w:rPr>
                <w:sz w:val="2"/>
                <w:szCs w:val="2"/>
                <w:color w:val="auto"/>
              </w:rPr>
            </w:pPr>
          </w:p>
        </w:tc>
        <w:tc>
          <w:tcPr>
            <w:tcW w:w="900" w:type="dxa"/>
            <w:vAlign w:val="bottom"/>
            <w:tcBorders>
              <w:top w:val="single" w:sz="8" w:color="BD03F7"/>
            </w:tcBorders>
          </w:tcPr>
          <w:p>
            <w:pPr>
              <w:spacing w:after="0"/>
              <w:rPr>
                <w:sz w:val="2"/>
                <w:szCs w:val="2"/>
                <w:color w:val="auto"/>
              </w:rPr>
            </w:pPr>
          </w:p>
        </w:tc>
        <w:tc>
          <w:tcPr>
            <w:tcW w:w="100" w:type="dxa"/>
            <w:vAlign w:val="bottom"/>
            <w:tcBorders>
              <w:top w:val="single" w:sz="8" w:color="BD03F7"/>
            </w:tcBorders>
          </w:tcPr>
          <w:p>
            <w:pPr>
              <w:spacing w:after="0"/>
              <w:rPr>
                <w:sz w:val="2"/>
                <w:szCs w:val="2"/>
                <w:color w:val="auto"/>
              </w:rPr>
            </w:pPr>
          </w:p>
        </w:tc>
        <w:tc>
          <w:tcPr>
            <w:tcW w:w="180" w:type="dxa"/>
            <w:vAlign w:val="bottom"/>
            <w:tcBorders>
              <w:top w:val="single" w:sz="8" w:color="BD03F7"/>
            </w:tcBorders>
          </w:tcPr>
          <w:p>
            <w:pPr>
              <w:spacing w:after="0"/>
              <w:rPr>
                <w:sz w:val="2"/>
                <w:szCs w:val="2"/>
                <w:color w:val="auto"/>
              </w:rPr>
            </w:pPr>
          </w:p>
        </w:tc>
        <w:tc>
          <w:tcPr>
            <w:tcW w:w="960" w:type="dxa"/>
            <w:vAlign w:val="bottom"/>
            <w:tcBorders>
              <w:top w:val="single" w:sz="8" w:color="BD03F7"/>
            </w:tcBorders>
          </w:tcPr>
          <w:p>
            <w:pPr>
              <w:spacing w:after="0"/>
              <w:rPr>
                <w:sz w:val="2"/>
                <w:szCs w:val="2"/>
                <w:color w:val="auto"/>
              </w:rPr>
            </w:pPr>
          </w:p>
        </w:tc>
        <w:tc>
          <w:tcPr>
            <w:tcW w:w="80" w:type="dxa"/>
            <w:vAlign w:val="bottom"/>
            <w:tcBorders>
              <w:top w:val="single" w:sz="8" w:color="BD03F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30,940,146</w:t>
            </w:r>
          </w:p>
        </w:tc>
        <w:tc>
          <w:tcPr>
            <w:tcW w:w="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86,570,533</w:t>
            </w:r>
          </w:p>
        </w:tc>
        <w:tc>
          <w:tcPr>
            <w:tcW w:w="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11,229,365</w:t>
            </w:r>
          </w:p>
        </w:tc>
        <w:tc>
          <w:tcPr>
            <w:tcW w:w="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28,542,495</w:t>
            </w:r>
          </w:p>
        </w:tc>
        <w:tc>
          <w:tcPr>
            <w:tcW w:w="12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269.61</w:t>
            </w:r>
          </w:p>
        </w:tc>
        <w:tc>
          <w:tcPr>
            <w:tcW w:w="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261.97</w:t>
            </w:r>
          </w:p>
        </w:tc>
        <w:tc>
          <w:tcPr>
            <w:tcW w:w="14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8,539</w:t>
            </w:r>
          </w:p>
        </w:tc>
        <w:tc>
          <w:tcPr>
            <w:tcW w:w="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2F2F2"/>
          </w:tcPr>
          <w:p>
            <w:pPr>
              <w:jc w:val="right"/>
              <w:ind w:right="80"/>
              <w:spacing w:after="0"/>
              <w:rPr>
                <w:sz w:val="20"/>
                <w:szCs w:val="20"/>
                <w:color w:val="auto"/>
              </w:rPr>
            </w:pPr>
            <w:r>
              <w:rPr>
                <w:rFonts w:ascii="Arial" w:cs="Arial" w:eastAsia="Arial" w:hAnsi="Arial"/>
                <w:sz w:val="18"/>
                <w:szCs w:val="18"/>
                <w:color w:val="auto"/>
              </w:rPr>
              <w:t>9,470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0" w:type="dxa"/>
            <w:vAlign w:val="bottom"/>
          </w:tcPr>
          <w:p>
            <w:pPr>
              <w:jc w:val="right"/>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30,060,126</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72,800,970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10,791,271</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25,984,963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210.22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225.10</w:t>
            </w: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0" w:type="dxa"/>
            <w:vAlign w:val="bottom"/>
            <w:shd w:val="clear" w:color="auto" w:fill="F2F2F2"/>
          </w:tcPr>
          <w:p>
            <w:pPr>
              <w:jc w:val="right"/>
              <w:ind w:right="150"/>
              <w:spacing w:after="0"/>
              <w:rPr>
                <w:sz w:val="20"/>
                <w:szCs w:val="20"/>
                <w:color w:val="auto"/>
              </w:rPr>
            </w:pPr>
            <w:r>
              <w:rPr>
                <w:rFonts w:ascii="Arial" w:cs="Arial" w:eastAsia="Arial" w:hAnsi="Arial"/>
                <w:sz w:val="18"/>
                <w:szCs w:val="18"/>
                <w:color w:val="auto"/>
              </w:rPr>
              <w:t>2023</w:t>
            </w:r>
          </w:p>
        </w:tc>
        <w:tc>
          <w:tcPr>
            <w:tcW w:w="1500" w:type="dxa"/>
            <w:vAlign w:val="bottom"/>
            <w:shd w:val="clear" w:color="auto" w:fill="F2F2F2"/>
          </w:tcPr>
          <w:p>
            <w:pPr>
              <w:jc w:val="right"/>
              <w:ind w:right="250"/>
              <w:spacing w:after="0"/>
              <w:rPr>
                <w:sz w:val="20"/>
                <w:szCs w:val="20"/>
                <w:color w:val="auto"/>
              </w:rPr>
            </w:pPr>
            <w:r>
              <w:rPr>
                <w:rFonts w:ascii="Arial" w:cs="Arial" w:eastAsia="Arial" w:hAnsi="Arial"/>
                <w:sz w:val="18"/>
                <w:szCs w:val="18"/>
                <w:color w:val="auto"/>
              </w:rPr>
              <w:t>25,276,953</w:t>
            </w:r>
          </w:p>
        </w:tc>
        <w:tc>
          <w:tcPr>
            <w:tcW w:w="1500" w:type="dxa"/>
            <w:vAlign w:val="bottom"/>
            <w:shd w:val="clear" w:color="auto" w:fill="F2F2F2"/>
          </w:tcPr>
          <w:p>
            <w:pPr>
              <w:jc w:val="right"/>
              <w:ind w:right="230"/>
              <w:spacing w:after="0"/>
              <w:rPr>
                <w:sz w:val="20"/>
                <w:szCs w:val="20"/>
                <w:color w:val="auto"/>
              </w:rPr>
            </w:pPr>
            <w:r>
              <w:rPr>
                <w:rFonts w:ascii="Arial" w:cs="Arial" w:eastAsia="Arial" w:hAnsi="Arial"/>
                <w:sz w:val="18"/>
                <w:szCs w:val="18"/>
                <w:color w:val="auto"/>
              </w:rPr>
              <w:t>42,535,802</w:t>
            </w:r>
          </w:p>
        </w:tc>
        <w:tc>
          <w:tcPr>
            <w:tcW w:w="1540" w:type="dxa"/>
            <w:vAlign w:val="bottom"/>
            <w:shd w:val="clear" w:color="auto" w:fill="F2F2F2"/>
          </w:tcPr>
          <w:p>
            <w:pPr>
              <w:jc w:val="right"/>
              <w:ind w:right="230"/>
              <w:spacing w:after="0"/>
              <w:rPr>
                <w:sz w:val="20"/>
                <w:szCs w:val="20"/>
                <w:color w:val="auto"/>
              </w:rPr>
            </w:pPr>
            <w:r>
              <w:rPr>
                <w:rFonts w:ascii="Arial" w:cs="Arial" w:eastAsia="Arial" w:hAnsi="Arial"/>
                <w:sz w:val="18"/>
                <w:szCs w:val="18"/>
                <w:color w:val="auto"/>
              </w:rPr>
              <w:t>8,414,800</w:t>
            </w:r>
          </w:p>
        </w:tc>
        <w:tc>
          <w:tcPr>
            <w:tcW w:w="150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13,652,768</w:t>
            </w:r>
          </w:p>
        </w:tc>
        <w:tc>
          <w:tcPr>
            <w:tcW w:w="1100" w:type="dxa"/>
            <w:vAlign w:val="bottom"/>
            <w:shd w:val="clear" w:color="auto" w:fill="F2F2F2"/>
          </w:tcPr>
          <w:p>
            <w:pPr>
              <w:jc w:val="right"/>
              <w:ind w:right="190"/>
              <w:spacing w:after="0"/>
              <w:rPr>
                <w:sz w:val="20"/>
                <w:szCs w:val="20"/>
                <w:color w:val="auto"/>
              </w:rPr>
            </w:pPr>
            <w:r>
              <w:rPr>
                <w:rFonts w:ascii="Arial" w:cs="Arial" w:eastAsia="Arial" w:hAnsi="Arial"/>
                <w:sz w:val="18"/>
                <w:szCs w:val="18"/>
                <w:color w:val="auto"/>
              </w:rPr>
              <w:t>153.10</w:t>
            </w:r>
          </w:p>
        </w:tc>
        <w:tc>
          <w:tcPr>
            <w:tcW w:w="112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164.30</w:t>
            </w:r>
          </w:p>
        </w:tc>
        <w:tc>
          <w:tcPr>
            <w:tcW w:w="11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8"/>
              </w:rPr>
              <w:t>(5,833)</w:t>
            </w:r>
          </w:p>
        </w:tc>
        <w:tc>
          <w:tcPr>
            <w:tcW w:w="900" w:type="dxa"/>
            <w:vAlign w:val="bottom"/>
            <w:shd w:val="clear" w:color="auto" w:fill="F2F2F2"/>
          </w:tcPr>
          <w:p>
            <w:pPr>
              <w:jc w:val="center"/>
              <w:ind w:left="170"/>
              <w:spacing w:after="0"/>
              <w:rPr>
                <w:sz w:val="20"/>
                <w:szCs w:val="20"/>
                <w:color w:val="auto"/>
              </w:rPr>
            </w:pPr>
            <w:r>
              <w:rPr>
                <w:rFonts w:ascii="Arial" w:cs="Arial" w:eastAsia="Arial" w:hAnsi="Arial"/>
                <w:sz w:val="18"/>
                <w:szCs w:val="18"/>
                <w:color w:val="auto"/>
                <w:w w:val="98"/>
              </w:rPr>
              <w:t>(4,862)</w:t>
            </w:r>
          </w:p>
        </w:tc>
      </w:tr>
      <w:tr>
        <w:trPr>
          <w:trHeight w:val="228"/>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2022</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28,840,809</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13,451,732</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10,446,440</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4,217,817</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124.42</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117.53</w:t>
            </w:r>
          </w:p>
        </w:tc>
        <w:tc>
          <w:tcPr>
            <w:tcW w:w="1180" w:type="dxa"/>
            <w:vAlign w:val="bottom"/>
          </w:tcPr>
          <w:p>
            <w:pPr>
              <w:jc w:val="center"/>
              <w:spacing w:after="0"/>
              <w:rPr>
                <w:sz w:val="20"/>
                <w:szCs w:val="20"/>
                <w:color w:val="auto"/>
              </w:rPr>
            </w:pPr>
            <w:r>
              <w:rPr>
                <w:rFonts w:ascii="Arial" w:cs="Arial" w:eastAsia="Arial" w:hAnsi="Arial"/>
                <w:sz w:val="18"/>
                <w:szCs w:val="18"/>
                <w:color w:val="auto"/>
              </w:rPr>
              <w:t>8,687</w:t>
            </w:r>
          </w:p>
        </w:tc>
        <w:tc>
          <w:tcPr>
            <w:tcW w:w="900" w:type="dxa"/>
            <w:vAlign w:val="bottom"/>
          </w:tcPr>
          <w:p>
            <w:pPr>
              <w:jc w:val="center"/>
              <w:ind w:left="190"/>
              <w:spacing w:after="0"/>
              <w:rPr>
                <w:sz w:val="20"/>
                <w:szCs w:val="20"/>
                <w:color w:val="auto"/>
              </w:rPr>
            </w:pPr>
            <w:r>
              <w:rPr>
                <w:rFonts w:ascii="Arial" w:cs="Arial" w:eastAsia="Arial" w:hAnsi="Arial"/>
                <w:sz w:val="18"/>
                <w:szCs w:val="18"/>
                <w:color w:val="auto"/>
              </w:rPr>
              <w:t>9,475</w:t>
            </w:r>
          </w:p>
        </w:tc>
      </w:tr>
      <w:tr>
        <w:trPr>
          <w:trHeight w:val="228"/>
        </w:trPr>
        <w:tc>
          <w:tcPr>
            <w:tcW w:w="880" w:type="dxa"/>
            <w:vAlign w:val="bottom"/>
            <w:tcBorders>
              <w:bottom w:val="single" w:sz="8" w:color="BD03F7"/>
            </w:tcBorders>
            <w:shd w:val="clear" w:color="auto" w:fill="F2F2F2"/>
          </w:tcPr>
          <w:p>
            <w:pPr>
              <w:jc w:val="right"/>
              <w:ind w:right="150"/>
              <w:spacing w:after="0"/>
              <w:rPr>
                <w:sz w:val="20"/>
                <w:szCs w:val="20"/>
                <w:color w:val="auto"/>
              </w:rPr>
            </w:pPr>
            <w:r>
              <w:rPr>
                <w:rFonts w:ascii="Arial" w:cs="Arial" w:eastAsia="Arial" w:hAnsi="Arial"/>
                <w:sz w:val="18"/>
                <w:szCs w:val="18"/>
                <w:color w:val="auto"/>
              </w:rPr>
              <w:t>2021</w:t>
            </w:r>
          </w:p>
        </w:tc>
        <w:tc>
          <w:tcPr>
            <w:tcW w:w="1500" w:type="dxa"/>
            <w:vAlign w:val="bottom"/>
            <w:tcBorders>
              <w:bottom w:val="single" w:sz="8" w:color="BD03F7"/>
            </w:tcBorders>
            <w:shd w:val="clear" w:color="auto" w:fill="F2F2F2"/>
          </w:tcPr>
          <w:p>
            <w:pPr>
              <w:jc w:val="right"/>
              <w:ind w:right="190"/>
              <w:spacing w:after="0"/>
              <w:rPr>
                <w:sz w:val="20"/>
                <w:szCs w:val="20"/>
                <w:color w:val="auto"/>
              </w:rPr>
            </w:pPr>
            <w:r>
              <w:rPr>
                <w:rFonts w:ascii="Arial" w:cs="Arial" w:eastAsia="Arial" w:hAnsi="Arial"/>
                <w:sz w:val="18"/>
                <w:szCs w:val="18"/>
                <w:color w:val="auto"/>
              </w:rPr>
              <w:t>25,316,709</w:t>
            </w:r>
          </w:p>
        </w:tc>
        <w:tc>
          <w:tcPr>
            <w:tcW w:w="1500" w:type="dxa"/>
            <w:vAlign w:val="bottom"/>
            <w:tcBorders>
              <w:bottom w:val="single" w:sz="8" w:color="BD03F7"/>
            </w:tcBorders>
            <w:shd w:val="clear" w:color="auto" w:fill="F2F2F2"/>
          </w:tcPr>
          <w:p>
            <w:pPr>
              <w:jc w:val="right"/>
              <w:ind w:right="230"/>
              <w:spacing w:after="0"/>
              <w:rPr>
                <w:sz w:val="20"/>
                <w:szCs w:val="20"/>
                <w:color w:val="auto"/>
              </w:rPr>
            </w:pPr>
            <w:r>
              <w:rPr>
                <w:rFonts w:ascii="Arial" w:cs="Arial" w:eastAsia="Arial" w:hAnsi="Arial"/>
                <w:sz w:val="18"/>
                <w:szCs w:val="18"/>
                <w:color w:val="auto"/>
              </w:rPr>
              <w:t>68,023,777</w:t>
            </w:r>
          </w:p>
        </w:tc>
        <w:tc>
          <w:tcPr>
            <w:tcW w:w="1540" w:type="dxa"/>
            <w:vAlign w:val="bottom"/>
            <w:tcBorders>
              <w:bottom w:val="single" w:sz="8" w:color="BD03F7"/>
            </w:tcBorders>
            <w:shd w:val="clear" w:color="auto" w:fill="F2F2F2"/>
          </w:tcPr>
          <w:p>
            <w:pPr>
              <w:jc w:val="right"/>
              <w:ind w:right="230"/>
              <w:spacing w:after="0"/>
              <w:rPr>
                <w:sz w:val="20"/>
                <w:szCs w:val="20"/>
                <w:color w:val="auto"/>
              </w:rPr>
            </w:pPr>
            <w:r>
              <w:rPr>
                <w:rFonts w:ascii="Arial" w:cs="Arial" w:eastAsia="Arial" w:hAnsi="Arial"/>
                <w:sz w:val="18"/>
                <w:szCs w:val="18"/>
                <w:color w:val="auto"/>
              </w:rPr>
              <w:t>7,697,877</w:t>
            </w:r>
          </w:p>
        </w:tc>
        <w:tc>
          <w:tcPr>
            <w:tcW w:w="1500" w:type="dxa"/>
            <w:vAlign w:val="bottom"/>
            <w:tcBorders>
              <w:bottom w:val="single" w:sz="8" w:color="BD03F7"/>
            </w:tcBorders>
            <w:shd w:val="clear" w:color="auto" w:fill="F2F2F2"/>
          </w:tcPr>
          <w:p>
            <w:pPr>
              <w:jc w:val="right"/>
              <w:ind w:right="210"/>
              <w:spacing w:after="0"/>
              <w:rPr>
                <w:sz w:val="20"/>
                <w:szCs w:val="20"/>
                <w:color w:val="auto"/>
              </w:rPr>
            </w:pPr>
            <w:r>
              <w:rPr>
                <w:rFonts w:ascii="Arial" w:cs="Arial" w:eastAsia="Arial" w:hAnsi="Arial"/>
                <w:sz w:val="18"/>
                <w:szCs w:val="18"/>
                <w:color w:val="auto"/>
              </w:rPr>
              <w:t>19,558,088</w:t>
            </w:r>
          </w:p>
        </w:tc>
        <w:tc>
          <w:tcPr>
            <w:tcW w:w="1100" w:type="dxa"/>
            <w:vAlign w:val="bottom"/>
            <w:tcBorders>
              <w:bottom w:val="single" w:sz="8" w:color="BD03F7"/>
            </w:tcBorders>
            <w:shd w:val="clear" w:color="auto" w:fill="F2F2F2"/>
          </w:tcPr>
          <w:p>
            <w:pPr>
              <w:jc w:val="right"/>
              <w:ind w:right="190"/>
              <w:spacing w:after="0"/>
              <w:rPr>
                <w:sz w:val="20"/>
                <w:szCs w:val="20"/>
                <w:color w:val="auto"/>
              </w:rPr>
            </w:pPr>
            <w:r>
              <w:rPr>
                <w:rFonts w:ascii="Arial" w:cs="Arial" w:eastAsia="Arial" w:hAnsi="Arial"/>
                <w:sz w:val="18"/>
                <w:szCs w:val="18"/>
                <w:color w:val="auto"/>
              </w:rPr>
              <w:t>159.70</w:t>
            </w:r>
          </w:p>
        </w:tc>
        <w:tc>
          <w:tcPr>
            <w:tcW w:w="1120" w:type="dxa"/>
            <w:vAlign w:val="bottom"/>
            <w:tcBorders>
              <w:bottom w:val="single" w:sz="8" w:color="BD03F7"/>
            </w:tcBorders>
            <w:shd w:val="clear" w:color="auto" w:fill="F2F2F2"/>
          </w:tcPr>
          <w:p>
            <w:pPr>
              <w:jc w:val="right"/>
              <w:ind w:right="210"/>
              <w:spacing w:after="0"/>
              <w:rPr>
                <w:sz w:val="20"/>
                <w:szCs w:val="20"/>
                <w:color w:val="auto"/>
              </w:rPr>
            </w:pPr>
            <w:r>
              <w:rPr>
                <w:rFonts w:ascii="Arial" w:cs="Arial" w:eastAsia="Arial" w:hAnsi="Arial"/>
                <w:sz w:val="18"/>
                <w:szCs w:val="18"/>
                <w:color w:val="auto"/>
              </w:rPr>
              <w:t>152.68</w:t>
            </w:r>
          </w:p>
        </w:tc>
        <w:tc>
          <w:tcPr>
            <w:tcW w:w="1180" w:type="dxa"/>
            <w:vAlign w:val="bottom"/>
            <w:tcBorders>
              <w:bottom w:val="single" w:sz="8" w:color="BD03F7"/>
            </w:tcBorders>
            <w:shd w:val="clear" w:color="auto" w:fill="F2F2F2"/>
          </w:tcPr>
          <w:p>
            <w:pPr>
              <w:jc w:val="center"/>
              <w:spacing w:after="0"/>
              <w:rPr>
                <w:sz w:val="20"/>
                <w:szCs w:val="20"/>
                <w:color w:val="auto"/>
              </w:rPr>
            </w:pPr>
            <w:r>
              <w:rPr>
                <w:rFonts w:ascii="Arial" w:cs="Arial" w:eastAsia="Arial" w:hAnsi="Arial"/>
                <w:sz w:val="18"/>
                <w:szCs w:val="18"/>
                <w:color w:val="auto"/>
              </w:rPr>
              <w:t>5,861</w:t>
            </w:r>
          </w:p>
        </w:tc>
        <w:tc>
          <w:tcPr>
            <w:tcW w:w="900" w:type="dxa"/>
            <w:vAlign w:val="bottom"/>
            <w:tcBorders>
              <w:bottom w:val="single" w:sz="8" w:color="BD03F7"/>
            </w:tcBorders>
            <w:shd w:val="clear" w:color="auto" w:fill="F2F2F2"/>
          </w:tcPr>
          <w:p>
            <w:pPr>
              <w:jc w:val="center"/>
              <w:ind w:left="190"/>
              <w:spacing w:after="0"/>
              <w:rPr>
                <w:sz w:val="20"/>
                <w:szCs w:val="20"/>
                <w:color w:val="auto"/>
              </w:rPr>
            </w:pPr>
            <w:r>
              <w:rPr>
                <w:rFonts w:ascii="Arial" w:cs="Arial" w:eastAsia="Arial" w:hAnsi="Arial"/>
                <w:sz w:val="18"/>
                <w:szCs w:val="18"/>
                <w:color w:val="auto"/>
              </w:rPr>
              <w:t>6,976</w:t>
            </w:r>
          </w:p>
        </w:tc>
      </w:tr>
    </w:tbl>
    <w:p>
      <w:pPr>
        <w:spacing w:after="0" w:line="62" w:lineRule="exact"/>
        <w:rPr>
          <w:sz w:val="20"/>
          <w:szCs w:val="20"/>
          <w:color w:val="auto"/>
        </w:rPr>
      </w:pPr>
    </w:p>
    <w:p>
      <w:pPr>
        <w:ind w:left="340" w:right="780" w:hanging="333"/>
        <w:spacing w:after="0" w:line="316" w:lineRule="auto"/>
        <w:tabs>
          <w:tab w:leader="none" w:pos="33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Our Principal Executive Officer (“PEO”) for each of the fiscal years shown in the table is Sanjay Mehrotra. Amounts reflect the compensation reported in the “Total” column of the Summary Compensation Table for our PEO for the corresponding fiscal year.</w:t>
      </w:r>
    </w:p>
    <w:p>
      <w:pPr>
        <w:spacing w:after="0" w:line="157" w:lineRule="exact"/>
        <w:rPr>
          <w:rFonts w:ascii="Arial" w:cs="Arial" w:eastAsia="Arial" w:hAnsi="Arial"/>
          <w:sz w:val="17"/>
          <w:szCs w:val="17"/>
          <w:color w:val="auto"/>
        </w:rPr>
      </w:pPr>
    </w:p>
    <w:p>
      <w:pPr>
        <w:ind w:left="340" w:hanging="333"/>
        <w:spacing w:after="0" w:line="255" w:lineRule="auto"/>
        <w:tabs>
          <w:tab w:leader="none" w:pos="3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Amounts reflect the Compensation Actually Paid (“CAP”) of our PEO, or the average of the CAP of our Non-PEO Named Executive Officers (“Non-PEO NEOs”), for each fiscal year. CAP does not necessarily reflect amounts of compensation actually earned, realized, or received in each fiscal year. Rather, CAP is calculated starting with the amount of compensation reported in the “Total” column of the Summary Compensation Table for our PEO or Non-PEO NEOs, as applicable, for each fiscal year (and averaged for our Non-PEO NEOs), as adjusted in accordance with the requirements of Item 402(v) of Regulation S-K. The following adjustments were made to the amount of compensation reported in the “Total” column of the Summary Compensation Table for our PEO and the average of the amounts of compensation reported in the “Total” column of the Summary Compensation Table for our Non-PEO NEOs:</w:t>
      </w:r>
    </w:p>
    <w:p>
      <w:pPr>
        <w:spacing w:after="0" w:line="11"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BD03F7"/>
            </w:tcBorders>
          </w:tcPr>
          <w:p>
            <w:pPr>
              <w:spacing w:after="0"/>
              <w:rPr>
                <w:sz w:val="18"/>
                <w:szCs w:val="18"/>
                <w:color w:val="auto"/>
              </w:rPr>
            </w:pPr>
          </w:p>
        </w:tc>
        <w:tc>
          <w:tcPr>
            <w:tcW w:w="100" w:type="dxa"/>
            <w:vAlign w:val="bottom"/>
            <w:tcBorders>
              <w:bottom w:val="single" w:sz="8" w:color="BD03F7"/>
            </w:tcBorders>
          </w:tcPr>
          <w:p>
            <w:pPr>
              <w:spacing w:after="0"/>
              <w:rPr>
                <w:sz w:val="18"/>
                <w:szCs w:val="18"/>
                <w:color w:val="auto"/>
              </w:rPr>
            </w:pPr>
          </w:p>
        </w:tc>
        <w:tc>
          <w:tcPr>
            <w:tcW w:w="1160" w:type="dxa"/>
            <w:vAlign w:val="bottom"/>
            <w:tcBorders>
              <w:bottom w:val="single" w:sz="8" w:color="BD03F7"/>
            </w:tcBorders>
          </w:tcPr>
          <w:p>
            <w:pPr>
              <w:spacing w:after="0"/>
              <w:rPr>
                <w:sz w:val="18"/>
                <w:szCs w:val="18"/>
                <w:color w:val="auto"/>
              </w:rPr>
            </w:pPr>
          </w:p>
        </w:tc>
        <w:tc>
          <w:tcPr>
            <w:tcW w:w="100" w:type="dxa"/>
            <w:vAlign w:val="bottom"/>
            <w:tcBorders>
              <w:bottom w:val="single" w:sz="8" w:color="BD03F7"/>
            </w:tcBorders>
          </w:tcPr>
          <w:p>
            <w:pPr>
              <w:spacing w:after="0"/>
              <w:rPr>
                <w:sz w:val="18"/>
                <w:szCs w:val="18"/>
                <w:color w:val="auto"/>
              </w:rPr>
            </w:pPr>
          </w:p>
        </w:tc>
        <w:tc>
          <w:tcPr>
            <w:tcW w:w="1260" w:type="dxa"/>
            <w:vAlign w:val="bottom"/>
            <w:tcBorders>
              <w:bottom w:val="single" w:sz="8" w:color="BD03F7"/>
            </w:tcBorders>
            <w:gridSpan w:val="2"/>
          </w:tcPr>
          <w:p>
            <w:pPr>
              <w:jc w:val="center"/>
              <w:ind w:right="80"/>
              <w:spacing w:after="0"/>
              <w:rPr>
                <w:sz w:val="20"/>
                <w:szCs w:val="20"/>
                <w:color w:val="auto"/>
              </w:rPr>
            </w:pPr>
            <w:r>
              <w:rPr>
                <w:rFonts w:ascii="Arial" w:cs="Arial" w:eastAsia="Arial" w:hAnsi="Arial"/>
                <w:sz w:val="16"/>
                <w:szCs w:val="16"/>
                <w:b w:val="1"/>
                <w:bCs w:val="1"/>
                <w:color w:val="auto"/>
              </w:rPr>
              <w:t>PEO</w:t>
            </w:r>
          </w:p>
        </w:tc>
        <w:tc>
          <w:tcPr>
            <w:tcW w:w="1160" w:type="dxa"/>
            <w:vAlign w:val="bottom"/>
            <w:tcBorders>
              <w:bottom w:val="single" w:sz="8" w:color="BD03F7"/>
            </w:tcBorders>
          </w:tcPr>
          <w:p>
            <w:pPr>
              <w:spacing w:after="0"/>
              <w:rPr>
                <w:sz w:val="18"/>
                <w:szCs w:val="18"/>
                <w:color w:val="auto"/>
              </w:rPr>
            </w:pPr>
          </w:p>
        </w:tc>
        <w:tc>
          <w:tcPr>
            <w:tcW w:w="100" w:type="dxa"/>
            <w:vAlign w:val="bottom"/>
            <w:tcBorders>
              <w:bottom w:val="single" w:sz="8" w:color="BD03F7"/>
            </w:tcBorders>
          </w:tcPr>
          <w:p>
            <w:pPr>
              <w:spacing w:after="0"/>
              <w:rPr>
                <w:sz w:val="18"/>
                <w:szCs w:val="18"/>
                <w:color w:val="auto"/>
              </w:rPr>
            </w:pPr>
          </w:p>
        </w:tc>
        <w:tc>
          <w:tcPr>
            <w:tcW w:w="120" w:type="dxa"/>
            <w:vAlign w:val="bottom"/>
            <w:tcBorders>
              <w:bottom w:val="single" w:sz="8" w:color="BD03F7"/>
            </w:tcBorders>
          </w:tcPr>
          <w:p>
            <w:pPr>
              <w:spacing w:after="0"/>
              <w:rPr>
                <w:sz w:val="18"/>
                <w:szCs w:val="18"/>
                <w:color w:val="auto"/>
              </w:rPr>
            </w:pPr>
          </w:p>
        </w:tc>
        <w:tc>
          <w:tcPr>
            <w:tcW w:w="1060" w:type="dxa"/>
            <w:vAlign w:val="bottom"/>
            <w:tcBorders>
              <w:bottom w:val="single" w:sz="8" w:color="BD03F7"/>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00" w:type="dxa"/>
            <w:vAlign w:val="bottom"/>
            <w:tcBorders>
              <w:bottom w:val="single" w:sz="8" w:color="BD03F7"/>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bottom w:val="single" w:sz="8" w:color="BD03F7"/>
            </w:tcBorders>
            <w:gridSpan w:val="2"/>
          </w:tcPr>
          <w:p>
            <w:pPr>
              <w:ind w:left="160"/>
              <w:spacing w:after="0"/>
              <w:rPr>
                <w:sz w:val="20"/>
                <w:szCs w:val="20"/>
                <w:color w:val="auto"/>
              </w:rPr>
            </w:pPr>
            <w:r>
              <w:rPr>
                <w:rFonts w:ascii="Arial" w:cs="Arial" w:eastAsia="Arial" w:hAnsi="Arial"/>
                <w:sz w:val="16"/>
                <w:szCs w:val="16"/>
                <w:b w:val="1"/>
                <w:bCs w:val="1"/>
                <w:color w:val="auto"/>
              </w:rPr>
              <w:t>Fiscal 2025</w:t>
            </w:r>
          </w:p>
        </w:tc>
        <w:tc>
          <w:tcPr>
            <w:tcW w:w="1260" w:type="dxa"/>
            <w:vAlign w:val="bottom"/>
            <w:tcBorders>
              <w:bottom w:val="single" w:sz="8" w:color="BD03F7"/>
            </w:tcBorders>
            <w:gridSpan w:val="2"/>
          </w:tcPr>
          <w:p>
            <w:pPr>
              <w:ind w:left="160"/>
              <w:spacing w:after="0"/>
              <w:rPr>
                <w:sz w:val="20"/>
                <w:szCs w:val="20"/>
                <w:color w:val="auto"/>
              </w:rPr>
            </w:pPr>
            <w:r>
              <w:rPr>
                <w:rFonts w:ascii="Arial" w:cs="Arial" w:eastAsia="Arial" w:hAnsi="Arial"/>
                <w:sz w:val="16"/>
                <w:szCs w:val="16"/>
                <w:b w:val="1"/>
                <w:bCs w:val="1"/>
                <w:color w:val="auto"/>
              </w:rPr>
              <w:t>Fiscal 2024</w:t>
            </w:r>
          </w:p>
        </w:tc>
        <w:tc>
          <w:tcPr>
            <w:tcW w:w="1260" w:type="dxa"/>
            <w:vAlign w:val="bottom"/>
            <w:tcBorders>
              <w:bottom w:val="single" w:sz="8" w:color="BD03F7"/>
            </w:tcBorders>
            <w:gridSpan w:val="2"/>
          </w:tcPr>
          <w:p>
            <w:pPr>
              <w:jc w:val="center"/>
              <w:ind w:right="80"/>
              <w:spacing w:after="0"/>
              <w:rPr>
                <w:sz w:val="20"/>
                <w:szCs w:val="20"/>
                <w:color w:val="auto"/>
              </w:rPr>
            </w:pPr>
            <w:r>
              <w:rPr>
                <w:rFonts w:ascii="Arial" w:cs="Arial" w:eastAsia="Arial" w:hAnsi="Arial"/>
                <w:sz w:val="16"/>
                <w:szCs w:val="16"/>
                <w:b w:val="1"/>
                <w:bCs w:val="1"/>
                <w:color w:val="auto"/>
              </w:rPr>
              <w:t>Fiscal 2023</w:t>
            </w:r>
          </w:p>
        </w:tc>
        <w:tc>
          <w:tcPr>
            <w:tcW w:w="1260" w:type="dxa"/>
            <w:vAlign w:val="bottom"/>
            <w:tcBorders>
              <w:bottom w:val="single" w:sz="8" w:color="BD03F7"/>
            </w:tcBorders>
            <w:gridSpan w:val="2"/>
          </w:tcPr>
          <w:p>
            <w:pPr>
              <w:ind w:left="160"/>
              <w:spacing w:after="0"/>
              <w:rPr>
                <w:sz w:val="20"/>
                <w:szCs w:val="20"/>
                <w:color w:val="auto"/>
              </w:rPr>
            </w:pPr>
            <w:r>
              <w:rPr>
                <w:rFonts w:ascii="Arial" w:cs="Arial" w:eastAsia="Arial" w:hAnsi="Arial"/>
                <w:sz w:val="16"/>
                <w:szCs w:val="16"/>
                <w:b w:val="1"/>
                <w:bCs w:val="1"/>
                <w:color w:val="auto"/>
              </w:rPr>
              <w:t>Fiscal 2022</w:t>
            </w:r>
          </w:p>
        </w:tc>
        <w:tc>
          <w:tcPr>
            <w:tcW w:w="120" w:type="dxa"/>
            <w:vAlign w:val="bottom"/>
            <w:tcBorders>
              <w:bottom w:val="single" w:sz="8" w:color="BD03F7"/>
            </w:tcBorders>
          </w:tcPr>
          <w:p>
            <w:pPr>
              <w:spacing w:after="0"/>
              <w:rPr>
                <w:sz w:val="18"/>
                <w:szCs w:val="18"/>
                <w:color w:val="auto"/>
              </w:rPr>
            </w:pPr>
          </w:p>
        </w:tc>
        <w:tc>
          <w:tcPr>
            <w:tcW w:w="1060" w:type="dxa"/>
            <w:vAlign w:val="bottom"/>
            <w:tcBorders>
              <w:bottom w:val="single" w:sz="8" w:color="BD03F7"/>
            </w:tcBorders>
          </w:tcPr>
          <w:p>
            <w:pPr>
              <w:jc w:val="right"/>
              <w:ind w:right="71"/>
              <w:spacing w:after="0"/>
              <w:rPr>
                <w:sz w:val="20"/>
                <w:szCs w:val="20"/>
                <w:color w:val="auto"/>
              </w:rPr>
            </w:pPr>
            <w:r>
              <w:rPr>
                <w:rFonts w:ascii="Arial" w:cs="Arial" w:eastAsia="Arial" w:hAnsi="Arial"/>
                <w:sz w:val="16"/>
                <w:szCs w:val="16"/>
                <w:b w:val="1"/>
                <w:bCs w:val="1"/>
                <w:color w:val="auto"/>
              </w:rPr>
              <w:t>Fiscal 2021</w:t>
            </w:r>
          </w:p>
        </w:tc>
        <w:tc>
          <w:tcPr>
            <w:tcW w:w="0" w:type="dxa"/>
            <w:vAlign w:val="bottom"/>
          </w:tcPr>
          <w:p>
            <w:pPr>
              <w:spacing w:after="0"/>
              <w:rPr>
                <w:sz w:val="1"/>
                <w:szCs w:val="1"/>
                <w:color w:val="auto"/>
              </w:rPr>
            </w:pPr>
          </w:p>
        </w:tc>
      </w:tr>
      <w:tr>
        <w:trPr>
          <w:trHeight w:val="34"/>
        </w:trPr>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180" w:type="dxa"/>
            <w:vAlign w:val="bottom"/>
            <w:gridSpan w:val="2"/>
            <w:shd w:val="clear" w:color="auto" w:fill="F2F2F2"/>
          </w:tcPr>
          <w:p>
            <w:pPr>
              <w:ind w:left="20"/>
              <w:spacing w:after="0"/>
              <w:rPr>
                <w:sz w:val="20"/>
                <w:szCs w:val="20"/>
                <w:color w:val="auto"/>
              </w:rPr>
            </w:pPr>
            <w:r>
              <w:rPr>
                <w:rFonts w:ascii="Arial" w:cs="Arial" w:eastAsia="Arial" w:hAnsi="Arial"/>
                <w:sz w:val="16"/>
                <w:szCs w:val="16"/>
                <w:b w:val="1"/>
                <w:bCs w:val="1"/>
                <w:color w:val="auto"/>
              </w:rPr>
              <w:t>Summary Compensation Table Total</w:t>
            </w: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$ 30,940,146</w:t>
            </w:r>
          </w:p>
        </w:tc>
        <w:tc>
          <w:tcPr>
            <w:tcW w:w="10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$ 30,060,126</w:t>
            </w:r>
          </w:p>
        </w:tc>
        <w:tc>
          <w:tcPr>
            <w:tcW w:w="100" w:type="dxa"/>
            <w:vAlign w:val="bottom"/>
            <w:shd w:val="clear" w:color="auto" w:fill="F2F2F2"/>
          </w:tcPr>
          <w:p>
            <w:pPr>
              <w:spacing w:after="0"/>
              <w:rPr>
                <w:sz w:val="19"/>
                <w:szCs w:val="19"/>
                <w:color w:val="auto"/>
              </w:rPr>
            </w:pPr>
          </w:p>
        </w:tc>
        <w:tc>
          <w:tcPr>
            <w:tcW w:w="1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$ 25,276,953</w:t>
            </w:r>
          </w:p>
        </w:tc>
        <w:tc>
          <w:tcPr>
            <w:tcW w:w="8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$ 28,840,809</w:t>
            </w:r>
          </w:p>
        </w:tc>
        <w:tc>
          <w:tcPr>
            <w:tcW w:w="100" w:type="dxa"/>
            <w:vAlign w:val="bottom"/>
            <w:shd w:val="clear" w:color="auto" w:fill="F2F2F2"/>
          </w:tcPr>
          <w:p>
            <w:pPr>
              <w:spacing w:after="0"/>
              <w:rPr>
                <w:sz w:val="19"/>
                <w:szCs w:val="19"/>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25,316,709</w:t>
            </w:r>
          </w:p>
        </w:tc>
        <w:tc>
          <w:tcPr>
            <w:tcW w:w="0" w:type="dxa"/>
            <w:vAlign w:val="bottom"/>
          </w:tcPr>
          <w:p>
            <w:pPr>
              <w:spacing w:after="0"/>
              <w:rPr>
                <w:sz w:val="1"/>
                <w:szCs w:val="1"/>
                <w:color w:val="auto"/>
              </w:rPr>
            </w:pPr>
          </w:p>
        </w:tc>
      </w:tr>
      <w:tr>
        <w:trPr>
          <w:trHeight w:val="309"/>
        </w:trPr>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80" w:type="dxa"/>
            <w:vAlign w:val="bottom"/>
            <w:gridSpan w:val="2"/>
            <w:shd w:val="clear" w:color="auto" w:fill="F2F2F2"/>
          </w:tcPr>
          <w:p>
            <w:pPr>
              <w:ind w:left="80"/>
              <w:spacing w:after="0"/>
              <w:rPr>
                <w:sz w:val="20"/>
                <w:szCs w:val="20"/>
                <w:color w:val="auto"/>
              </w:rPr>
            </w:pPr>
            <w:r>
              <w:rPr>
                <w:rFonts w:ascii="Arial" w:cs="Arial" w:eastAsia="Arial" w:hAnsi="Arial"/>
                <w:sz w:val="16"/>
                <w:szCs w:val="16"/>
                <w:color w:val="auto"/>
              </w:rPr>
              <w:t>- grant date fair value of awards granted in fiscal year</w:t>
            </w: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(25,360,029)</w:t>
            </w:r>
          </w:p>
        </w:tc>
        <w:tc>
          <w:tcPr>
            <w:tcW w:w="10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(23,749,623)</w:t>
            </w:r>
          </w:p>
        </w:tc>
        <w:tc>
          <w:tcPr>
            <w:tcW w:w="100" w:type="dxa"/>
            <w:vAlign w:val="bottom"/>
            <w:shd w:val="clear" w:color="auto" w:fill="F2F2F2"/>
          </w:tcPr>
          <w:p>
            <w:pPr>
              <w:spacing w:after="0"/>
              <w:rPr>
                <w:sz w:val="19"/>
                <w:szCs w:val="19"/>
                <w:color w:val="auto"/>
              </w:rPr>
            </w:pPr>
          </w:p>
        </w:tc>
        <w:tc>
          <w:tcPr>
            <w:tcW w:w="11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(23,750,005)</w:t>
            </w:r>
          </w:p>
        </w:tc>
        <w:tc>
          <w:tcPr>
            <w:tcW w:w="8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(23,499,965)</w:t>
            </w:r>
          </w:p>
        </w:tc>
        <w:tc>
          <w:tcPr>
            <w:tcW w:w="1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06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(18,499,995)</w:t>
            </w:r>
          </w:p>
        </w:tc>
        <w:tc>
          <w:tcPr>
            <w:tcW w:w="0" w:type="dxa"/>
            <w:vAlign w:val="bottom"/>
          </w:tcPr>
          <w:p>
            <w:pPr>
              <w:spacing w:after="0"/>
              <w:rPr>
                <w:sz w:val="1"/>
                <w:szCs w:val="1"/>
                <w:color w:val="auto"/>
              </w:rPr>
            </w:pPr>
          </w:p>
        </w:tc>
      </w:tr>
      <w:tr>
        <w:trPr>
          <w:trHeight w:val="161"/>
        </w:trPr>
        <w:tc>
          <w:tcPr>
            <w:tcW w:w="4180" w:type="dxa"/>
            <w:vAlign w:val="bottom"/>
            <w:gridSpan w:val="2"/>
          </w:tcPr>
          <w:p>
            <w:pPr>
              <w:ind w:left="80"/>
              <w:spacing w:after="0" w:line="161" w:lineRule="exact"/>
              <w:rPr>
                <w:sz w:val="20"/>
                <w:szCs w:val="20"/>
                <w:color w:val="auto"/>
              </w:rPr>
            </w:pPr>
            <w:r>
              <w:rPr>
                <w:rFonts w:ascii="Arial" w:cs="Arial" w:eastAsia="Arial" w:hAnsi="Arial"/>
                <w:sz w:val="16"/>
                <w:szCs w:val="16"/>
                <w:color w:val="auto"/>
              </w:rPr>
              <w:t>+ fair value of outstanding and unvested awards at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29,861,929</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32,900,545</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30,945,387</w:t>
            </w:r>
          </w:p>
        </w:tc>
        <w:tc>
          <w:tcPr>
            <w:tcW w:w="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19,866,074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26,043,233</w:t>
            </w:r>
          </w:p>
        </w:tc>
        <w:tc>
          <w:tcPr>
            <w:tcW w:w="0" w:type="dxa"/>
            <w:vAlign w:val="bottom"/>
          </w:tcPr>
          <w:p>
            <w:pPr>
              <w:spacing w:after="0"/>
              <w:rPr>
                <w:sz w:val="1"/>
                <w:szCs w:val="1"/>
                <w:color w:val="auto"/>
              </w:rPr>
            </w:pP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fiscal year end that were granted in fiscal year</w:t>
            </w: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80"/>
              <w:spacing w:after="0" w:line="161" w:lineRule="exact"/>
              <w:rPr>
                <w:sz w:val="20"/>
                <w:szCs w:val="20"/>
                <w:color w:val="auto"/>
              </w:rPr>
            </w:pPr>
            <w:r>
              <w:rPr>
                <w:rFonts w:ascii="Arial" w:cs="Arial" w:eastAsia="Arial" w:hAnsi="Arial"/>
                <w:sz w:val="16"/>
                <w:szCs w:val="16"/>
                <w:color w:val="auto"/>
              </w:rPr>
              <w:t>+/- change, from prior fiscal year end, in fair value of</w:t>
            </w: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20"/>
              <w:spacing w:after="0" w:line="161" w:lineRule="exact"/>
              <w:rPr>
                <w:sz w:val="20"/>
                <w:szCs w:val="20"/>
                <w:color w:val="auto"/>
              </w:rPr>
            </w:pPr>
            <w:r>
              <w:rPr>
                <w:rFonts w:ascii="Arial" w:cs="Arial" w:eastAsia="Arial" w:hAnsi="Arial"/>
                <w:sz w:val="16"/>
                <w:szCs w:val="16"/>
                <w:color w:val="auto"/>
              </w:rPr>
              <w:t>awards granted in any prior fiscal year outstanding and</w:t>
            </w: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44,943,028</w:t>
            </w:r>
          </w:p>
        </w:tc>
        <w:tc>
          <w:tcPr>
            <w:tcW w:w="100" w:type="dxa"/>
            <w:vAlign w:val="bottom"/>
            <w:shd w:val="clear" w:color="auto" w:fill="F2F2F2"/>
          </w:tcPr>
          <w:p>
            <w:pPr>
              <w:spacing w:after="0"/>
              <w:rPr>
                <w:sz w:val="14"/>
                <w:szCs w:val="14"/>
                <w:color w:val="auto"/>
              </w:rPr>
            </w:pP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34,000,647</w:t>
            </w:r>
          </w:p>
        </w:tc>
        <w:tc>
          <w:tcPr>
            <w:tcW w:w="100" w:type="dxa"/>
            <w:vAlign w:val="bottom"/>
            <w:shd w:val="clear" w:color="auto" w:fill="F2F2F2"/>
          </w:tcPr>
          <w:p>
            <w:pPr>
              <w:spacing w:after="0"/>
              <w:rPr>
                <w:sz w:val="14"/>
                <w:szCs w:val="14"/>
                <w:color w:val="auto"/>
              </w:rPr>
            </w:pPr>
          </w:p>
        </w:tc>
        <w:tc>
          <w:tcPr>
            <w:tcW w:w="11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8,473,475</w:t>
            </w:r>
          </w:p>
        </w:tc>
        <w:tc>
          <w:tcPr>
            <w:tcW w:w="80" w:type="dxa"/>
            <w:vAlign w:val="bottom"/>
            <w:shd w:val="clear" w:color="auto" w:fill="F2F2F2"/>
          </w:tcPr>
          <w:p>
            <w:pPr>
              <w:spacing w:after="0"/>
              <w:rPr>
                <w:sz w:val="14"/>
                <w:szCs w:val="14"/>
                <w:color w:val="auto"/>
              </w:rPr>
            </w:pP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(9,033,074)</w:t>
            </w: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26,370,283</w:t>
            </w:r>
          </w:p>
        </w:tc>
        <w:tc>
          <w:tcPr>
            <w:tcW w:w="0" w:type="dxa"/>
            <w:vAlign w:val="bottom"/>
          </w:tcPr>
          <w:p>
            <w:pPr>
              <w:spacing w:after="0"/>
              <w:rPr>
                <w:sz w:val="1"/>
                <w:szCs w:val="1"/>
                <w:color w:val="auto"/>
              </w:rPr>
            </w:pPr>
          </w:p>
        </w:tc>
      </w:tr>
      <w:tr>
        <w:trPr>
          <w:trHeight w:val="215"/>
        </w:trPr>
        <w:tc>
          <w:tcPr>
            <w:tcW w:w="4180" w:type="dxa"/>
            <w:vAlign w:val="bottom"/>
            <w:gridSpan w:val="2"/>
            <w:shd w:val="clear" w:color="auto" w:fill="F2F2F2"/>
          </w:tcPr>
          <w:p>
            <w:pPr>
              <w:ind w:left="20"/>
              <w:spacing w:after="0"/>
              <w:rPr>
                <w:sz w:val="20"/>
                <w:szCs w:val="20"/>
                <w:color w:val="auto"/>
              </w:rPr>
            </w:pPr>
            <w:r>
              <w:rPr>
                <w:rFonts w:ascii="Arial" w:cs="Arial" w:eastAsia="Arial" w:hAnsi="Arial"/>
                <w:sz w:val="16"/>
                <w:szCs w:val="16"/>
                <w:color w:val="auto"/>
              </w:rPr>
              <w:t>unvested</w:t>
            </w:r>
          </w:p>
        </w:tc>
        <w:tc>
          <w:tcPr>
            <w:tcW w:w="11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1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180" w:type="dxa"/>
            <w:vAlign w:val="bottom"/>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11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106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gridSpan w:val="2"/>
          </w:tcPr>
          <w:p>
            <w:pPr>
              <w:ind w:left="80"/>
              <w:spacing w:after="0" w:line="161" w:lineRule="exact"/>
              <w:rPr>
                <w:sz w:val="20"/>
                <w:szCs w:val="20"/>
                <w:color w:val="auto"/>
              </w:rPr>
            </w:pPr>
            <w:r>
              <w:rPr>
                <w:rFonts w:ascii="Arial" w:cs="Arial" w:eastAsia="Arial" w:hAnsi="Arial"/>
                <w:sz w:val="16"/>
                <w:szCs w:val="16"/>
                <w:color w:val="auto"/>
              </w:rPr>
              <w:t>+ fair value as of vesting date of equity awards granted</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and vested in the year</w:t>
            </w:r>
          </w:p>
        </w:tc>
        <w:tc>
          <w:tcPr>
            <w:tcW w:w="12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80"/>
              <w:spacing w:after="0" w:line="161" w:lineRule="exact"/>
              <w:rPr>
                <w:sz w:val="20"/>
                <w:szCs w:val="20"/>
                <w:color w:val="auto"/>
              </w:rPr>
            </w:pPr>
            <w:r>
              <w:rPr>
                <w:rFonts w:ascii="Arial" w:cs="Arial" w:eastAsia="Arial" w:hAnsi="Arial"/>
                <w:sz w:val="16"/>
                <w:szCs w:val="16"/>
                <w:color w:val="auto"/>
              </w:rPr>
              <w:t>+/- change, from prior fiscal year end, in fair value at</w:t>
            </w: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20"/>
              <w:spacing w:after="0" w:line="161" w:lineRule="exact"/>
              <w:rPr>
                <w:sz w:val="20"/>
                <w:szCs w:val="20"/>
                <w:color w:val="auto"/>
              </w:rPr>
            </w:pPr>
            <w:r>
              <w:rPr>
                <w:rFonts w:ascii="Arial" w:cs="Arial" w:eastAsia="Arial" w:hAnsi="Arial"/>
                <w:sz w:val="16"/>
                <w:szCs w:val="16"/>
                <w:color w:val="auto"/>
              </w:rPr>
              <w:t>vesting date of any awards granted in any prior fiscal</w:t>
            </w: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20"/>
              <w:spacing w:after="0" w:line="161" w:lineRule="exact"/>
              <w:rPr>
                <w:sz w:val="20"/>
                <w:szCs w:val="20"/>
                <w:color w:val="auto"/>
              </w:rPr>
            </w:pPr>
            <w:r>
              <w:rPr>
                <w:rFonts w:ascii="Arial" w:cs="Arial" w:eastAsia="Arial" w:hAnsi="Arial"/>
                <w:sz w:val="16"/>
                <w:szCs w:val="16"/>
                <w:color w:val="auto"/>
              </w:rPr>
              <w:t>year for which all applicable vesting conditions were</w:t>
            </w: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5,537,339</w:t>
            </w:r>
          </w:p>
        </w:tc>
        <w:tc>
          <w:tcPr>
            <w:tcW w:w="100" w:type="dxa"/>
            <w:vAlign w:val="bottom"/>
            <w:shd w:val="clear" w:color="auto" w:fill="F2F2F2"/>
          </w:tcPr>
          <w:p>
            <w:pPr>
              <w:spacing w:after="0"/>
              <w:rPr>
                <w:sz w:val="14"/>
                <w:szCs w:val="14"/>
                <w:color w:val="auto"/>
              </w:rPr>
            </w:pP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(761,787)</w:t>
            </w:r>
          </w:p>
        </w:tc>
        <w:tc>
          <w:tcPr>
            <w:tcW w:w="100" w:type="dxa"/>
            <w:vAlign w:val="bottom"/>
            <w:shd w:val="clear" w:color="auto" w:fill="F2F2F2"/>
          </w:tcPr>
          <w:p>
            <w:pPr>
              <w:spacing w:after="0"/>
              <w:rPr>
                <w:sz w:val="14"/>
                <w:szCs w:val="14"/>
                <w:color w:val="auto"/>
              </w:rPr>
            </w:pPr>
          </w:p>
        </w:tc>
        <w:tc>
          <w:tcPr>
            <w:tcW w:w="11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1,168,408</w:t>
            </w:r>
          </w:p>
        </w:tc>
        <w:tc>
          <w:tcPr>
            <w:tcW w:w="80" w:type="dxa"/>
            <w:vAlign w:val="bottom"/>
            <w:shd w:val="clear" w:color="auto" w:fill="F2F2F2"/>
          </w:tcPr>
          <w:p>
            <w:pPr>
              <w:spacing w:after="0"/>
              <w:rPr>
                <w:sz w:val="14"/>
                <w:szCs w:val="14"/>
                <w:color w:val="auto"/>
              </w:rPr>
            </w:pP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(3,060,411)</w:t>
            </w: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8,793,547</w:t>
            </w:r>
          </w:p>
        </w:tc>
        <w:tc>
          <w:tcPr>
            <w:tcW w:w="0" w:type="dxa"/>
            <w:vAlign w:val="bottom"/>
          </w:tcPr>
          <w:p>
            <w:pPr>
              <w:spacing w:after="0"/>
              <w:rPr>
                <w:sz w:val="1"/>
                <w:szCs w:val="1"/>
                <w:color w:val="auto"/>
              </w:rPr>
            </w:pPr>
          </w:p>
        </w:tc>
      </w:tr>
      <w:tr>
        <w:trPr>
          <w:trHeight w:val="215"/>
        </w:trPr>
        <w:tc>
          <w:tcPr>
            <w:tcW w:w="4180" w:type="dxa"/>
            <w:vAlign w:val="bottom"/>
            <w:gridSpan w:val="2"/>
            <w:shd w:val="clear" w:color="auto" w:fill="F2F2F2"/>
          </w:tcPr>
          <w:p>
            <w:pPr>
              <w:ind w:left="20"/>
              <w:spacing w:after="0"/>
              <w:rPr>
                <w:sz w:val="20"/>
                <w:szCs w:val="20"/>
                <w:color w:val="auto"/>
              </w:rPr>
            </w:pPr>
            <w:r>
              <w:rPr>
                <w:rFonts w:ascii="Arial" w:cs="Arial" w:eastAsia="Arial" w:hAnsi="Arial"/>
                <w:sz w:val="16"/>
                <w:szCs w:val="16"/>
                <w:color w:val="auto"/>
              </w:rPr>
              <w:t>satisfied at end of or during fiscal year</w:t>
            </w:r>
          </w:p>
        </w:tc>
        <w:tc>
          <w:tcPr>
            <w:tcW w:w="11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1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180" w:type="dxa"/>
            <w:vAlign w:val="bottom"/>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11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106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gridSpan w:val="2"/>
          </w:tcPr>
          <w:p>
            <w:pPr>
              <w:ind w:left="80"/>
              <w:spacing w:after="0" w:line="161" w:lineRule="exact"/>
              <w:rPr>
                <w:sz w:val="20"/>
                <w:szCs w:val="20"/>
                <w:color w:val="auto"/>
              </w:rPr>
            </w:pPr>
            <w:r>
              <w:rPr>
                <w:rFonts w:ascii="Arial" w:cs="Arial" w:eastAsia="Arial" w:hAnsi="Arial"/>
                <w:sz w:val="16"/>
                <w:szCs w:val="16"/>
                <w:color w:val="auto"/>
              </w:rPr>
              <w:t>- fair value at end of prior fiscal year of any awards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granted in any prior fiscal year that failed to meet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applicable vesting conditions during fiscal year</w:t>
            </w:r>
          </w:p>
        </w:tc>
        <w:tc>
          <w:tcPr>
            <w:tcW w:w="12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80"/>
              <w:spacing w:after="0" w:line="161" w:lineRule="exact"/>
              <w:rPr>
                <w:sz w:val="20"/>
                <w:szCs w:val="20"/>
                <w:color w:val="auto"/>
              </w:rPr>
            </w:pPr>
            <w:r>
              <w:rPr>
                <w:rFonts w:ascii="Arial" w:cs="Arial" w:eastAsia="Arial" w:hAnsi="Arial"/>
                <w:sz w:val="16"/>
                <w:szCs w:val="16"/>
                <w:color w:val="auto"/>
              </w:rPr>
              <w:t>+ value of dividends or other earnings paid on stock or</w:t>
            </w: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8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20"/>
              <w:spacing w:after="0" w:line="161" w:lineRule="exact"/>
              <w:rPr>
                <w:sz w:val="20"/>
                <w:szCs w:val="20"/>
                <w:color w:val="auto"/>
              </w:rPr>
            </w:pPr>
            <w:r>
              <w:rPr>
                <w:rFonts w:ascii="Arial" w:cs="Arial" w:eastAsia="Arial" w:hAnsi="Arial"/>
                <w:sz w:val="16"/>
                <w:szCs w:val="16"/>
                <w:color w:val="auto"/>
              </w:rPr>
              <w:t>option awards not otherwise reflected in fair value or</w:t>
            </w: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648,120</w:t>
            </w:r>
          </w:p>
        </w:tc>
        <w:tc>
          <w:tcPr>
            <w:tcW w:w="100" w:type="dxa"/>
            <w:vAlign w:val="bottom"/>
            <w:shd w:val="clear" w:color="auto" w:fill="F2F2F2"/>
          </w:tcPr>
          <w:p>
            <w:pPr>
              <w:spacing w:after="0"/>
              <w:rPr>
                <w:sz w:val="14"/>
                <w:szCs w:val="14"/>
                <w:color w:val="auto"/>
              </w:rPr>
            </w:pP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351,062</w:t>
            </w:r>
          </w:p>
        </w:tc>
        <w:tc>
          <w:tcPr>
            <w:tcW w:w="100" w:type="dxa"/>
            <w:vAlign w:val="bottom"/>
            <w:shd w:val="clear" w:color="auto" w:fill="F2F2F2"/>
          </w:tcPr>
          <w:p>
            <w:pPr>
              <w:spacing w:after="0"/>
              <w:rPr>
                <w:sz w:val="14"/>
                <w:szCs w:val="14"/>
                <w:color w:val="auto"/>
              </w:rPr>
            </w:pPr>
          </w:p>
        </w:tc>
        <w:tc>
          <w:tcPr>
            <w:tcW w:w="118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421,584</w:t>
            </w:r>
          </w:p>
        </w:tc>
        <w:tc>
          <w:tcPr>
            <w:tcW w:w="80" w:type="dxa"/>
            <w:vAlign w:val="bottom"/>
            <w:shd w:val="clear" w:color="auto" w:fill="F2F2F2"/>
          </w:tcPr>
          <w:p>
            <w:pPr>
              <w:spacing w:after="0"/>
              <w:rPr>
                <w:sz w:val="14"/>
                <w:szCs w:val="14"/>
                <w:color w:val="auto"/>
              </w:rPr>
            </w:pP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338,299</w:t>
            </w:r>
          </w:p>
        </w:tc>
        <w:tc>
          <w:tcPr>
            <w:tcW w:w="1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180" w:type="dxa"/>
            <w:vAlign w:val="bottom"/>
            <w:gridSpan w:val="2"/>
            <w:shd w:val="clear" w:color="auto" w:fill="F2F2F2"/>
          </w:tcPr>
          <w:p>
            <w:pPr>
              <w:ind w:left="20"/>
              <w:spacing w:after="0"/>
              <w:rPr>
                <w:sz w:val="20"/>
                <w:szCs w:val="20"/>
                <w:color w:val="auto"/>
              </w:rPr>
            </w:pPr>
            <w:r>
              <w:rPr>
                <w:rFonts w:ascii="Arial" w:cs="Arial" w:eastAsia="Arial" w:hAnsi="Arial"/>
                <w:sz w:val="16"/>
                <w:szCs w:val="16"/>
                <w:color w:val="auto"/>
              </w:rPr>
              <w:t>total compensation</w:t>
            </w:r>
          </w:p>
        </w:tc>
        <w:tc>
          <w:tcPr>
            <w:tcW w:w="1160" w:type="dxa"/>
            <w:vAlign w:val="bottom"/>
            <w:tcBorders>
              <w:bottom w:val="single" w:sz="8" w:color="auto"/>
            </w:tcBorders>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160" w:type="dxa"/>
            <w:vAlign w:val="bottom"/>
            <w:tcBorders>
              <w:bottom w:val="single" w:sz="8" w:color="auto"/>
            </w:tcBorders>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180" w:type="dxa"/>
            <w:vAlign w:val="bottom"/>
            <w:tcBorders>
              <w:bottom w:val="single" w:sz="8" w:color="auto"/>
            </w:tcBorders>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1160" w:type="dxa"/>
            <w:vAlign w:val="bottom"/>
            <w:tcBorders>
              <w:bottom w:val="single" w:sz="8" w:color="auto"/>
            </w:tcBorders>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1060" w:type="dxa"/>
            <w:vAlign w:val="bottom"/>
            <w:tcBorders>
              <w:bottom w:val="single" w:sz="8" w:color="auto"/>
            </w:tcBorders>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Borders>
              <w:bottom w:val="single" w:sz="8" w:color="F2F2F2"/>
            </w:tcBorders>
            <w:gridSpan w:val="2"/>
          </w:tcPr>
          <w:p>
            <w:pPr>
              <w:ind w:left="20"/>
              <w:spacing w:after="0"/>
              <w:rPr>
                <w:sz w:val="20"/>
                <w:szCs w:val="20"/>
                <w:color w:val="auto"/>
              </w:rPr>
            </w:pPr>
            <w:r>
              <w:rPr>
                <w:rFonts w:ascii="Arial" w:cs="Arial" w:eastAsia="Arial" w:hAnsi="Arial"/>
                <w:sz w:val="16"/>
                <w:szCs w:val="16"/>
                <w:b w:val="1"/>
                <w:bCs w:val="1"/>
                <w:color w:val="auto"/>
              </w:rPr>
              <w:t>Total Equity Award Adjustments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55,630,387</w:t>
            </w:r>
          </w:p>
        </w:tc>
        <w:tc>
          <w:tcPr>
            <w:tcW w:w="100" w:type="dxa"/>
            <w:vAlign w:val="bottom"/>
            <w:tcBorders>
              <w:bottom w:val="single" w:sz="8" w:color="F2F2F2"/>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42,740,844</w:t>
            </w:r>
          </w:p>
        </w:tc>
        <w:tc>
          <w:tcPr>
            <w:tcW w:w="100" w:type="dxa"/>
            <w:vAlign w:val="bottom"/>
            <w:tcBorders>
              <w:bottom w:val="single" w:sz="8" w:color="F2F2F2"/>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17,258,849</w:t>
            </w:r>
          </w:p>
        </w:tc>
        <w:tc>
          <w:tcPr>
            <w:tcW w:w="80" w:type="dxa"/>
            <w:vAlign w:val="bottom"/>
            <w:tcBorders>
              <w:bottom w:val="single" w:sz="8" w:color="F2F2F2"/>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(15,389,077)</w:t>
            </w:r>
          </w:p>
        </w:tc>
        <w:tc>
          <w:tcPr>
            <w:tcW w:w="100" w:type="dxa"/>
            <w:vAlign w:val="bottom"/>
            <w:tcBorders>
              <w:bottom w:val="single" w:sz="8" w:color="F2F2F2"/>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42,707,068</w:t>
            </w:r>
          </w:p>
        </w:tc>
        <w:tc>
          <w:tcPr>
            <w:tcW w:w="0" w:type="dxa"/>
            <w:vAlign w:val="bottom"/>
          </w:tcPr>
          <w:p>
            <w:pPr>
              <w:spacing w:after="0"/>
              <w:rPr>
                <w:sz w:val="1"/>
                <w:szCs w:val="1"/>
                <w:color w:val="auto"/>
              </w:rPr>
            </w:pPr>
          </w:p>
        </w:tc>
      </w:tr>
      <w:tr>
        <w:trPr>
          <w:trHeight w:val="247"/>
        </w:trPr>
        <w:tc>
          <w:tcPr>
            <w:tcW w:w="4180" w:type="dxa"/>
            <w:vAlign w:val="bottom"/>
            <w:tcBorders>
              <w:bottom w:val="single" w:sz="8" w:color="F2F2F2"/>
            </w:tcBorders>
            <w:gridSpan w:val="2"/>
            <w:shd w:val="clear" w:color="auto" w:fill="F2F2F2"/>
          </w:tcPr>
          <w:p>
            <w:pPr>
              <w:ind w:left="20"/>
              <w:spacing w:after="0"/>
              <w:rPr>
                <w:sz w:val="20"/>
                <w:szCs w:val="20"/>
                <w:color w:val="auto"/>
              </w:rPr>
            </w:pPr>
            <w:r>
              <w:rPr>
                <w:rFonts w:ascii="Arial" w:cs="Arial" w:eastAsia="Arial" w:hAnsi="Arial"/>
                <w:sz w:val="16"/>
                <w:szCs w:val="16"/>
                <w:b w:val="1"/>
                <w:bCs w:val="1"/>
                <w:color w:val="auto"/>
              </w:rPr>
              <w:t>Compensation Actually Paid</w:t>
            </w: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$ 86,570,533</w:t>
            </w:r>
          </w:p>
        </w:tc>
        <w:tc>
          <w:tcPr>
            <w:tcW w:w="100" w:type="dxa"/>
            <w:vAlign w:val="bottom"/>
            <w:tcBorders>
              <w:bottom w:val="single" w:sz="8" w:color="F2F2F2"/>
            </w:tcBorders>
            <w:shd w:val="clear" w:color="auto" w:fill="F2F2F2"/>
          </w:tcPr>
          <w:p>
            <w:pPr>
              <w:spacing w:after="0"/>
              <w:rPr>
                <w:sz w:val="21"/>
                <w:szCs w:val="21"/>
                <w:color w:val="auto"/>
              </w:rPr>
            </w:pP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$ 72,800,970</w:t>
            </w:r>
          </w:p>
        </w:tc>
        <w:tc>
          <w:tcPr>
            <w:tcW w:w="100" w:type="dxa"/>
            <w:vAlign w:val="bottom"/>
            <w:tcBorders>
              <w:bottom w:val="single" w:sz="8" w:color="F2F2F2"/>
            </w:tcBorders>
            <w:shd w:val="clear" w:color="auto" w:fill="F2F2F2"/>
          </w:tcPr>
          <w:p>
            <w:pPr>
              <w:spacing w:after="0"/>
              <w:rPr>
                <w:sz w:val="21"/>
                <w:szCs w:val="21"/>
                <w:color w:val="auto"/>
              </w:rPr>
            </w:pPr>
          </w:p>
        </w:tc>
        <w:tc>
          <w:tcPr>
            <w:tcW w:w="11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$ 42,535,802</w:t>
            </w:r>
          </w:p>
        </w:tc>
        <w:tc>
          <w:tcPr>
            <w:tcW w:w="80" w:type="dxa"/>
            <w:vAlign w:val="bottom"/>
            <w:tcBorders>
              <w:bottom w:val="single" w:sz="8" w:color="F2F2F2"/>
            </w:tcBorders>
            <w:shd w:val="clear" w:color="auto" w:fill="F2F2F2"/>
          </w:tcPr>
          <w:p>
            <w:pPr>
              <w:spacing w:after="0"/>
              <w:rPr>
                <w:sz w:val="21"/>
                <w:szCs w:val="21"/>
                <w:color w:val="auto"/>
              </w:rPr>
            </w:pP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$ 13,451,732</w:t>
            </w:r>
          </w:p>
        </w:tc>
        <w:tc>
          <w:tcPr>
            <w:tcW w:w="100" w:type="dxa"/>
            <w:vAlign w:val="bottom"/>
            <w:tcBorders>
              <w:bottom w:val="single" w:sz="8" w:color="auto"/>
            </w:tcBorders>
            <w:shd w:val="clear" w:color="auto" w:fill="F2F2F2"/>
          </w:tcPr>
          <w:p>
            <w:pPr>
              <w:spacing w:after="0"/>
              <w:rPr>
                <w:sz w:val="21"/>
                <w:szCs w:val="21"/>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68,023,777</w:t>
            </w:r>
          </w:p>
        </w:tc>
        <w:tc>
          <w:tcPr>
            <w:tcW w:w="0" w:type="dxa"/>
            <w:vAlign w:val="bottom"/>
          </w:tcPr>
          <w:p>
            <w:pPr>
              <w:spacing w:after="0"/>
              <w:rPr>
                <w:sz w:val="1"/>
                <w:szCs w:val="1"/>
                <w:color w:val="auto"/>
              </w:rPr>
            </w:pPr>
          </w:p>
        </w:tc>
      </w:tr>
      <w:tr>
        <w:trPr>
          <w:trHeight w:val="20"/>
        </w:trPr>
        <w:tc>
          <w:tcPr>
            <w:tcW w:w="4100" w:type="dxa"/>
            <w:vAlign w:val="bottom"/>
            <w:tcBorders>
              <w:top w:val="single" w:sz="8" w:color="F2F2F2"/>
            </w:tcBorders>
          </w:tcPr>
          <w:p>
            <w:pPr>
              <w:spacing w:after="0" w:line="20" w:lineRule="exact"/>
              <w:rPr>
                <w:sz w:val="1"/>
                <w:szCs w:val="1"/>
                <w:color w:val="auto"/>
              </w:rPr>
            </w:pPr>
          </w:p>
        </w:tc>
        <w:tc>
          <w:tcPr>
            <w:tcW w:w="80" w:type="dxa"/>
            <w:vAlign w:val="bottom"/>
            <w:tcBorders>
              <w:top w:val="single" w:sz="8" w:color="F2F2F2"/>
            </w:tcBorders>
          </w:tcPr>
          <w:p>
            <w:pPr>
              <w:spacing w:after="0" w:line="20" w:lineRule="exact"/>
              <w:rPr>
                <w:sz w:val="1"/>
                <w:szCs w:val="1"/>
                <w:color w:val="auto"/>
              </w:rPr>
            </w:pPr>
          </w:p>
        </w:tc>
        <w:tc>
          <w:tcPr>
            <w:tcW w:w="1160" w:type="dxa"/>
            <w:vAlign w:val="bottom"/>
            <w:tcBorders>
              <w:top w:val="single" w:sz="8" w:color="F2F2F2"/>
              <w:bottom w:val="single" w:sz="8" w:color="auto"/>
            </w:tcBorders>
          </w:tcPr>
          <w:p>
            <w:pPr>
              <w:spacing w:after="0" w:line="20" w:lineRule="exact"/>
              <w:rPr>
                <w:sz w:val="1"/>
                <w:szCs w:val="1"/>
                <w:color w:val="auto"/>
              </w:rPr>
            </w:pPr>
          </w:p>
        </w:tc>
        <w:tc>
          <w:tcPr>
            <w:tcW w:w="100" w:type="dxa"/>
            <w:vAlign w:val="bottom"/>
            <w:tcBorders>
              <w:top w:val="single" w:sz="8" w:color="F2F2F2"/>
            </w:tcBorders>
          </w:tcPr>
          <w:p>
            <w:pPr>
              <w:spacing w:after="0" w:line="20" w:lineRule="exact"/>
              <w:rPr>
                <w:sz w:val="1"/>
                <w:szCs w:val="1"/>
                <w:color w:val="auto"/>
              </w:rPr>
            </w:pPr>
          </w:p>
        </w:tc>
        <w:tc>
          <w:tcPr>
            <w:tcW w:w="1160" w:type="dxa"/>
            <w:vAlign w:val="bottom"/>
            <w:tcBorders>
              <w:top w:val="single" w:sz="8" w:color="F2F2F2"/>
              <w:bottom w:val="single" w:sz="8" w:color="auto"/>
            </w:tcBorders>
          </w:tcPr>
          <w:p>
            <w:pPr>
              <w:spacing w:after="0" w:line="20" w:lineRule="exact"/>
              <w:rPr>
                <w:sz w:val="1"/>
                <w:szCs w:val="1"/>
                <w:color w:val="auto"/>
              </w:rPr>
            </w:pPr>
          </w:p>
        </w:tc>
        <w:tc>
          <w:tcPr>
            <w:tcW w:w="100" w:type="dxa"/>
            <w:vAlign w:val="bottom"/>
            <w:tcBorders>
              <w:top w:val="single" w:sz="8" w:color="F2F2F2"/>
            </w:tcBorders>
          </w:tcPr>
          <w:p>
            <w:pPr>
              <w:spacing w:after="0" w:line="20" w:lineRule="exact"/>
              <w:rPr>
                <w:sz w:val="1"/>
                <w:szCs w:val="1"/>
                <w:color w:val="auto"/>
              </w:rPr>
            </w:pPr>
          </w:p>
        </w:tc>
        <w:tc>
          <w:tcPr>
            <w:tcW w:w="1180" w:type="dxa"/>
            <w:vAlign w:val="bottom"/>
            <w:tcBorders>
              <w:top w:val="single" w:sz="8" w:color="F2F2F2"/>
              <w:bottom w:val="single" w:sz="8" w:color="auto"/>
            </w:tcBorders>
          </w:tcPr>
          <w:p>
            <w:pPr>
              <w:spacing w:after="0" w:line="20" w:lineRule="exact"/>
              <w:rPr>
                <w:sz w:val="1"/>
                <w:szCs w:val="1"/>
                <w:color w:val="auto"/>
              </w:rPr>
            </w:pPr>
          </w:p>
        </w:tc>
        <w:tc>
          <w:tcPr>
            <w:tcW w:w="80" w:type="dxa"/>
            <w:vAlign w:val="bottom"/>
            <w:tcBorders>
              <w:top w:val="single" w:sz="8" w:color="F2F2F2"/>
            </w:tcBorders>
          </w:tcPr>
          <w:p>
            <w:pPr>
              <w:spacing w:after="0" w:line="20" w:lineRule="exact"/>
              <w:rPr>
                <w:sz w:val="1"/>
                <w:szCs w:val="1"/>
                <w:color w:val="auto"/>
              </w:rPr>
            </w:pPr>
          </w:p>
        </w:tc>
        <w:tc>
          <w:tcPr>
            <w:tcW w:w="1160" w:type="dxa"/>
            <w:vAlign w:val="bottom"/>
            <w:tcBorders>
              <w:top w:val="single" w:sz="8" w:color="F2F2F2"/>
              <w:bottom w:val="single" w:sz="8" w:color="auto"/>
            </w:tcBorders>
          </w:tcPr>
          <w:p>
            <w:pPr>
              <w:spacing w:after="0" w:line="20" w:lineRule="exact"/>
              <w:rPr>
                <w:sz w:val="1"/>
                <w:szCs w:val="1"/>
                <w:color w:val="auto"/>
              </w:rPr>
            </w:pPr>
          </w:p>
        </w:tc>
        <w:tc>
          <w:tcPr>
            <w:tcW w:w="100" w:type="dxa"/>
            <w:vAlign w:val="bottom"/>
            <w:tcBorders>
              <w:top w:val="single" w:sz="8" w:color="F2F2F2"/>
              <w:bottom w:val="single" w:sz="8" w:color="auto"/>
            </w:tcBorders>
          </w:tcPr>
          <w:p>
            <w:pPr>
              <w:spacing w:after="0" w:line="20" w:lineRule="exact"/>
              <w:rPr>
                <w:sz w:val="1"/>
                <w:szCs w:val="1"/>
                <w:color w:val="auto"/>
              </w:rPr>
            </w:pPr>
          </w:p>
        </w:tc>
        <w:tc>
          <w:tcPr>
            <w:tcW w:w="120" w:type="dxa"/>
            <w:vAlign w:val="bottom"/>
            <w:tcBorders>
              <w:top w:val="single" w:sz="8" w:color="F2F2F2"/>
              <w:bottom w:val="single" w:sz="8" w:color="auto"/>
            </w:tcBorders>
          </w:tcPr>
          <w:p>
            <w:pPr>
              <w:spacing w:after="0" w:line="20" w:lineRule="exact"/>
              <w:rPr>
                <w:sz w:val="1"/>
                <w:szCs w:val="1"/>
                <w:color w:val="auto"/>
              </w:rPr>
            </w:pPr>
          </w:p>
        </w:tc>
        <w:tc>
          <w:tcPr>
            <w:tcW w:w="1060" w:type="dxa"/>
            <w:vAlign w:val="bottom"/>
            <w:tcBorders>
              <w:top w:val="single" w:sz="8" w:color="F2F2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00" w:type="dxa"/>
            <w:vAlign w:val="bottom"/>
            <w:tcBorders>
              <w:bottom w:val="single" w:sz="8" w:color="BD03F7"/>
            </w:tcBorders>
          </w:tcPr>
          <w:p>
            <w:pPr>
              <w:spacing w:after="0" w:line="20" w:lineRule="exact"/>
              <w:rPr>
                <w:sz w:val="1"/>
                <w:szCs w:val="1"/>
                <w:color w:val="auto"/>
              </w:rPr>
            </w:pPr>
          </w:p>
        </w:tc>
        <w:tc>
          <w:tcPr>
            <w:tcW w:w="80" w:type="dxa"/>
            <w:vAlign w:val="bottom"/>
            <w:tcBorders>
              <w:bottom w:val="single" w:sz="8" w:color="BD03F7"/>
            </w:tcBorders>
          </w:tcPr>
          <w:p>
            <w:pPr>
              <w:spacing w:after="0" w:line="20" w:lineRule="exact"/>
              <w:rPr>
                <w:sz w:val="1"/>
                <w:szCs w:val="1"/>
                <w:color w:val="auto"/>
              </w:rPr>
            </w:pPr>
          </w:p>
        </w:tc>
        <w:tc>
          <w:tcPr>
            <w:tcW w:w="1160" w:type="dxa"/>
            <w:vAlign w:val="bottom"/>
            <w:tcBorders>
              <w:bottom w:val="single" w:sz="8" w:color="BD03F7"/>
            </w:tcBorders>
          </w:tcPr>
          <w:p>
            <w:pPr>
              <w:spacing w:after="0" w:line="20" w:lineRule="exact"/>
              <w:rPr>
                <w:sz w:val="1"/>
                <w:szCs w:val="1"/>
                <w:color w:val="auto"/>
              </w:rPr>
            </w:pPr>
          </w:p>
        </w:tc>
        <w:tc>
          <w:tcPr>
            <w:tcW w:w="100" w:type="dxa"/>
            <w:vAlign w:val="bottom"/>
            <w:tcBorders>
              <w:bottom w:val="single" w:sz="8" w:color="BD03F7"/>
            </w:tcBorders>
          </w:tcPr>
          <w:p>
            <w:pPr>
              <w:spacing w:after="0" w:line="20" w:lineRule="exact"/>
              <w:rPr>
                <w:sz w:val="1"/>
                <w:szCs w:val="1"/>
                <w:color w:val="auto"/>
              </w:rPr>
            </w:pPr>
          </w:p>
        </w:tc>
        <w:tc>
          <w:tcPr>
            <w:tcW w:w="1160" w:type="dxa"/>
            <w:vAlign w:val="bottom"/>
            <w:tcBorders>
              <w:bottom w:val="single" w:sz="8" w:color="BD03F7"/>
            </w:tcBorders>
          </w:tcPr>
          <w:p>
            <w:pPr>
              <w:spacing w:after="0" w:line="20" w:lineRule="exact"/>
              <w:rPr>
                <w:sz w:val="1"/>
                <w:szCs w:val="1"/>
                <w:color w:val="auto"/>
              </w:rPr>
            </w:pPr>
          </w:p>
        </w:tc>
        <w:tc>
          <w:tcPr>
            <w:tcW w:w="100" w:type="dxa"/>
            <w:vAlign w:val="bottom"/>
            <w:tcBorders>
              <w:bottom w:val="single" w:sz="8" w:color="BD03F7"/>
            </w:tcBorders>
          </w:tcPr>
          <w:p>
            <w:pPr>
              <w:spacing w:after="0" w:line="20" w:lineRule="exact"/>
              <w:rPr>
                <w:sz w:val="1"/>
                <w:szCs w:val="1"/>
                <w:color w:val="auto"/>
              </w:rPr>
            </w:pPr>
          </w:p>
        </w:tc>
        <w:tc>
          <w:tcPr>
            <w:tcW w:w="1180" w:type="dxa"/>
            <w:vAlign w:val="bottom"/>
            <w:tcBorders>
              <w:bottom w:val="single" w:sz="8" w:color="BD03F7"/>
            </w:tcBorders>
          </w:tcPr>
          <w:p>
            <w:pPr>
              <w:spacing w:after="0" w:line="20" w:lineRule="exact"/>
              <w:rPr>
                <w:sz w:val="1"/>
                <w:szCs w:val="1"/>
                <w:color w:val="auto"/>
              </w:rPr>
            </w:pPr>
          </w:p>
        </w:tc>
        <w:tc>
          <w:tcPr>
            <w:tcW w:w="80" w:type="dxa"/>
            <w:vAlign w:val="bottom"/>
            <w:tcBorders>
              <w:bottom w:val="single" w:sz="8" w:color="BD03F7"/>
            </w:tcBorders>
          </w:tcPr>
          <w:p>
            <w:pPr>
              <w:spacing w:after="0" w:line="20" w:lineRule="exact"/>
              <w:rPr>
                <w:sz w:val="1"/>
                <w:szCs w:val="1"/>
                <w:color w:val="auto"/>
              </w:rPr>
            </w:pPr>
          </w:p>
        </w:tc>
        <w:tc>
          <w:tcPr>
            <w:tcW w:w="1160" w:type="dxa"/>
            <w:vAlign w:val="bottom"/>
            <w:tcBorders>
              <w:bottom w:val="single" w:sz="8" w:color="BD03F7"/>
            </w:tcBorders>
          </w:tcPr>
          <w:p>
            <w:pPr>
              <w:spacing w:after="0" w:line="20" w:lineRule="exact"/>
              <w:rPr>
                <w:sz w:val="1"/>
                <w:szCs w:val="1"/>
                <w:color w:val="auto"/>
              </w:rPr>
            </w:pPr>
          </w:p>
        </w:tc>
        <w:tc>
          <w:tcPr>
            <w:tcW w:w="100" w:type="dxa"/>
            <w:vAlign w:val="bottom"/>
            <w:tcBorders>
              <w:bottom w:val="single" w:sz="8" w:color="BD03F7"/>
            </w:tcBorders>
          </w:tcPr>
          <w:p>
            <w:pPr>
              <w:spacing w:after="0" w:line="20" w:lineRule="exact"/>
              <w:rPr>
                <w:sz w:val="1"/>
                <w:szCs w:val="1"/>
                <w:color w:val="auto"/>
              </w:rPr>
            </w:pPr>
          </w:p>
        </w:tc>
        <w:tc>
          <w:tcPr>
            <w:tcW w:w="120" w:type="dxa"/>
            <w:vAlign w:val="bottom"/>
            <w:tcBorders>
              <w:bottom w:val="single" w:sz="8" w:color="BD03F7"/>
            </w:tcBorders>
          </w:tcPr>
          <w:p>
            <w:pPr>
              <w:spacing w:after="0" w:line="20" w:lineRule="exact"/>
              <w:rPr>
                <w:sz w:val="1"/>
                <w:szCs w:val="1"/>
                <w:color w:val="auto"/>
              </w:rPr>
            </w:pPr>
          </w:p>
        </w:tc>
        <w:tc>
          <w:tcPr>
            <w:tcW w:w="1060" w:type="dxa"/>
            <w:vAlign w:val="bottom"/>
            <w:tcBorders>
              <w:bottom w:val="single" w:sz="8" w:color="BD03F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tbl>
      <w:tblPr>
        <w:tblLayout w:type="fixed"/>
        <w:tblInd w:w="32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bottom w:val="single" w:sz="8" w:color="BD03F7"/>
            </w:tcBorders>
            <w:gridSpan w:val="2"/>
          </w:tcPr>
          <w:p>
            <w:pPr>
              <w:spacing w:after="0"/>
              <w:rPr>
                <w:sz w:val="20"/>
                <w:szCs w:val="20"/>
                <w:color w:val="auto"/>
              </w:rPr>
            </w:pPr>
            <w:r>
              <w:rPr>
                <w:rFonts w:ascii="Arial" w:cs="Arial" w:eastAsia="Arial" w:hAnsi="Arial"/>
                <w:sz w:val="16"/>
                <w:szCs w:val="16"/>
                <w:b w:val="1"/>
                <w:bCs w:val="1"/>
                <w:color w:val="BD03F7"/>
                <w:w w:val="97"/>
              </w:rPr>
              <w:t>Table of Contents</w:t>
            </w:r>
          </w:p>
        </w:tc>
        <w:tc>
          <w:tcPr>
            <w:tcW w:w="0" w:type="dxa"/>
            <w:vAlign w:val="bottom"/>
          </w:tcPr>
          <w:p>
            <w:pPr>
              <w:spacing w:after="0"/>
              <w:rPr>
                <w:sz w:val="1"/>
                <w:szCs w:val="1"/>
                <w:color w:val="auto"/>
              </w:rPr>
            </w:pPr>
          </w:p>
        </w:tc>
      </w:tr>
      <w:tr>
        <w:trPr>
          <w:trHeight w:val="867"/>
        </w:trPr>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bottom w:val="single" w:sz="8" w:color="BD03F7"/>
            </w:tcBorders>
          </w:tcPr>
          <w:p>
            <w:pPr>
              <w:spacing w:after="0"/>
              <w:rPr>
                <w:sz w:val="24"/>
                <w:szCs w:val="24"/>
                <w:color w:val="auto"/>
              </w:rPr>
            </w:pPr>
          </w:p>
        </w:tc>
        <w:tc>
          <w:tcPr>
            <w:tcW w:w="100" w:type="dxa"/>
            <w:vAlign w:val="bottom"/>
            <w:tcBorders>
              <w:bottom w:val="single" w:sz="8" w:color="BD03F7"/>
            </w:tcBorders>
          </w:tcPr>
          <w:p>
            <w:pPr>
              <w:spacing w:after="0"/>
              <w:rPr>
                <w:sz w:val="24"/>
                <w:szCs w:val="24"/>
                <w:color w:val="auto"/>
              </w:rPr>
            </w:pPr>
          </w:p>
        </w:tc>
        <w:tc>
          <w:tcPr>
            <w:tcW w:w="3740" w:type="dxa"/>
            <w:vAlign w:val="bottom"/>
            <w:tcBorders>
              <w:bottom w:val="single" w:sz="8" w:color="BD03F7"/>
            </w:tcBorders>
            <w:gridSpan w:val="8"/>
          </w:tcPr>
          <w:p>
            <w:pPr>
              <w:jc w:val="center"/>
              <w:ind w:right="80"/>
              <w:spacing w:after="0"/>
              <w:rPr>
                <w:sz w:val="20"/>
                <w:szCs w:val="20"/>
                <w:color w:val="auto"/>
              </w:rPr>
            </w:pPr>
            <w:r>
              <w:rPr>
                <w:rFonts w:ascii="Arial" w:cs="Arial" w:eastAsia="Arial" w:hAnsi="Arial"/>
                <w:sz w:val="16"/>
                <w:szCs w:val="16"/>
                <w:b w:val="1"/>
                <w:bCs w:val="1"/>
                <w:color w:val="auto"/>
              </w:rPr>
              <w:t>Average Non-PEO NEOs</w:t>
            </w:r>
          </w:p>
        </w:tc>
        <w:tc>
          <w:tcPr>
            <w:tcW w:w="140" w:type="dxa"/>
            <w:vAlign w:val="bottom"/>
            <w:tcBorders>
              <w:bottom w:val="single" w:sz="8" w:color="BD03F7"/>
            </w:tcBorders>
          </w:tcPr>
          <w:p>
            <w:pPr>
              <w:spacing w:after="0"/>
              <w:rPr>
                <w:sz w:val="24"/>
                <w:szCs w:val="24"/>
                <w:color w:val="auto"/>
              </w:rPr>
            </w:pPr>
          </w:p>
        </w:tc>
        <w:tc>
          <w:tcPr>
            <w:tcW w:w="260" w:type="dxa"/>
            <w:vAlign w:val="bottom"/>
            <w:tcBorders>
              <w:bottom w:val="single" w:sz="8" w:color="BD03F7"/>
            </w:tcBorders>
          </w:tcPr>
          <w:p>
            <w:pPr>
              <w:spacing w:after="0"/>
              <w:rPr>
                <w:sz w:val="24"/>
                <w:szCs w:val="24"/>
                <w:color w:val="auto"/>
              </w:rPr>
            </w:pPr>
          </w:p>
        </w:tc>
        <w:tc>
          <w:tcPr>
            <w:tcW w:w="760" w:type="dxa"/>
            <w:vAlign w:val="bottom"/>
            <w:tcBorders>
              <w:bottom w:val="single" w:sz="8" w:color="BD03F7"/>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00" w:type="dxa"/>
            <w:vAlign w:val="bottom"/>
            <w:tcBorders>
              <w:bottom w:val="single" w:sz="8" w:color="BD03F7"/>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bottom w:val="single" w:sz="8" w:color="BD03F7"/>
            </w:tcBorders>
            <w:gridSpan w:val="2"/>
          </w:tcPr>
          <w:p>
            <w:pPr>
              <w:ind w:left="160"/>
              <w:spacing w:after="0"/>
              <w:rPr>
                <w:sz w:val="20"/>
                <w:szCs w:val="20"/>
                <w:color w:val="auto"/>
              </w:rPr>
            </w:pPr>
            <w:r>
              <w:rPr>
                <w:rFonts w:ascii="Arial" w:cs="Arial" w:eastAsia="Arial" w:hAnsi="Arial"/>
                <w:sz w:val="16"/>
                <w:szCs w:val="16"/>
                <w:b w:val="1"/>
                <w:bCs w:val="1"/>
                <w:color w:val="auto"/>
              </w:rPr>
              <w:t>Fiscal 2025</w:t>
            </w:r>
          </w:p>
        </w:tc>
        <w:tc>
          <w:tcPr>
            <w:tcW w:w="1240" w:type="dxa"/>
            <w:vAlign w:val="bottom"/>
            <w:tcBorders>
              <w:bottom w:val="single" w:sz="8" w:color="BD03F7"/>
            </w:tcBorders>
            <w:gridSpan w:val="2"/>
          </w:tcPr>
          <w:p>
            <w:pPr>
              <w:ind w:left="140"/>
              <w:spacing w:after="0"/>
              <w:rPr>
                <w:sz w:val="20"/>
                <w:szCs w:val="20"/>
                <w:color w:val="auto"/>
              </w:rPr>
            </w:pPr>
            <w:r>
              <w:rPr>
                <w:rFonts w:ascii="Arial" w:cs="Arial" w:eastAsia="Arial" w:hAnsi="Arial"/>
                <w:sz w:val="16"/>
                <w:szCs w:val="16"/>
                <w:b w:val="1"/>
                <w:bCs w:val="1"/>
                <w:color w:val="auto"/>
              </w:rPr>
              <w:t>Fiscal 2024</w:t>
            </w:r>
          </w:p>
        </w:tc>
        <w:tc>
          <w:tcPr>
            <w:tcW w:w="140" w:type="dxa"/>
            <w:vAlign w:val="bottom"/>
            <w:tcBorders>
              <w:bottom w:val="single" w:sz="8" w:color="BD03F7"/>
            </w:tcBorders>
          </w:tcPr>
          <w:p>
            <w:pPr>
              <w:spacing w:after="0"/>
              <w:rPr>
                <w:sz w:val="18"/>
                <w:szCs w:val="18"/>
                <w:color w:val="auto"/>
              </w:rPr>
            </w:pPr>
          </w:p>
        </w:tc>
        <w:tc>
          <w:tcPr>
            <w:tcW w:w="1120" w:type="dxa"/>
            <w:vAlign w:val="bottom"/>
            <w:tcBorders>
              <w:bottom w:val="single" w:sz="8" w:color="BD03F7"/>
            </w:tcBorders>
            <w:gridSpan w:val="2"/>
          </w:tcPr>
          <w:p>
            <w:pPr>
              <w:jc w:val="center"/>
              <w:ind w:right="220"/>
              <w:spacing w:after="0"/>
              <w:rPr>
                <w:sz w:val="20"/>
                <w:szCs w:val="20"/>
                <w:color w:val="auto"/>
              </w:rPr>
            </w:pPr>
            <w:r>
              <w:rPr>
                <w:rFonts w:ascii="Arial" w:cs="Arial" w:eastAsia="Arial" w:hAnsi="Arial"/>
                <w:sz w:val="16"/>
                <w:szCs w:val="16"/>
                <w:b w:val="1"/>
                <w:bCs w:val="1"/>
                <w:color w:val="auto"/>
              </w:rPr>
              <w:t>Fiscal 2023</w:t>
            </w:r>
          </w:p>
        </w:tc>
        <w:tc>
          <w:tcPr>
            <w:tcW w:w="140" w:type="dxa"/>
            <w:vAlign w:val="bottom"/>
            <w:tcBorders>
              <w:bottom w:val="single" w:sz="8" w:color="BD03F7"/>
            </w:tcBorders>
          </w:tcPr>
          <w:p>
            <w:pPr>
              <w:spacing w:after="0"/>
              <w:rPr>
                <w:sz w:val="18"/>
                <w:szCs w:val="18"/>
                <w:color w:val="auto"/>
              </w:rPr>
            </w:pPr>
          </w:p>
        </w:tc>
        <w:tc>
          <w:tcPr>
            <w:tcW w:w="1100" w:type="dxa"/>
            <w:vAlign w:val="bottom"/>
            <w:tcBorders>
              <w:bottom w:val="single" w:sz="8" w:color="BD03F7"/>
            </w:tcBorders>
            <w:gridSpan w:val="2"/>
          </w:tcPr>
          <w:p>
            <w:pPr>
              <w:spacing w:after="0"/>
              <w:rPr>
                <w:sz w:val="20"/>
                <w:szCs w:val="20"/>
                <w:color w:val="auto"/>
              </w:rPr>
            </w:pPr>
            <w:r>
              <w:rPr>
                <w:rFonts w:ascii="Arial" w:cs="Arial" w:eastAsia="Arial" w:hAnsi="Arial"/>
                <w:sz w:val="16"/>
                <w:szCs w:val="16"/>
                <w:b w:val="1"/>
                <w:bCs w:val="1"/>
                <w:color w:val="auto"/>
              </w:rPr>
              <w:t>Fiscal 2022</w:t>
            </w:r>
          </w:p>
        </w:tc>
        <w:tc>
          <w:tcPr>
            <w:tcW w:w="140" w:type="dxa"/>
            <w:vAlign w:val="bottom"/>
            <w:tcBorders>
              <w:bottom w:val="single" w:sz="8" w:color="BD03F7"/>
            </w:tcBorders>
          </w:tcPr>
          <w:p>
            <w:pPr>
              <w:spacing w:after="0"/>
              <w:rPr>
                <w:sz w:val="18"/>
                <w:szCs w:val="18"/>
                <w:color w:val="auto"/>
              </w:rPr>
            </w:pPr>
          </w:p>
        </w:tc>
        <w:tc>
          <w:tcPr>
            <w:tcW w:w="1020" w:type="dxa"/>
            <w:vAlign w:val="bottom"/>
            <w:tcBorders>
              <w:bottom w:val="single" w:sz="8" w:color="BD03F7"/>
            </w:tcBorders>
            <w:gridSpan w:val="2"/>
          </w:tcPr>
          <w:p>
            <w:pPr>
              <w:jc w:val="right"/>
              <w:ind w:right="53"/>
              <w:spacing w:after="0"/>
              <w:rPr>
                <w:sz w:val="20"/>
                <w:szCs w:val="20"/>
                <w:color w:val="auto"/>
              </w:rPr>
            </w:pPr>
            <w:r>
              <w:rPr>
                <w:rFonts w:ascii="Arial" w:cs="Arial" w:eastAsia="Arial" w:hAnsi="Arial"/>
                <w:sz w:val="16"/>
                <w:szCs w:val="16"/>
                <w:b w:val="1"/>
                <w:bCs w:val="1"/>
                <w:color w:val="auto"/>
              </w:rPr>
              <w:t>Fiscal 2021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180" w:type="dxa"/>
            <w:vAlign w:val="bottom"/>
            <w:gridSpan w:val="2"/>
            <w:shd w:val="clear" w:color="auto" w:fill="F2F2F2"/>
          </w:tcPr>
          <w:p>
            <w:pPr>
              <w:ind w:left="20"/>
              <w:spacing w:after="0"/>
              <w:rPr>
                <w:sz w:val="20"/>
                <w:szCs w:val="20"/>
                <w:color w:val="auto"/>
              </w:rPr>
            </w:pPr>
            <w:r>
              <w:rPr>
                <w:rFonts w:ascii="Arial" w:cs="Arial" w:eastAsia="Arial" w:hAnsi="Arial"/>
                <w:sz w:val="16"/>
                <w:szCs w:val="16"/>
                <w:b w:val="1"/>
                <w:bCs w:val="1"/>
                <w:color w:val="auto"/>
              </w:rPr>
              <w:t>Summary Compensation Table Total</w:t>
            </w: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$ 11,229,365</w:t>
            </w:r>
          </w:p>
        </w:tc>
        <w:tc>
          <w:tcPr>
            <w:tcW w:w="10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$ 10,791,271</w:t>
            </w:r>
          </w:p>
        </w:tc>
        <w:tc>
          <w:tcPr>
            <w:tcW w:w="80" w:type="dxa"/>
            <w:vAlign w:val="bottom"/>
            <w:shd w:val="clear" w:color="auto" w:fill="F2F2F2"/>
          </w:tcPr>
          <w:p>
            <w:pPr>
              <w:spacing w:after="0"/>
              <w:rPr>
                <w:sz w:val="19"/>
                <w:szCs w:val="19"/>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8,414,800</w:t>
            </w:r>
          </w:p>
        </w:tc>
        <w:tc>
          <w:tcPr>
            <w:tcW w:w="100" w:type="dxa"/>
            <w:vAlign w:val="bottom"/>
            <w:shd w:val="clear" w:color="auto" w:fill="F2F2F2"/>
          </w:tcPr>
          <w:p>
            <w:pPr>
              <w:spacing w:after="0"/>
              <w:rPr>
                <w:sz w:val="19"/>
                <w:szCs w:val="19"/>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10,446,440</w:t>
            </w:r>
          </w:p>
        </w:tc>
        <w:tc>
          <w:tcPr>
            <w:tcW w:w="80" w:type="dxa"/>
            <w:vAlign w:val="bottom"/>
            <w:shd w:val="clear" w:color="auto" w:fill="F2F2F2"/>
          </w:tcPr>
          <w:p>
            <w:pPr>
              <w:spacing w:after="0"/>
              <w:rPr>
                <w:sz w:val="19"/>
                <w:szCs w:val="19"/>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7,697,877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180" w:type="dxa"/>
            <w:vAlign w:val="bottom"/>
            <w:gridSpan w:val="2"/>
            <w:shd w:val="clear" w:color="auto" w:fill="F2F2F2"/>
          </w:tcPr>
          <w:p>
            <w:pPr>
              <w:ind w:left="80"/>
              <w:spacing w:after="0"/>
              <w:rPr>
                <w:sz w:val="20"/>
                <w:szCs w:val="20"/>
                <w:color w:val="auto"/>
              </w:rPr>
            </w:pPr>
            <w:r>
              <w:rPr>
                <w:rFonts w:ascii="Arial" w:cs="Arial" w:eastAsia="Arial" w:hAnsi="Arial"/>
                <w:sz w:val="16"/>
                <w:szCs w:val="16"/>
                <w:color w:val="auto"/>
              </w:rPr>
              <w:t>- grant date fair value of awards granted in fiscal year</w:t>
            </w: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(9,062,458)</w:t>
            </w:r>
          </w:p>
        </w:tc>
        <w:tc>
          <w:tcPr>
            <w:tcW w:w="10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(8,437,350)</w:t>
            </w:r>
          </w:p>
        </w:tc>
        <w:tc>
          <w:tcPr>
            <w:tcW w:w="8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(7,750,012)</w:t>
            </w:r>
          </w:p>
        </w:tc>
        <w:tc>
          <w:tcPr>
            <w:tcW w:w="1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10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(7,771,995)</w:t>
            </w:r>
          </w:p>
        </w:tc>
        <w:tc>
          <w:tcPr>
            <w:tcW w:w="8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102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(5,624,972)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180" w:type="dxa"/>
            <w:vAlign w:val="bottom"/>
            <w:gridSpan w:val="2"/>
          </w:tcPr>
          <w:p>
            <w:pPr>
              <w:ind w:left="80"/>
              <w:spacing w:after="0" w:line="161" w:lineRule="exact"/>
              <w:rPr>
                <w:sz w:val="20"/>
                <w:szCs w:val="20"/>
                <w:color w:val="auto"/>
              </w:rPr>
            </w:pPr>
            <w:r>
              <w:rPr>
                <w:rFonts w:ascii="Arial" w:cs="Arial" w:eastAsia="Arial" w:hAnsi="Arial"/>
                <w:sz w:val="16"/>
                <w:szCs w:val="16"/>
                <w:color w:val="auto"/>
              </w:rPr>
              <w:t>+ fair value of outstanding and unvested awards at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10,594,929</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11,658,872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10,097,981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5,492,754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7,918,513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fiscal year end that were granted in fiscal year</w:t>
            </w: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80"/>
              <w:spacing w:after="0" w:line="161" w:lineRule="exact"/>
              <w:rPr>
                <w:sz w:val="20"/>
                <w:szCs w:val="20"/>
                <w:color w:val="auto"/>
              </w:rPr>
            </w:pPr>
            <w:r>
              <w:rPr>
                <w:rFonts w:ascii="Arial" w:cs="Arial" w:eastAsia="Arial" w:hAnsi="Arial"/>
                <w:sz w:val="16"/>
                <w:szCs w:val="16"/>
                <w:color w:val="auto"/>
              </w:rPr>
              <w:t>+/- change, from prior fiscal year end, in fair value of</w:t>
            </w: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20"/>
              <w:spacing w:after="0" w:line="161" w:lineRule="exact"/>
              <w:rPr>
                <w:sz w:val="20"/>
                <w:szCs w:val="20"/>
                <w:color w:val="auto"/>
              </w:rPr>
            </w:pPr>
            <w:r>
              <w:rPr>
                <w:rFonts w:ascii="Arial" w:cs="Arial" w:eastAsia="Arial" w:hAnsi="Arial"/>
                <w:sz w:val="16"/>
                <w:szCs w:val="16"/>
                <w:color w:val="auto"/>
              </w:rPr>
              <w:t>awards granted in any prior fiscal year outstanding and</w:t>
            </w: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13,802,433</w:t>
            </w:r>
          </w:p>
        </w:tc>
        <w:tc>
          <w:tcPr>
            <w:tcW w:w="100" w:type="dxa"/>
            <w:vAlign w:val="bottom"/>
            <w:shd w:val="clear" w:color="auto" w:fill="F2F2F2"/>
          </w:tcPr>
          <w:p>
            <w:pPr>
              <w:spacing w:after="0"/>
              <w:rPr>
                <w:sz w:val="14"/>
                <w:szCs w:val="14"/>
                <w:color w:val="auto"/>
              </w:rPr>
            </w:pP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11,856,045</w:t>
            </w: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2,455,380</w:t>
            </w:r>
          </w:p>
        </w:tc>
        <w:tc>
          <w:tcPr>
            <w:tcW w:w="1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(2,077,206)</w:t>
            </w: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gridSpan w:val="2"/>
            <w:vMerge w:val="restart"/>
            <w:shd w:val="clear" w:color="auto" w:fill="F2F2F2"/>
          </w:tcPr>
          <w:p>
            <w:pPr>
              <w:jc w:val="right"/>
              <w:spacing w:after="0"/>
              <w:rPr>
                <w:sz w:val="20"/>
                <w:szCs w:val="20"/>
                <w:color w:val="auto"/>
              </w:rPr>
            </w:pPr>
            <w:r>
              <w:rPr>
                <w:rFonts w:ascii="Arial" w:cs="Arial" w:eastAsia="Arial" w:hAnsi="Arial"/>
                <w:sz w:val="18"/>
                <w:szCs w:val="18"/>
                <w:color w:val="auto"/>
              </w:rPr>
              <w:t>8,310,020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80" w:type="dxa"/>
            <w:vAlign w:val="bottom"/>
            <w:gridSpan w:val="2"/>
            <w:shd w:val="clear" w:color="auto" w:fill="F2F2F2"/>
          </w:tcPr>
          <w:p>
            <w:pPr>
              <w:ind w:left="20"/>
              <w:spacing w:after="0"/>
              <w:rPr>
                <w:sz w:val="20"/>
                <w:szCs w:val="20"/>
                <w:color w:val="auto"/>
              </w:rPr>
            </w:pPr>
            <w:r>
              <w:rPr>
                <w:rFonts w:ascii="Arial" w:cs="Arial" w:eastAsia="Arial" w:hAnsi="Arial"/>
                <w:sz w:val="16"/>
                <w:szCs w:val="16"/>
                <w:color w:val="auto"/>
              </w:rPr>
              <w:t>unvested</w:t>
            </w:r>
          </w:p>
        </w:tc>
        <w:tc>
          <w:tcPr>
            <w:tcW w:w="11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160" w:type="dxa"/>
            <w:vAlign w:val="bottom"/>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102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1020" w:type="dxa"/>
            <w:vAlign w:val="bottom"/>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1020" w:type="dxa"/>
            <w:vAlign w:val="bottom"/>
            <w:gridSpan w:val="2"/>
            <w:vMerge w:val="continue"/>
            <w:shd w:val="clear" w:color="auto" w:fill="F2F2F2"/>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gridSpan w:val="2"/>
          </w:tcPr>
          <w:p>
            <w:pPr>
              <w:ind w:left="80"/>
              <w:spacing w:after="0" w:line="161" w:lineRule="exact"/>
              <w:rPr>
                <w:sz w:val="20"/>
                <w:szCs w:val="20"/>
                <w:color w:val="auto"/>
              </w:rPr>
            </w:pPr>
            <w:r>
              <w:rPr>
                <w:rFonts w:ascii="Arial" w:cs="Arial" w:eastAsia="Arial" w:hAnsi="Arial"/>
                <w:sz w:val="16"/>
                <w:szCs w:val="16"/>
                <w:color w:val="auto"/>
              </w:rPr>
              <w:t>+ fair value as of vesting date of equity awards granted</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and vested in the year</w:t>
            </w:r>
          </w:p>
        </w:tc>
        <w:tc>
          <w:tcPr>
            <w:tcW w:w="126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80"/>
              <w:spacing w:after="0" w:line="161" w:lineRule="exact"/>
              <w:rPr>
                <w:sz w:val="20"/>
                <w:szCs w:val="20"/>
                <w:color w:val="auto"/>
              </w:rPr>
            </w:pPr>
            <w:r>
              <w:rPr>
                <w:rFonts w:ascii="Arial" w:cs="Arial" w:eastAsia="Arial" w:hAnsi="Arial"/>
                <w:sz w:val="16"/>
                <w:szCs w:val="16"/>
                <w:color w:val="auto"/>
              </w:rPr>
              <w:t>+/- change, from prior fiscal year end, in fair value at</w:t>
            </w: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20"/>
              <w:spacing w:after="0" w:line="161" w:lineRule="exact"/>
              <w:rPr>
                <w:sz w:val="20"/>
                <w:szCs w:val="20"/>
                <w:color w:val="auto"/>
              </w:rPr>
            </w:pPr>
            <w:r>
              <w:rPr>
                <w:rFonts w:ascii="Arial" w:cs="Arial" w:eastAsia="Arial" w:hAnsi="Arial"/>
                <w:sz w:val="16"/>
                <w:szCs w:val="16"/>
                <w:color w:val="auto"/>
              </w:rPr>
              <w:t>vesting date of any awards granted in any prior fiscal</w:t>
            </w: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20"/>
              <w:spacing w:after="0" w:line="161" w:lineRule="exact"/>
              <w:rPr>
                <w:sz w:val="20"/>
                <w:szCs w:val="20"/>
                <w:color w:val="auto"/>
              </w:rPr>
            </w:pPr>
            <w:r>
              <w:rPr>
                <w:rFonts w:ascii="Arial" w:cs="Arial" w:eastAsia="Arial" w:hAnsi="Arial"/>
                <w:sz w:val="16"/>
                <w:szCs w:val="16"/>
                <w:color w:val="auto"/>
              </w:rPr>
              <w:t>year for which all applicable vesting conditions were</w:t>
            </w: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1,752,176</w:t>
            </w:r>
          </w:p>
        </w:tc>
        <w:tc>
          <w:tcPr>
            <w:tcW w:w="100" w:type="dxa"/>
            <w:vAlign w:val="bottom"/>
            <w:shd w:val="clear" w:color="auto" w:fill="F2F2F2"/>
          </w:tcPr>
          <w:p>
            <w:pPr>
              <w:spacing w:after="0"/>
              <w:rPr>
                <w:sz w:val="14"/>
                <w:szCs w:val="14"/>
                <w:color w:val="auto"/>
              </w:rPr>
            </w:pP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15,055</w:t>
            </w: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309,198</w:t>
            </w:r>
          </w:p>
        </w:tc>
        <w:tc>
          <w:tcPr>
            <w:tcW w:w="1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(761,113)</w:t>
            </w: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gridSpan w:val="2"/>
            <w:vMerge w:val="restart"/>
            <w:shd w:val="clear" w:color="auto" w:fill="F2F2F2"/>
          </w:tcPr>
          <w:p>
            <w:pPr>
              <w:jc w:val="right"/>
              <w:spacing w:after="0"/>
              <w:rPr>
                <w:sz w:val="20"/>
                <w:szCs w:val="20"/>
                <w:color w:val="auto"/>
              </w:rPr>
            </w:pPr>
            <w:r>
              <w:rPr>
                <w:rFonts w:ascii="Arial" w:cs="Arial" w:eastAsia="Arial" w:hAnsi="Arial"/>
                <w:sz w:val="18"/>
                <w:szCs w:val="18"/>
                <w:color w:val="auto"/>
              </w:rPr>
              <w:t>1,256,650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80" w:type="dxa"/>
            <w:vAlign w:val="bottom"/>
            <w:gridSpan w:val="2"/>
            <w:shd w:val="clear" w:color="auto" w:fill="F2F2F2"/>
          </w:tcPr>
          <w:p>
            <w:pPr>
              <w:ind w:left="20"/>
              <w:spacing w:after="0"/>
              <w:rPr>
                <w:sz w:val="20"/>
                <w:szCs w:val="20"/>
                <w:color w:val="auto"/>
              </w:rPr>
            </w:pPr>
            <w:r>
              <w:rPr>
                <w:rFonts w:ascii="Arial" w:cs="Arial" w:eastAsia="Arial" w:hAnsi="Arial"/>
                <w:sz w:val="16"/>
                <w:szCs w:val="16"/>
                <w:color w:val="auto"/>
              </w:rPr>
              <w:t>satisfied at end of or during fiscal year</w:t>
            </w:r>
          </w:p>
        </w:tc>
        <w:tc>
          <w:tcPr>
            <w:tcW w:w="116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160" w:type="dxa"/>
            <w:vAlign w:val="bottom"/>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1020" w:type="dxa"/>
            <w:vAlign w:val="bottom"/>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1020" w:type="dxa"/>
            <w:vAlign w:val="bottom"/>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1020" w:type="dxa"/>
            <w:vAlign w:val="bottom"/>
            <w:gridSpan w:val="2"/>
            <w:vMerge w:val="continue"/>
            <w:shd w:val="clear" w:color="auto" w:fill="F2F2F2"/>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gridSpan w:val="2"/>
          </w:tcPr>
          <w:p>
            <w:pPr>
              <w:ind w:left="80"/>
              <w:spacing w:after="0" w:line="161" w:lineRule="exact"/>
              <w:rPr>
                <w:sz w:val="20"/>
                <w:szCs w:val="20"/>
                <w:color w:val="auto"/>
              </w:rPr>
            </w:pPr>
            <w:r>
              <w:rPr>
                <w:rFonts w:ascii="Arial" w:cs="Arial" w:eastAsia="Arial" w:hAnsi="Arial"/>
                <w:sz w:val="16"/>
                <w:szCs w:val="16"/>
                <w:color w:val="auto"/>
              </w:rPr>
              <w:t>- fair value at end of prior fiscal year of any awards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granted in any prior fiscal year that failed to meet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(1,170,912)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applicable vesting conditions during fiscal year</w:t>
            </w:r>
          </w:p>
        </w:tc>
        <w:tc>
          <w:tcPr>
            <w:tcW w:w="126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80"/>
              <w:spacing w:after="0" w:line="161" w:lineRule="exact"/>
              <w:rPr>
                <w:sz w:val="20"/>
                <w:szCs w:val="20"/>
                <w:color w:val="auto"/>
              </w:rPr>
            </w:pPr>
            <w:r>
              <w:rPr>
                <w:rFonts w:ascii="Arial" w:cs="Arial" w:eastAsia="Arial" w:hAnsi="Arial"/>
                <w:sz w:val="16"/>
                <w:szCs w:val="16"/>
                <w:color w:val="auto"/>
              </w:rPr>
              <w:t>+ value of dividends or other earnings paid on stock or</w:t>
            </w:r>
          </w:p>
        </w:tc>
        <w:tc>
          <w:tcPr>
            <w:tcW w:w="1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6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gridSpan w:val="2"/>
            <w:shd w:val="clear" w:color="auto" w:fill="F2F2F2"/>
          </w:tcPr>
          <w:p>
            <w:pPr>
              <w:ind w:left="20"/>
              <w:spacing w:after="0" w:line="161" w:lineRule="exact"/>
              <w:rPr>
                <w:sz w:val="20"/>
                <w:szCs w:val="20"/>
                <w:color w:val="auto"/>
              </w:rPr>
            </w:pPr>
            <w:r>
              <w:rPr>
                <w:rFonts w:ascii="Arial" w:cs="Arial" w:eastAsia="Arial" w:hAnsi="Arial"/>
                <w:sz w:val="16"/>
                <w:szCs w:val="16"/>
                <w:color w:val="auto"/>
              </w:rPr>
              <w:t>option awards not otherwise reflected in fair value or</w:t>
            </w: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226,050</w:t>
            </w:r>
          </w:p>
        </w:tc>
        <w:tc>
          <w:tcPr>
            <w:tcW w:w="100" w:type="dxa"/>
            <w:vAlign w:val="bottom"/>
            <w:shd w:val="clear" w:color="auto" w:fill="F2F2F2"/>
          </w:tcPr>
          <w:p>
            <w:pPr>
              <w:spacing w:after="0"/>
              <w:rPr>
                <w:sz w:val="14"/>
                <w:szCs w:val="14"/>
                <w:color w:val="auto"/>
              </w:rPr>
            </w:pPr>
          </w:p>
        </w:tc>
        <w:tc>
          <w:tcPr>
            <w:tcW w:w="11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101,070</w:t>
            </w: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125,421</w:t>
            </w:r>
          </w:p>
        </w:tc>
        <w:tc>
          <w:tcPr>
            <w:tcW w:w="1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2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59,849</w:t>
            </w: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760" w:type="dxa"/>
            <w:vAlign w:val="bottom"/>
            <w:vMerge w:val="restart"/>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80" w:type="dxa"/>
            <w:vAlign w:val="bottom"/>
            <w:gridSpan w:val="2"/>
            <w:shd w:val="clear" w:color="auto" w:fill="F2F2F2"/>
          </w:tcPr>
          <w:p>
            <w:pPr>
              <w:ind w:left="20"/>
              <w:spacing w:after="0"/>
              <w:rPr>
                <w:sz w:val="20"/>
                <w:szCs w:val="20"/>
                <w:color w:val="auto"/>
              </w:rPr>
            </w:pPr>
            <w:r>
              <w:rPr>
                <w:rFonts w:ascii="Arial" w:cs="Arial" w:eastAsia="Arial" w:hAnsi="Arial"/>
                <w:sz w:val="16"/>
                <w:szCs w:val="16"/>
                <w:color w:val="auto"/>
              </w:rPr>
              <w:t>total compensation</w:t>
            </w:r>
          </w:p>
        </w:tc>
        <w:tc>
          <w:tcPr>
            <w:tcW w:w="1160" w:type="dxa"/>
            <w:vAlign w:val="bottom"/>
            <w:tcBorders>
              <w:bottom w:val="single" w:sz="8" w:color="auto"/>
            </w:tcBorders>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160" w:type="dxa"/>
            <w:vAlign w:val="bottom"/>
            <w:tcBorders>
              <w:bottom w:val="single" w:sz="8" w:color="auto"/>
            </w:tcBorders>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140" w:type="dxa"/>
            <w:vAlign w:val="bottom"/>
            <w:tcBorders>
              <w:bottom w:val="single" w:sz="8" w:color="auto"/>
            </w:tcBorders>
            <w:shd w:val="clear" w:color="auto" w:fill="F2F2F2"/>
          </w:tcPr>
          <w:p>
            <w:pPr>
              <w:spacing w:after="0"/>
              <w:rPr>
                <w:sz w:val="18"/>
                <w:szCs w:val="18"/>
                <w:color w:val="auto"/>
              </w:rPr>
            </w:pPr>
          </w:p>
        </w:tc>
        <w:tc>
          <w:tcPr>
            <w:tcW w:w="1020" w:type="dxa"/>
            <w:vAlign w:val="bottom"/>
            <w:tcBorders>
              <w:bottom w:val="single" w:sz="8" w:color="auto"/>
            </w:tcBorders>
            <w:vMerge w:val="continue"/>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40" w:type="dxa"/>
            <w:vAlign w:val="bottom"/>
            <w:tcBorders>
              <w:bottom w:val="single" w:sz="8" w:color="auto"/>
            </w:tcBorders>
            <w:shd w:val="clear" w:color="auto" w:fill="F2F2F2"/>
          </w:tcPr>
          <w:p>
            <w:pPr>
              <w:spacing w:after="0"/>
              <w:rPr>
                <w:sz w:val="18"/>
                <w:szCs w:val="18"/>
                <w:color w:val="auto"/>
              </w:rPr>
            </w:pPr>
          </w:p>
        </w:tc>
        <w:tc>
          <w:tcPr>
            <w:tcW w:w="1020" w:type="dxa"/>
            <w:vAlign w:val="bottom"/>
            <w:tcBorders>
              <w:bottom w:val="single" w:sz="8" w:color="auto"/>
            </w:tcBorders>
            <w:vMerge w:val="continue"/>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140" w:type="dxa"/>
            <w:vAlign w:val="bottom"/>
            <w:tcBorders>
              <w:bottom w:val="single" w:sz="8" w:color="auto"/>
            </w:tcBorders>
            <w:shd w:val="clear" w:color="auto" w:fill="F2F2F2"/>
          </w:tcPr>
          <w:p>
            <w:pPr>
              <w:spacing w:after="0"/>
              <w:rPr>
                <w:sz w:val="18"/>
                <w:szCs w:val="18"/>
                <w:color w:val="auto"/>
              </w:rPr>
            </w:pPr>
          </w:p>
        </w:tc>
        <w:tc>
          <w:tcPr>
            <w:tcW w:w="260" w:type="dxa"/>
            <w:vAlign w:val="bottom"/>
            <w:tcBorders>
              <w:bottom w:val="single" w:sz="8" w:color="auto"/>
            </w:tcBorders>
            <w:shd w:val="clear" w:color="auto" w:fill="F2F2F2"/>
          </w:tcPr>
          <w:p>
            <w:pPr>
              <w:spacing w:after="0"/>
              <w:rPr>
                <w:sz w:val="18"/>
                <w:szCs w:val="18"/>
                <w:color w:val="auto"/>
              </w:rPr>
            </w:pPr>
          </w:p>
        </w:tc>
        <w:tc>
          <w:tcPr>
            <w:tcW w:w="760" w:type="dxa"/>
            <w:vAlign w:val="bottom"/>
            <w:tcBorders>
              <w:bottom w:val="single" w:sz="8" w:color="auto"/>
            </w:tcBorders>
            <w:vMerge w:val="continue"/>
            <w:shd w:val="clear" w:color="auto" w:fill="F2F2F2"/>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Borders>
              <w:bottom w:val="single" w:sz="8" w:color="F2F2F2"/>
            </w:tcBorders>
            <w:gridSpan w:val="2"/>
          </w:tcPr>
          <w:p>
            <w:pPr>
              <w:ind w:left="20"/>
              <w:spacing w:after="0"/>
              <w:rPr>
                <w:sz w:val="20"/>
                <w:szCs w:val="20"/>
                <w:color w:val="auto"/>
              </w:rPr>
            </w:pPr>
            <w:r>
              <w:rPr>
                <w:rFonts w:ascii="Arial" w:cs="Arial" w:eastAsia="Arial" w:hAnsi="Arial"/>
                <w:sz w:val="16"/>
                <w:szCs w:val="16"/>
                <w:b w:val="1"/>
                <w:bCs w:val="1"/>
                <w:color w:val="auto"/>
              </w:rPr>
              <w:t>Total Equity Award Adjustments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17,313,130</w:t>
            </w:r>
          </w:p>
        </w:tc>
        <w:tc>
          <w:tcPr>
            <w:tcW w:w="100" w:type="dxa"/>
            <w:vAlign w:val="bottom"/>
            <w:tcBorders>
              <w:bottom w:val="single" w:sz="8" w:color="F2F2F2"/>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15,193,692</w:t>
            </w:r>
          </w:p>
        </w:tc>
        <w:tc>
          <w:tcPr>
            <w:tcW w:w="80" w:type="dxa"/>
            <w:vAlign w:val="bottom"/>
            <w:tcBorders>
              <w:bottom w:val="single" w:sz="8" w:color="F2F2F2"/>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5,237,968</w:t>
            </w:r>
          </w:p>
        </w:tc>
        <w:tc>
          <w:tcPr>
            <w:tcW w:w="100" w:type="dxa"/>
            <w:vAlign w:val="bottom"/>
            <w:tcBorders>
              <w:bottom w:val="single" w:sz="8" w:color="F2F2F2"/>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(6,228,623)</w:t>
            </w:r>
          </w:p>
        </w:tc>
        <w:tc>
          <w:tcPr>
            <w:tcW w:w="80" w:type="dxa"/>
            <w:vAlign w:val="bottom"/>
            <w:tcBorders>
              <w:bottom w:val="single" w:sz="8" w:color="F2F2F2"/>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11,860,211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180" w:type="dxa"/>
            <w:vAlign w:val="bottom"/>
            <w:tcBorders>
              <w:bottom w:val="single" w:sz="8" w:color="F2F2F2"/>
            </w:tcBorders>
            <w:gridSpan w:val="2"/>
            <w:shd w:val="clear" w:color="auto" w:fill="F2F2F2"/>
          </w:tcPr>
          <w:p>
            <w:pPr>
              <w:ind w:left="20"/>
              <w:spacing w:after="0"/>
              <w:rPr>
                <w:sz w:val="20"/>
                <w:szCs w:val="20"/>
                <w:color w:val="auto"/>
              </w:rPr>
            </w:pPr>
            <w:r>
              <w:rPr>
                <w:rFonts w:ascii="Arial" w:cs="Arial" w:eastAsia="Arial" w:hAnsi="Arial"/>
                <w:sz w:val="16"/>
                <w:szCs w:val="16"/>
                <w:b w:val="1"/>
                <w:bCs w:val="1"/>
                <w:color w:val="auto"/>
              </w:rPr>
              <w:t>Compensation Actually Paid</w:t>
            </w: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$ 28,542,495</w:t>
            </w:r>
          </w:p>
        </w:tc>
        <w:tc>
          <w:tcPr>
            <w:tcW w:w="100" w:type="dxa"/>
            <w:vAlign w:val="bottom"/>
            <w:tcBorders>
              <w:bottom w:val="single" w:sz="8" w:color="F2F2F2"/>
            </w:tcBorders>
            <w:shd w:val="clear" w:color="auto" w:fill="F2F2F2"/>
          </w:tcPr>
          <w:p>
            <w:pPr>
              <w:spacing w:after="0"/>
              <w:rPr>
                <w:sz w:val="21"/>
                <w:szCs w:val="21"/>
                <w:color w:val="auto"/>
              </w:rPr>
            </w:pP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$ 25,984,963</w:t>
            </w:r>
          </w:p>
        </w:tc>
        <w:tc>
          <w:tcPr>
            <w:tcW w:w="80" w:type="dxa"/>
            <w:vAlign w:val="bottom"/>
            <w:tcBorders>
              <w:bottom w:val="single" w:sz="8" w:color="F2F2F2"/>
            </w:tcBorders>
            <w:shd w:val="clear" w:color="auto" w:fill="F2F2F2"/>
          </w:tcPr>
          <w:p>
            <w:pPr>
              <w:spacing w:after="0"/>
              <w:rPr>
                <w:sz w:val="21"/>
                <w:szCs w:val="21"/>
                <w:color w:val="auto"/>
              </w:rPr>
            </w:pPr>
          </w:p>
        </w:tc>
        <w:tc>
          <w:tcPr>
            <w:tcW w:w="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13,652,768</w:t>
            </w:r>
          </w:p>
        </w:tc>
        <w:tc>
          <w:tcPr>
            <w:tcW w:w="100" w:type="dxa"/>
            <w:vAlign w:val="bottom"/>
            <w:tcBorders>
              <w:bottom w:val="single" w:sz="8" w:color="F2F2F2"/>
            </w:tcBorders>
            <w:shd w:val="clear" w:color="auto" w:fill="F2F2F2"/>
          </w:tcPr>
          <w:p>
            <w:pPr>
              <w:spacing w:after="0"/>
              <w:rPr>
                <w:sz w:val="21"/>
                <w:szCs w:val="21"/>
                <w:color w:val="auto"/>
              </w:rPr>
            </w:pPr>
          </w:p>
        </w:tc>
        <w:tc>
          <w:tcPr>
            <w:tcW w:w="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4,217,817</w:t>
            </w:r>
          </w:p>
        </w:tc>
        <w:tc>
          <w:tcPr>
            <w:tcW w:w="80" w:type="dxa"/>
            <w:vAlign w:val="bottom"/>
            <w:tcBorders>
              <w:bottom w:val="single" w:sz="8" w:color="auto"/>
            </w:tcBorders>
            <w:shd w:val="clear" w:color="auto" w:fill="F2F2F2"/>
          </w:tcPr>
          <w:p>
            <w:pPr>
              <w:spacing w:after="0"/>
              <w:rPr>
                <w:sz w:val="21"/>
                <w:szCs w:val="21"/>
                <w:color w:val="auto"/>
              </w:rPr>
            </w:pPr>
          </w:p>
        </w:tc>
        <w:tc>
          <w:tcPr>
            <w:tcW w:w="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F2F2F2"/>
          </w:tcPr>
          <w:p>
            <w:pPr>
              <w:jc w:val="right"/>
              <w:spacing w:after="0"/>
              <w:rPr>
                <w:sz w:val="20"/>
                <w:szCs w:val="20"/>
                <w:color w:val="auto"/>
              </w:rPr>
            </w:pPr>
            <w:r>
              <w:rPr>
                <w:rFonts w:ascii="Arial" w:cs="Arial" w:eastAsia="Arial" w:hAnsi="Arial"/>
                <w:sz w:val="18"/>
                <w:szCs w:val="18"/>
                <w:color w:val="auto"/>
              </w:rPr>
              <w:t>19,558,088</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F2F2F2"/>
            </w:tcBorders>
          </w:tcPr>
          <w:p>
            <w:pPr>
              <w:spacing w:after="0" w:line="20" w:lineRule="exact"/>
              <w:rPr>
                <w:sz w:val="1"/>
                <w:szCs w:val="1"/>
                <w:color w:val="auto"/>
              </w:rPr>
            </w:pPr>
          </w:p>
        </w:tc>
        <w:tc>
          <w:tcPr>
            <w:tcW w:w="80" w:type="dxa"/>
            <w:vAlign w:val="bottom"/>
            <w:tcBorders>
              <w:top w:val="single" w:sz="8" w:color="F2F2F2"/>
            </w:tcBorders>
          </w:tcPr>
          <w:p>
            <w:pPr>
              <w:spacing w:after="0" w:line="20" w:lineRule="exact"/>
              <w:rPr>
                <w:sz w:val="1"/>
                <w:szCs w:val="1"/>
                <w:color w:val="auto"/>
              </w:rPr>
            </w:pPr>
          </w:p>
        </w:tc>
        <w:tc>
          <w:tcPr>
            <w:tcW w:w="1160" w:type="dxa"/>
            <w:vAlign w:val="bottom"/>
            <w:tcBorders>
              <w:top w:val="single" w:sz="8" w:color="F2F2F2"/>
              <w:bottom w:val="single" w:sz="8" w:color="auto"/>
            </w:tcBorders>
          </w:tcPr>
          <w:p>
            <w:pPr>
              <w:spacing w:after="0" w:line="20" w:lineRule="exact"/>
              <w:rPr>
                <w:sz w:val="1"/>
                <w:szCs w:val="1"/>
                <w:color w:val="auto"/>
              </w:rPr>
            </w:pPr>
          </w:p>
        </w:tc>
        <w:tc>
          <w:tcPr>
            <w:tcW w:w="100" w:type="dxa"/>
            <w:vAlign w:val="bottom"/>
            <w:tcBorders>
              <w:top w:val="single" w:sz="8" w:color="F2F2F2"/>
            </w:tcBorders>
          </w:tcPr>
          <w:p>
            <w:pPr>
              <w:spacing w:after="0" w:line="20" w:lineRule="exact"/>
              <w:rPr>
                <w:sz w:val="1"/>
                <w:szCs w:val="1"/>
                <w:color w:val="auto"/>
              </w:rPr>
            </w:pPr>
          </w:p>
        </w:tc>
        <w:tc>
          <w:tcPr>
            <w:tcW w:w="1160" w:type="dxa"/>
            <w:vAlign w:val="bottom"/>
            <w:tcBorders>
              <w:top w:val="single" w:sz="8" w:color="F2F2F2"/>
              <w:bottom w:val="single" w:sz="8" w:color="auto"/>
            </w:tcBorders>
          </w:tcPr>
          <w:p>
            <w:pPr>
              <w:spacing w:after="0" w:line="20" w:lineRule="exact"/>
              <w:rPr>
                <w:sz w:val="1"/>
                <w:szCs w:val="1"/>
                <w:color w:val="auto"/>
              </w:rPr>
            </w:pPr>
          </w:p>
        </w:tc>
        <w:tc>
          <w:tcPr>
            <w:tcW w:w="80" w:type="dxa"/>
            <w:vAlign w:val="bottom"/>
            <w:tcBorders>
              <w:top w:val="single" w:sz="8" w:color="F2F2F2"/>
            </w:tcBorders>
          </w:tcPr>
          <w:p>
            <w:pPr>
              <w:spacing w:after="0" w:line="20" w:lineRule="exact"/>
              <w:rPr>
                <w:sz w:val="1"/>
                <w:szCs w:val="1"/>
                <w:color w:val="auto"/>
              </w:rPr>
            </w:pPr>
          </w:p>
        </w:tc>
        <w:tc>
          <w:tcPr>
            <w:tcW w:w="140" w:type="dxa"/>
            <w:vAlign w:val="bottom"/>
            <w:tcBorders>
              <w:top w:val="single" w:sz="8" w:color="F2F2F2"/>
              <w:bottom w:val="single" w:sz="8" w:color="auto"/>
            </w:tcBorders>
          </w:tcPr>
          <w:p>
            <w:pPr>
              <w:spacing w:after="0" w:line="20" w:lineRule="exact"/>
              <w:rPr>
                <w:sz w:val="1"/>
                <w:szCs w:val="1"/>
                <w:color w:val="auto"/>
              </w:rPr>
            </w:pPr>
          </w:p>
        </w:tc>
        <w:tc>
          <w:tcPr>
            <w:tcW w:w="1020" w:type="dxa"/>
            <w:vAlign w:val="bottom"/>
            <w:tcBorders>
              <w:top w:val="single" w:sz="8" w:color="F2F2F2"/>
              <w:bottom w:val="single" w:sz="8" w:color="auto"/>
            </w:tcBorders>
          </w:tcPr>
          <w:p>
            <w:pPr>
              <w:spacing w:after="0" w:line="20" w:lineRule="exact"/>
              <w:rPr>
                <w:sz w:val="1"/>
                <w:szCs w:val="1"/>
                <w:color w:val="auto"/>
              </w:rPr>
            </w:pPr>
          </w:p>
        </w:tc>
        <w:tc>
          <w:tcPr>
            <w:tcW w:w="100" w:type="dxa"/>
            <w:vAlign w:val="bottom"/>
            <w:tcBorders>
              <w:top w:val="single" w:sz="8" w:color="F2F2F2"/>
            </w:tcBorders>
          </w:tcPr>
          <w:p>
            <w:pPr>
              <w:spacing w:after="0" w:line="20" w:lineRule="exact"/>
              <w:rPr>
                <w:sz w:val="1"/>
                <w:szCs w:val="1"/>
                <w:color w:val="auto"/>
              </w:rPr>
            </w:pPr>
          </w:p>
        </w:tc>
        <w:tc>
          <w:tcPr>
            <w:tcW w:w="140" w:type="dxa"/>
            <w:vAlign w:val="bottom"/>
            <w:tcBorders>
              <w:top w:val="single" w:sz="8" w:color="F2F2F2"/>
              <w:bottom w:val="single" w:sz="8" w:color="auto"/>
            </w:tcBorders>
          </w:tcPr>
          <w:p>
            <w:pPr>
              <w:spacing w:after="0" w:line="20" w:lineRule="exact"/>
              <w:rPr>
                <w:sz w:val="1"/>
                <w:szCs w:val="1"/>
                <w:color w:val="auto"/>
              </w:rPr>
            </w:pPr>
          </w:p>
        </w:tc>
        <w:tc>
          <w:tcPr>
            <w:tcW w:w="1020" w:type="dxa"/>
            <w:vAlign w:val="bottom"/>
            <w:tcBorders>
              <w:top w:val="single" w:sz="8" w:color="F2F2F2"/>
              <w:bottom w:val="single" w:sz="8" w:color="auto"/>
            </w:tcBorders>
          </w:tcPr>
          <w:p>
            <w:pPr>
              <w:spacing w:after="0" w:line="20" w:lineRule="exact"/>
              <w:rPr>
                <w:sz w:val="1"/>
                <w:szCs w:val="1"/>
                <w:color w:val="auto"/>
              </w:rPr>
            </w:pPr>
          </w:p>
        </w:tc>
        <w:tc>
          <w:tcPr>
            <w:tcW w:w="80" w:type="dxa"/>
            <w:vAlign w:val="bottom"/>
            <w:tcBorders>
              <w:top w:val="single" w:sz="8" w:color="F2F2F2"/>
              <w:bottom w:val="single" w:sz="8" w:color="auto"/>
            </w:tcBorders>
          </w:tcPr>
          <w:p>
            <w:pPr>
              <w:spacing w:after="0" w:line="20" w:lineRule="exact"/>
              <w:rPr>
                <w:sz w:val="1"/>
                <w:szCs w:val="1"/>
                <w:color w:val="auto"/>
              </w:rPr>
            </w:pPr>
          </w:p>
        </w:tc>
        <w:tc>
          <w:tcPr>
            <w:tcW w:w="140" w:type="dxa"/>
            <w:vAlign w:val="bottom"/>
            <w:tcBorders>
              <w:top w:val="single" w:sz="8" w:color="F2F2F2"/>
              <w:bottom w:val="single" w:sz="8" w:color="auto"/>
            </w:tcBorders>
          </w:tcPr>
          <w:p>
            <w:pPr>
              <w:spacing w:after="0" w:line="20" w:lineRule="exact"/>
              <w:rPr>
                <w:sz w:val="1"/>
                <w:szCs w:val="1"/>
                <w:color w:val="auto"/>
              </w:rPr>
            </w:pPr>
          </w:p>
        </w:tc>
        <w:tc>
          <w:tcPr>
            <w:tcW w:w="260" w:type="dxa"/>
            <w:vAlign w:val="bottom"/>
            <w:tcBorders>
              <w:top w:val="single" w:sz="8" w:color="F2F2F2"/>
              <w:bottom w:val="single" w:sz="8" w:color="auto"/>
            </w:tcBorders>
          </w:tcPr>
          <w:p>
            <w:pPr>
              <w:spacing w:after="0" w:line="20" w:lineRule="exact"/>
              <w:rPr>
                <w:sz w:val="1"/>
                <w:szCs w:val="1"/>
                <w:color w:val="auto"/>
              </w:rPr>
            </w:pPr>
          </w:p>
        </w:tc>
        <w:tc>
          <w:tcPr>
            <w:tcW w:w="760" w:type="dxa"/>
            <w:vAlign w:val="bottom"/>
            <w:tcBorders>
              <w:top w:val="single" w:sz="8" w:color="F2F2F2"/>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tcBorders>
              <w:bottom w:val="single" w:sz="8" w:color="BD03F7"/>
            </w:tcBorders>
          </w:tcPr>
          <w:p>
            <w:pPr>
              <w:spacing w:after="0"/>
              <w:rPr>
                <w:sz w:val="18"/>
                <w:szCs w:val="18"/>
                <w:color w:val="auto"/>
              </w:rPr>
            </w:pPr>
          </w:p>
        </w:tc>
        <w:tc>
          <w:tcPr>
            <w:tcW w:w="80" w:type="dxa"/>
            <w:vAlign w:val="bottom"/>
            <w:tcBorders>
              <w:bottom w:val="single" w:sz="8" w:color="BD03F7"/>
            </w:tcBorders>
          </w:tcPr>
          <w:p>
            <w:pPr>
              <w:spacing w:after="0"/>
              <w:rPr>
                <w:sz w:val="18"/>
                <w:szCs w:val="18"/>
                <w:color w:val="auto"/>
              </w:rPr>
            </w:pPr>
          </w:p>
        </w:tc>
        <w:tc>
          <w:tcPr>
            <w:tcW w:w="1160" w:type="dxa"/>
            <w:vAlign w:val="bottom"/>
            <w:tcBorders>
              <w:bottom w:val="single" w:sz="8" w:color="BD03F7"/>
            </w:tcBorders>
          </w:tcPr>
          <w:p>
            <w:pPr>
              <w:spacing w:after="0"/>
              <w:rPr>
                <w:sz w:val="18"/>
                <w:szCs w:val="18"/>
                <w:color w:val="auto"/>
              </w:rPr>
            </w:pPr>
          </w:p>
        </w:tc>
        <w:tc>
          <w:tcPr>
            <w:tcW w:w="100" w:type="dxa"/>
            <w:vAlign w:val="bottom"/>
            <w:tcBorders>
              <w:bottom w:val="single" w:sz="8" w:color="BD03F7"/>
            </w:tcBorders>
          </w:tcPr>
          <w:p>
            <w:pPr>
              <w:spacing w:after="0"/>
              <w:rPr>
                <w:sz w:val="18"/>
                <w:szCs w:val="18"/>
                <w:color w:val="auto"/>
              </w:rPr>
            </w:pPr>
          </w:p>
        </w:tc>
        <w:tc>
          <w:tcPr>
            <w:tcW w:w="1160" w:type="dxa"/>
            <w:vAlign w:val="bottom"/>
            <w:tcBorders>
              <w:bottom w:val="single" w:sz="8" w:color="BD03F7"/>
            </w:tcBorders>
          </w:tcPr>
          <w:p>
            <w:pPr>
              <w:spacing w:after="0"/>
              <w:rPr>
                <w:sz w:val="18"/>
                <w:szCs w:val="18"/>
                <w:color w:val="auto"/>
              </w:rPr>
            </w:pPr>
          </w:p>
        </w:tc>
        <w:tc>
          <w:tcPr>
            <w:tcW w:w="80" w:type="dxa"/>
            <w:vAlign w:val="bottom"/>
            <w:tcBorders>
              <w:bottom w:val="single" w:sz="8" w:color="BD03F7"/>
            </w:tcBorders>
          </w:tcPr>
          <w:p>
            <w:pPr>
              <w:spacing w:after="0"/>
              <w:rPr>
                <w:sz w:val="18"/>
                <w:szCs w:val="18"/>
                <w:color w:val="auto"/>
              </w:rPr>
            </w:pPr>
          </w:p>
        </w:tc>
        <w:tc>
          <w:tcPr>
            <w:tcW w:w="140" w:type="dxa"/>
            <w:vAlign w:val="bottom"/>
            <w:tcBorders>
              <w:bottom w:val="single" w:sz="8" w:color="BD03F7"/>
            </w:tcBorders>
          </w:tcPr>
          <w:p>
            <w:pPr>
              <w:spacing w:after="0"/>
              <w:rPr>
                <w:sz w:val="18"/>
                <w:szCs w:val="18"/>
                <w:color w:val="auto"/>
              </w:rPr>
            </w:pPr>
          </w:p>
        </w:tc>
        <w:tc>
          <w:tcPr>
            <w:tcW w:w="1020" w:type="dxa"/>
            <w:vAlign w:val="bottom"/>
            <w:tcBorders>
              <w:bottom w:val="single" w:sz="8" w:color="BD03F7"/>
            </w:tcBorders>
          </w:tcPr>
          <w:p>
            <w:pPr>
              <w:spacing w:after="0"/>
              <w:rPr>
                <w:sz w:val="18"/>
                <w:szCs w:val="18"/>
                <w:color w:val="auto"/>
              </w:rPr>
            </w:pPr>
          </w:p>
        </w:tc>
        <w:tc>
          <w:tcPr>
            <w:tcW w:w="100" w:type="dxa"/>
            <w:vAlign w:val="bottom"/>
            <w:tcBorders>
              <w:bottom w:val="single" w:sz="8" w:color="BD03F7"/>
            </w:tcBorders>
          </w:tcPr>
          <w:p>
            <w:pPr>
              <w:spacing w:after="0"/>
              <w:rPr>
                <w:sz w:val="18"/>
                <w:szCs w:val="18"/>
                <w:color w:val="auto"/>
              </w:rPr>
            </w:pPr>
          </w:p>
        </w:tc>
        <w:tc>
          <w:tcPr>
            <w:tcW w:w="140" w:type="dxa"/>
            <w:vAlign w:val="bottom"/>
            <w:tcBorders>
              <w:bottom w:val="single" w:sz="8" w:color="BD03F7"/>
            </w:tcBorders>
          </w:tcPr>
          <w:p>
            <w:pPr>
              <w:spacing w:after="0"/>
              <w:rPr>
                <w:sz w:val="18"/>
                <w:szCs w:val="18"/>
                <w:color w:val="auto"/>
              </w:rPr>
            </w:pPr>
          </w:p>
        </w:tc>
        <w:tc>
          <w:tcPr>
            <w:tcW w:w="1020" w:type="dxa"/>
            <w:vAlign w:val="bottom"/>
            <w:tcBorders>
              <w:bottom w:val="single" w:sz="8" w:color="BD03F7"/>
            </w:tcBorders>
          </w:tcPr>
          <w:p>
            <w:pPr>
              <w:spacing w:after="0"/>
              <w:rPr>
                <w:sz w:val="18"/>
                <w:szCs w:val="18"/>
                <w:color w:val="auto"/>
              </w:rPr>
            </w:pPr>
          </w:p>
        </w:tc>
        <w:tc>
          <w:tcPr>
            <w:tcW w:w="80" w:type="dxa"/>
            <w:vAlign w:val="bottom"/>
            <w:tcBorders>
              <w:bottom w:val="single" w:sz="8" w:color="BD03F7"/>
            </w:tcBorders>
          </w:tcPr>
          <w:p>
            <w:pPr>
              <w:spacing w:after="0"/>
              <w:rPr>
                <w:sz w:val="18"/>
                <w:szCs w:val="18"/>
                <w:color w:val="auto"/>
              </w:rPr>
            </w:pPr>
          </w:p>
        </w:tc>
        <w:tc>
          <w:tcPr>
            <w:tcW w:w="140" w:type="dxa"/>
            <w:vAlign w:val="bottom"/>
            <w:tcBorders>
              <w:bottom w:val="single" w:sz="8" w:color="BD03F7"/>
            </w:tcBorders>
          </w:tcPr>
          <w:p>
            <w:pPr>
              <w:spacing w:after="0"/>
              <w:rPr>
                <w:sz w:val="18"/>
                <w:szCs w:val="18"/>
                <w:color w:val="auto"/>
              </w:rPr>
            </w:pPr>
          </w:p>
        </w:tc>
        <w:tc>
          <w:tcPr>
            <w:tcW w:w="260" w:type="dxa"/>
            <w:vAlign w:val="bottom"/>
            <w:tcBorders>
              <w:bottom w:val="single" w:sz="8" w:color="BD03F7"/>
            </w:tcBorders>
          </w:tcPr>
          <w:p>
            <w:pPr>
              <w:spacing w:after="0"/>
              <w:rPr>
                <w:sz w:val="18"/>
                <w:szCs w:val="18"/>
                <w:color w:val="auto"/>
              </w:rPr>
            </w:pPr>
          </w:p>
        </w:tc>
        <w:tc>
          <w:tcPr>
            <w:tcW w:w="760" w:type="dxa"/>
            <w:vAlign w:val="bottom"/>
            <w:tcBorders>
              <w:bottom w:val="single" w:sz="8" w:color="BD03F7"/>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40" w:right="60" w:hanging="333"/>
        <w:spacing w:after="0" w:line="288" w:lineRule="auto"/>
        <w:tabs>
          <w:tab w:leader="none" w:pos="33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Amounts reflect the average of the amounts of compensation reported in the “Total” column of the Summary Compensation Table for our Non-PEO NEOs for the corresponding fiscal year. Our Non-PEO NEOs for each of the fiscal years shown in the Pay Versus Performance</w:t>
      </w:r>
    </w:p>
    <w:p>
      <w:pPr>
        <w:spacing w:after="0" w:line="1"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2025:    M. Murphy, M. Bhatia, S. DeBoer, and S. Sadana</w:t>
      </w:r>
    </w:p>
    <w:p>
      <w:pPr>
        <w:spacing w:after="0" w:line="48"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2024:    M. Murphy, M. Bhatia, S. DeBoer, and S. Sadana</w:t>
      </w:r>
    </w:p>
    <w:p>
      <w:pPr>
        <w:spacing w:after="0" w:line="48"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2023:    M. Murphy, M. Bhatia, S. DeBoer, and S. Sadana</w:t>
      </w:r>
    </w:p>
    <w:p>
      <w:pPr>
        <w:spacing w:after="0" w:line="48"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2022:    M. Murphy, M. Bhatia, M. Bokan, S. DeBoer, S. Sadana, and D. Zinsner (former Chief Financial Officer)</w:t>
      </w:r>
    </w:p>
    <w:p>
      <w:pPr>
        <w:spacing w:after="0" w:line="31" w:lineRule="exact"/>
        <w:rPr>
          <w:rFonts w:ascii="Arial" w:cs="Arial" w:eastAsia="Arial" w:hAnsi="Arial"/>
          <w:sz w:val="17"/>
          <w:szCs w:val="17"/>
          <w:color w:val="auto"/>
        </w:rPr>
      </w:pPr>
    </w:p>
    <w:p>
      <w:pPr>
        <w:ind w:left="340"/>
        <w:spacing w:after="0" w:line="224" w:lineRule="auto"/>
        <w:rPr>
          <w:rFonts w:ascii="Arial" w:cs="Arial" w:eastAsia="Arial" w:hAnsi="Arial"/>
          <w:sz w:val="17"/>
          <w:szCs w:val="17"/>
          <w:color w:val="auto"/>
        </w:rPr>
      </w:pPr>
      <w:r>
        <w:rPr>
          <w:rFonts w:ascii="Arial" w:cs="Arial" w:eastAsia="Arial" w:hAnsi="Arial"/>
          <w:sz w:val="35"/>
          <w:szCs w:val="35"/>
          <w:color w:val="auto"/>
          <w:vertAlign w:val="subscript"/>
        </w:rPr>
        <w:t>Table are:</w:t>
      </w:r>
      <w:r>
        <w:rPr>
          <w:rFonts w:ascii="Arial" w:cs="Arial" w:eastAsia="Arial" w:hAnsi="Arial"/>
          <w:sz w:val="18"/>
          <w:szCs w:val="18"/>
          <w:color w:val="auto"/>
        </w:rPr>
        <w:t>2021:    M. Bhatia, S. DeBoer, S. Sadana, and D. Zinsner</w:t>
      </w:r>
    </w:p>
    <w:p>
      <w:pPr>
        <w:spacing w:after="0" w:line="219" w:lineRule="exact"/>
        <w:rPr>
          <w:rFonts w:ascii="Arial" w:cs="Arial" w:eastAsia="Arial" w:hAnsi="Arial"/>
          <w:sz w:val="17"/>
          <w:szCs w:val="17"/>
          <w:color w:val="auto"/>
        </w:rPr>
      </w:pPr>
    </w:p>
    <w:p>
      <w:pPr>
        <w:ind w:left="340" w:hanging="333"/>
        <w:spacing w:after="0" w:line="256" w:lineRule="auto"/>
        <w:tabs>
          <w:tab w:leader="none" w:pos="3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total shareholder return, or TSR, of each of the Company and the Peer Group is calculated by assuming that an investment of $100 is made in our common stock and in the Peer Group, respectively, starting from the market close on September 3, 2020, which is the last trading day before the earliest fiscal year shown. Total shareholder return includes reinvestment of dividends into shares of common stock of the applicable company. Historical stock performance is not necessarily indicative of future stock performance. Disclosure of the TSRs is required by Item 402(v) of Regulation S-K and is not intended to forecast or be indicative of possible future performance of our common stock or the Peer Group.</w:t>
      </w:r>
    </w:p>
    <w:p>
      <w:pPr>
        <w:spacing w:after="0" w:line="207" w:lineRule="exact"/>
        <w:rPr>
          <w:rFonts w:ascii="Arial" w:cs="Arial" w:eastAsia="Arial" w:hAnsi="Arial"/>
          <w:sz w:val="18"/>
          <w:szCs w:val="18"/>
          <w:color w:val="auto"/>
        </w:rPr>
      </w:pPr>
    </w:p>
    <w:p>
      <w:pPr>
        <w:ind w:left="340" w:right="280" w:hanging="333"/>
        <w:spacing w:after="0" w:line="285" w:lineRule="auto"/>
        <w:tabs>
          <w:tab w:leader="none" w:pos="3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Peer Group is based on the Philadelphia Semiconductor Index, one of the indices identified in the Stock Price Performance Graph included in our Annual Report on Form 10-K for Fiscal 2025.</w:t>
      </w:r>
    </w:p>
    <w:p>
      <w:pPr>
        <w:spacing w:after="0" w:line="180" w:lineRule="exact"/>
        <w:rPr>
          <w:rFonts w:ascii="Arial" w:cs="Arial" w:eastAsia="Arial" w:hAnsi="Arial"/>
          <w:sz w:val="18"/>
          <w:szCs w:val="18"/>
          <w:color w:val="auto"/>
        </w:rPr>
      </w:pPr>
    </w:p>
    <w:p>
      <w:pPr>
        <w:ind w:left="320" w:hanging="313"/>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reflect the Company’s net income as reflected in the audited financial statements for each covered fiscal year.</w:t>
      </w:r>
    </w:p>
    <w:p>
      <w:pPr>
        <w:spacing w:after="0" w:line="249" w:lineRule="exact"/>
        <w:rPr>
          <w:rFonts w:ascii="Arial" w:cs="Arial" w:eastAsia="Arial" w:hAnsi="Arial"/>
          <w:sz w:val="18"/>
          <w:szCs w:val="18"/>
          <w:color w:val="auto"/>
        </w:rPr>
      </w:pPr>
    </w:p>
    <w:p>
      <w:pPr>
        <w:ind w:left="340" w:right="260" w:hanging="333"/>
        <w:spacing w:after="0" w:line="261" w:lineRule="auto"/>
        <w:tabs>
          <w:tab w:leader="none" w:pos="3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reflect the Company’s non-GAAP net income (loss) which is the audited net income (loss) plus adjustments for stock-based compensation, restructure and asset impairments, goodwill impairment, gains and losses from settlements and patent license charges, gains and losses on debt repurchases and conversions, initial impact of inventory accounting policy change to FIFO and change in inventory cost absorption, and estimated tax effects of the above and other tax adjustments.</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RELATIONSHIP BETWEEN CAP VS. CUMULATIVE TSR OF COMPANY AND THE PEER GROUP</w:t>
      </w:r>
    </w:p>
    <w:p>
      <w:pPr>
        <w:spacing w:after="0" w:line="252"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The following chart illustrates the relationship between CAP for our PEO and the average CAP for our Non-PEO NEOs against our TSR, as well as the relationship between our TSR and the TSR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126365</wp:posOffset>
            </wp:positionV>
            <wp:extent cx="5972810" cy="36429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7281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RELATIONSHIP BETWEEN CAP VS. NET INCOME (LOSS) &amp; NON-GAAP NET INCOME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illustrate the CAP for our PEO and the average CAP for our Non-PEO NEOs against our net income (loss) and non-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5715</wp:posOffset>
            </wp:positionV>
            <wp:extent cx="5946775" cy="73374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46775" cy="73374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780"/>
        <w:spacing w:after="0"/>
        <w:rPr>
          <w:sz w:val="20"/>
          <w:szCs w:val="20"/>
          <w:color w:val="auto"/>
        </w:rPr>
      </w:pPr>
      <w:r>
        <w:rPr>
          <w:sz w:val="1"/>
          <w:szCs w:val="1"/>
          <w:color w:val="auto"/>
        </w:rPr>
        <w:drawing>
          <wp:inline distT="0" distB="0" distL="0" distR="0">
            <wp:extent cx="776605" cy="16192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1583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MOST IMPORTANT PERFORMANCE MEASURES</w:t>
      </w:r>
    </w:p>
    <w:p>
      <w:pPr>
        <w:spacing w:after="0" w:line="252" w:lineRule="exact"/>
        <w:rPr>
          <w:sz w:val="20"/>
          <w:szCs w:val="20"/>
          <w:color w:val="auto"/>
        </w:rPr>
      </w:pPr>
    </w:p>
    <w:p>
      <w:pPr>
        <w:ind w:right="1080"/>
        <w:spacing w:after="0" w:line="285" w:lineRule="auto"/>
        <w:rPr>
          <w:sz w:val="20"/>
          <w:szCs w:val="20"/>
          <w:color w:val="auto"/>
        </w:rPr>
      </w:pPr>
      <w:r>
        <w:rPr>
          <w:rFonts w:ascii="Arial" w:cs="Arial" w:eastAsia="Arial" w:hAnsi="Arial"/>
          <w:sz w:val="18"/>
          <w:szCs w:val="18"/>
          <w:color w:val="auto"/>
        </w:rPr>
        <w:t>The following is an unranked list of the performance measures we consider most important in linking Company performance and compensation actually paid to our Named Executive Officers for the most recently completed fiscal year:</w:t>
      </w:r>
    </w:p>
    <w:p>
      <w:pPr>
        <w:spacing w:after="0" w:line="180" w:lineRule="exact"/>
        <w:rPr>
          <w:sz w:val="20"/>
          <w:szCs w:val="20"/>
          <w:color w:val="auto"/>
        </w:rPr>
      </w:pPr>
    </w:p>
    <w:p>
      <w:pPr>
        <w:ind w:left="640" w:hanging="310"/>
        <w:spacing w:after="0"/>
        <w:tabs>
          <w:tab w:leader="none" w:pos="640"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Non-GAAP net income (loss)</w:t>
      </w:r>
    </w:p>
    <w:p>
      <w:pPr>
        <w:spacing w:after="0" w:line="26" w:lineRule="exact"/>
        <w:rPr>
          <w:rFonts w:ascii="Arial" w:cs="Arial" w:eastAsia="Arial" w:hAnsi="Arial"/>
          <w:sz w:val="18"/>
          <w:szCs w:val="18"/>
          <w:color w:val="BD03F7"/>
        </w:rPr>
      </w:pPr>
    </w:p>
    <w:p>
      <w:pPr>
        <w:ind w:left="640" w:hanging="310"/>
        <w:spacing w:after="0"/>
        <w:tabs>
          <w:tab w:leader="none" w:pos="640"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Non-GAAP operating margin</w:t>
      </w:r>
    </w:p>
    <w:p>
      <w:pPr>
        <w:spacing w:after="0" w:line="8" w:lineRule="exact"/>
        <w:rPr>
          <w:rFonts w:ascii="Arial" w:cs="Arial" w:eastAsia="Arial" w:hAnsi="Arial"/>
          <w:sz w:val="18"/>
          <w:szCs w:val="18"/>
          <w:color w:val="BD03F7"/>
        </w:rPr>
      </w:pPr>
    </w:p>
    <w:p>
      <w:pPr>
        <w:ind w:left="640" w:hanging="310"/>
        <w:spacing w:after="0"/>
        <w:tabs>
          <w:tab w:leader="none" w:pos="640"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Relative TSR growth of the Company’s stock price versus the SOX index</w:t>
      </w:r>
    </w:p>
    <w:p>
      <w:pPr>
        <w:spacing w:after="0" w:line="8" w:lineRule="exact"/>
        <w:rPr>
          <w:rFonts w:ascii="Arial" w:cs="Arial" w:eastAsia="Arial" w:hAnsi="Arial"/>
          <w:sz w:val="18"/>
          <w:szCs w:val="18"/>
          <w:color w:val="BD03F7"/>
        </w:rPr>
      </w:pPr>
    </w:p>
    <w:p>
      <w:pPr>
        <w:ind w:left="640" w:hanging="310"/>
        <w:spacing w:after="0"/>
        <w:tabs>
          <w:tab w:leader="none" w:pos="640"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Data center SSD market share or bit shipments</w:t>
      </w:r>
    </w:p>
    <w:p>
      <w:pPr>
        <w:spacing w:after="0" w:line="8" w:lineRule="exact"/>
        <w:rPr>
          <w:rFonts w:ascii="Arial" w:cs="Arial" w:eastAsia="Arial" w:hAnsi="Arial"/>
          <w:sz w:val="18"/>
          <w:szCs w:val="18"/>
          <w:color w:val="BD03F7"/>
        </w:rPr>
      </w:pPr>
    </w:p>
    <w:p>
      <w:pPr>
        <w:ind w:left="640" w:hanging="310"/>
        <w:spacing w:after="0"/>
        <w:tabs>
          <w:tab w:leader="none" w:pos="640" w:val="left"/>
        </w:tabs>
        <w:numPr>
          <w:ilvl w:val="0"/>
          <w:numId w:val="83"/>
        </w:numPr>
        <w:rPr>
          <w:rFonts w:ascii="Arial" w:cs="Arial" w:eastAsia="Arial" w:hAnsi="Arial"/>
          <w:sz w:val="18"/>
          <w:szCs w:val="18"/>
          <w:color w:val="BD03F7"/>
        </w:rPr>
      </w:pPr>
      <w:r>
        <w:rPr>
          <w:rFonts w:ascii="Arial" w:cs="Arial" w:eastAsia="Arial" w:hAnsi="Arial"/>
          <w:sz w:val="18"/>
          <w:szCs w:val="18"/>
          <w:color w:val="auto"/>
        </w:rPr>
        <w:t>HBM3E+ market share or bit shipments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right="2540"/>
        <w:spacing w:after="0" w:line="256" w:lineRule="auto"/>
        <w:rPr>
          <w:sz w:val="20"/>
          <w:szCs w:val="20"/>
          <w:color w:val="auto"/>
        </w:rPr>
      </w:pPr>
      <w:r>
        <w:rPr>
          <w:rFonts w:ascii="Arial" w:cs="Arial" w:eastAsia="Arial" w:hAnsi="Arial"/>
          <w:sz w:val="36"/>
          <w:szCs w:val="36"/>
          <w:b w:val="1"/>
          <w:bCs w:val="1"/>
          <w:color w:val="auto"/>
        </w:rPr>
        <w:t>PROPOSAL 3 – AMENDMENT OF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06501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State of Delaware, our state of incorporation, recently enacted legislation that enables Delaware corporations to limit the liability of certain of their officers in limited circumstances. Specifically, Section 102(b)(7) of the Delaware General Corporate Law (“DGCL”) was amended to authorize corporations to adopt a provision in their certificate of incorporation to eliminate or limit monetary liability of certain corporate officers, or exculpation, for direct claims brought by shareholders for breach of the fiduciary duty of care. Previously, the DGCL allowed only exculpation of directors for breach of the fiduciary duty of care. As amended, Section 102(b)(7) of the DGCL authorizes corporations to provide for exculpation of the following officers: (i) the corporation’s president, chief executive officer, chief operating officer, chief financial officer, chief legal officer, controller, treasurer or chief accounting officer; (ii) “named executive officers” identified in the corporation’s SEC filings; and (iii) other individuals who have agreed to be identified as officers of the corporation for the purposes of accepting service of process.</w:t>
      </w: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102(b)(7) of the DGCL, as amended, only permits, and this Proposal 3 would only permit, the exculpation of certain officers in connection with direct claims brought by shareholders, including class actions, but would not eliminate officers’ monetary liability for breach of fiduciary duty claims brought by Micron itself or for derivative claims brought by stockholders in the name of Micron. In addition, this Proposal 3 would not limit the liability of officers for any breach of the duty of loyalty to Micron or its shareholders, any acts or omissions not in good faith or which involve intentional misconduct or a knowing violation of the law, or any transaction from which the officer derived an improper personal benefit. Our existing Restated Certificate of Incorporation (the “Existing Charter”) currently provides for the exculpation of directors, but it does not include a provision that allows for the exculpation of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the Amendment and Factors to Consider</w:t>
      </w:r>
    </w:p>
    <w:p>
      <w:pPr>
        <w:spacing w:after="0" w:line="25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Board of Directors believes that it is important to provide protection from certain liabilities and expenses in order to attract and retain officers. As with directors, officers frequently must make decisions in response to time-sensitive opportunities and challenges, which can create substantial risk of investigations, claims, actions, suits or proceedings seeking to impose liability on the basis of hindsight. In the absence of the proposed amendment to the Existing Charter, candidates might be deterred from serving as officers due to exposure to personal liability in an environment with increasing litigation and the risk that substantial expense will be incurred in defending lawsuits, regardless of merit. A number of our peers have adopted, and we expect that others will adopt, similar exculpation clauses that limit the personal liability of officers in their respective certificates of incorporation. Failing to adopt this Proposal 3 could impact our recruitment and retention of officer candidates.</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Our Board also took into account the narrow class and type of claims from which such officers would be exculpated from liability pursuant to DGCL Section 102(b)(7), the limited number of our officers that would be impacted and the benefits our Board believes would accrue to Micron by providing exculpation in accordance with DGCL Section 102(b)(7), including the ability to further enable our officers to best exercise their business judgment in furtherance of the best interests of shareholders without the potential for distraction posed by the risk of personal liability. After weighing these considerations, our Board approved and declared it advisable to adopt, subject to shareholder approval, the proposed amendment to provide for exculpation of certain officers of Micron as permitted by recent amendments to Delaware law.</w:t>
      </w:r>
    </w:p>
    <w:p>
      <w:pPr>
        <w:spacing w:after="0" w:line="193"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This Proposal 3 would also amend the Existing Charter to provide that no subsequent amendment to the exculpation provision will reduce or negatively impact the rights or protections of directors or officers under the provision with respect to any situations, actions or failures to act prior to such amendment, or any cause of action or claim that would have accrued or arisen prior to such amendment. This Proposal 3 would additionally amend the Existing Charter to provide that if the DGCL is later amended to authorize further elimination or reduction of the</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color w:val="auto"/>
        </w:rPr>
        <w:t>personal liability of directors or officers, then the liability of a director or officer of Micron will be eliminated or reduced to the fullest extent permitted by the DGCL as so amended.</w:t>
      </w:r>
    </w:p>
    <w:p>
      <w:pPr>
        <w:spacing w:after="0" w:line="18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description of the proposed amendment and the applicable provisions of the DGCL contained herein are summaries and are qualified in their entirety by the text of the amendment to the Existing Charter, attached hereto as Annex A, and the full text of the applicable provisions of the DGCL.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Approval</w:t>
      </w:r>
    </w:p>
    <w:p>
      <w:pPr>
        <w:spacing w:after="0" w:line="250"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Approval of this Proposal 3 will constitute approval of the corresponding amendment to Section 9 of the Existing Charter, attached hereto as Annex A. If this Proposal 3 is approved, we intend to file the amendment to the Existing Charter with the Secretary of State of the State of Delaware, and this Proposal 3 will become effective at the time of that filing.</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178"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color w:val="auto"/>
        </w:rPr>
        <w:t>The Board recommends voting “FOR” this Proposal 3 to approve the amendment of the Existing Charter to provide exculpatory protection for certain company officers.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color w:val="auto"/>
        </w:rPr>
        <w:t>The “FOR” vote of the holders of a majority of the outstanding voting power of the shares of our Common Stock entitled to vote thereon is required to approve Proposal 3. Abstention and broker non-votes, if any, will have the same effect as a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0650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77" w:lineRule="exact"/>
        <w:rPr>
          <w:sz w:val="20"/>
          <w:szCs w:val="20"/>
          <w:color w:val="auto"/>
        </w:rPr>
      </w:pPr>
    </w:p>
    <w:p>
      <w:pPr>
        <w:ind w:left="20" w:right="2220"/>
        <w:spacing w:after="0" w:line="256" w:lineRule="auto"/>
        <w:rPr>
          <w:sz w:val="20"/>
          <w:szCs w:val="20"/>
          <w:color w:val="auto"/>
        </w:rPr>
      </w:pPr>
      <w:r>
        <w:rPr>
          <w:rFonts w:ascii="Arial" w:cs="Arial" w:eastAsia="Arial" w:hAnsi="Arial"/>
          <w:sz w:val="36"/>
          <w:szCs w:val="36"/>
          <w:b w:val="1"/>
          <w:bCs w:val="1"/>
          <w:color w:val="auto"/>
        </w:rPr>
        <w:t>PROPOSAL 4 - RATIFICATION OF APPOINTMENT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0650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7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Audit Committee of the Board evaluates the independent auditor selection each year and has retained PricewaterhouseCoopers LLP (“PwC”) as our independent registered public accounting firm to audit our consolidated financial statements for Fiscal 2026. PwC has been our independent registered public accounting firm since 1984. Although ratification is not required, the Board is submitting a proposal to ratify PwC’s appointment to our shareholders because we value our shareholders’ views and as a matter of good corporate practice. If PwC’s appointment is not ratified by our shareholders, the Audit Committee may reconsider its decision to appoint PwC as our independent registered public accounting firm. Even if the appointment is ratified, the Audit Committee may in its discretion select a different independent registered public accounting firm at any time during the fiscal year if it determines that such a change would be in the best interests of the Company and our shareholders. Representatives of PwC are expected to be present at the Annual Meeting, will have the opportunity to make a statement if they so desire, and are expected to be available following the Annual Meeting to respond to appropriate questions submitted before or during the Annual Meeting. The Audit Committee considered a number of factors in re-engaging PwC, including the independence controls in place and PwC’s objectivity, track record, global footprint, and deep semiconductor industry knowledge, experience, and expertise. The Audit Committee concluded that many factors contribute to the continued support of PwC’s independence, such as oversight by the Public Company Accounting Oversight Board (“PCAOB”) through the establishment of audit, quality, ethics, and independence standards in addition to conducting audit inspections; the mandating of reports on internal control over financial reporting; PCAOB requirements for audit partner rotation; and limitations imposed by regulation and by the Audit Committee on non-audit services provided by PwC.</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voting “FOR” the ratification of the appointment of PwC.</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“FOR” vote of the holders of a majority of the voting power of the shares of our Common Stock present in person (virtually) or represented by proxy at the Annual Meeting is required to ratify the appointment of PwC as our independent registered public accounting firm for Fiscal 2026.</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FEES PAID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gridSpan w:val="2"/>
          </w:tcPr>
          <w:p>
            <w:pPr>
              <w:spacing w:after="0"/>
              <w:rPr>
                <w:sz w:val="20"/>
                <w:szCs w:val="20"/>
                <w:color w:val="auto"/>
              </w:rPr>
            </w:pPr>
            <w:r>
              <w:rPr>
                <w:rFonts w:ascii="Arial" w:cs="Arial" w:eastAsia="Arial" w:hAnsi="Arial"/>
                <w:sz w:val="18"/>
                <w:szCs w:val="18"/>
                <w:color w:val="auto"/>
              </w:rPr>
              <w:t>Fees charged for services performed by PwC for Fiscal 2025 and Fiscal 2024 were as follows:</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1"/>
        </w:trPr>
        <w:tc>
          <w:tcPr>
            <w:tcW w:w="60" w:type="dxa"/>
            <w:vAlign w:val="bottom"/>
          </w:tcPr>
          <w:p>
            <w:pPr>
              <w:spacing w:after="0"/>
              <w:rPr>
                <w:sz w:val="21"/>
                <w:szCs w:val="21"/>
                <w:color w:val="auto"/>
              </w:rPr>
            </w:pPr>
          </w:p>
        </w:tc>
        <w:tc>
          <w:tcPr>
            <w:tcW w:w="8460" w:type="dxa"/>
            <w:vAlign w:val="bottom"/>
          </w:tcPr>
          <w:p>
            <w:pPr>
              <w:spacing w:after="0"/>
              <w:rPr>
                <w:sz w:val="21"/>
                <w:szCs w:val="21"/>
                <w:color w:val="auto"/>
              </w:rPr>
            </w:pPr>
          </w:p>
        </w:tc>
        <w:tc>
          <w:tcPr>
            <w:tcW w:w="900" w:type="dxa"/>
            <w:vAlign w:val="bottom"/>
            <w:tcBorders>
              <w:bottom w:val="single" w:sz="8" w:color="BD03F7"/>
            </w:tcBorders>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BD03F7"/>
            </w:tcBorders>
          </w:tcPr>
          <w:p>
            <w:pPr>
              <w:spacing w:after="0"/>
              <w:rPr>
                <w:sz w:val="21"/>
                <w:szCs w:val="21"/>
                <w:color w:val="auto"/>
              </w:rPr>
            </w:pPr>
          </w:p>
        </w:tc>
        <w:tc>
          <w:tcPr>
            <w:tcW w:w="940" w:type="dxa"/>
            <w:vAlign w:val="bottom"/>
            <w:tcBorders>
              <w:bottom w:val="single" w:sz="8" w:color="BD03F7"/>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BD03F7"/>
            </w:tcBorders>
          </w:tcPr>
          <w:p>
            <w:pPr>
              <w:spacing w:after="0"/>
              <w:rPr>
                <w:sz w:val="21"/>
                <w:szCs w:val="21"/>
                <w:color w:val="auto"/>
              </w:rPr>
            </w:pPr>
          </w:p>
        </w:tc>
      </w:tr>
      <w:tr>
        <w:trPr>
          <w:trHeight w:val="222"/>
        </w:trPr>
        <w:tc>
          <w:tcPr>
            <w:tcW w:w="60" w:type="dxa"/>
            <w:vAlign w:val="bottom"/>
          </w:tcPr>
          <w:p>
            <w:pPr>
              <w:spacing w:after="0"/>
              <w:rPr>
                <w:sz w:val="19"/>
                <w:szCs w:val="19"/>
                <w:color w:val="auto"/>
              </w:rPr>
            </w:pPr>
          </w:p>
        </w:tc>
        <w:tc>
          <w:tcPr>
            <w:tcW w:w="8460" w:type="dxa"/>
            <w:vAlign w:val="bottom"/>
            <w:tcBorders>
              <w:bottom w:val="single" w:sz="8" w:color="BD03F7"/>
            </w:tcBorders>
          </w:tcPr>
          <w:p>
            <w:pPr>
              <w:spacing w:after="0"/>
              <w:rPr>
                <w:sz w:val="19"/>
                <w:szCs w:val="19"/>
                <w:color w:val="auto"/>
              </w:rPr>
            </w:pPr>
          </w:p>
        </w:tc>
        <w:tc>
          <w:tcPr>
            <w:tcW w:w="2240" w:type="dxa"/>
            <w:vAlign w:val="bottom"/>
            <w:tcBorders>
              <w:bottom w:val="single" w:sz="8" w:color="BD03F7"/>
            </w:tcBorders>
            <w:gridSpan w:val="3"/>
          </w:tcPr>
          <w:p>
            <w:pPr>
              <w:jc w:val="right"/>
              <w:spacing w:after="0"/>
              <w:rPr>
                <w:sz w:val="20"/>
                <w:szCs w:val="20"/>
                <w:color w:val="auto"/>
              </w:rPr>
            </w:pPr>
            <w:r>
              <w:rPr>
                <w:rFonts w:ascii="Arial" w:cs="Arial" w:eastAsia="Arial" w:hAnsi="Arial"/>
                <w:sz w:val="18"/>
                <w:szCs w:val="18"/>
                <w:b w:val="1"/>
                <w:bCs w:val="1"/>
                <w:color w:val="auto"/>
              </w:rPr>
              <w:t>(amounts in millions)</w:t>
            </w:r>
          </w:p>
        </w:tc>
        <w:tc>
          <w:tcPr>
            <w:tcW w:w="420" w:type="dxa"/>
            <w:vAlign w:val="bottom"/>
            <w:tcBorders>
              <w:bottom w:val="single" w:sz="8" w:color="BD03F7"/>
            </w:tcBorders>
          </w:tcPr>
          <w:p>
            <w:pPr>
              <w:spacing w:after="0"/>
              <w:rPr>
                <w:sz w:val="19"/>
                <w:szCs w:val="19"/>
                <w:color w:val="auto"/>
              </w:rPr>
            </w:pPr>
          </w:p>
        </w:tc>
      </w:tr>
      <w:tr>
        <w:trPr>
          <w:trHeight w:val="34"/>
        </w:trPr>
        <w:tc>
          <w:tcPr>
            <w:tcW w:w="60" w:type="dxa"/>
            <w:vAlign w:val="bottom"/>
          </w:tcPr>
          <w:p>
            <w:pPr>
              <w:spacing w:after="0"/>
              <w:rPr>
                <w:sz w:val="2"/>
                <w:szCs w:val="2"/>
                <w:color w:val="auto"/>
              </w:rPr>
            </w:pPr>
          </w:p>
        </w:tc>
        <w:tc>
          <w:tcPr>
            <w:tcW w:w="8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28"/>
        </w:trPr>
        <w:tc>
          <w:tcPr>
            <w:tcW w:w="60" w:type="dxa"/>
            <w:vAlign w:val="bottom"/>
          </w:tcPr>
          <w:p>
            <w:pPr>
              <w:spacing w:after="0"/>
              <w:rPr>
                <w:sz w:val="19"/>
                <w:szCs w:val="19"/>
                <w:color w:val="auto"/>
              </w:rPr>
            </w:pPr>
          </w:p>
        </w:tc>
        <w:tc>
          <w:tcPr>
            <w:tcW w:w="8460" w:type="dxa"/>
            <w:vAlign w:val="bottom"/>
            <w:shd w:val="clear" w:color="auto" w:fill="F2F2F2"/>
          </w:tcPr>
          <w:p>
            <w:pPr>
              <w:ind w:left="20"/>
              <w:spacing w:after="0"/>
              <w:rPr>
                <w:sz w:val="20"/>
                <w:szCs w:val="20"/>
                <w:color w:val="auto"/>
              </w:rPr>
            </w:pPr>
            <w:r>
              <w:rPr>
                <w:rFonts w:ascii="Arial" w:cs="Arial" w:eastAsia="Arial" w:hAnsi="Arial"/>
                <w:sz w:val="18"/>
                <w:szCs w:val="18"/>
                <w:color w:val="auto"/>
              </w:rPr>
              <w:t>Audit fees(1)</w:t>
            </w:r>
          </w:p>
        </w:tc>
        <w:tc>
          <w:tcPr>
            <w:tcW w:w="900" w:type="dxa"/>
            <w:vAlign w:val="bottom"/>
            <w:shd w:val="clear" w:color="auto" w:fill="F2F2F2"/>
          </w:tcPr>
          <w:p>
            <w:pPr>
              <w:jc w:val="right"/>
              <w:ind w:right="69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6"/>
              </w:rPr>
              <w:t>10.3</w:t>
            </w:r>
          </w:p>
        </w:tc>
        <w:tc>
          <w:tcPr>
            <w:tcW w:w="940" w:type="dxa"/>
            <w:vAlign w:val="bottom"/>
            <w:shd w:val="clear" w:color="auto" w:fill="F2F2F2"/>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9.2</w:t>
            </w:r>
          </w:p>
        </w:tc>
      </w:tr>
      <w:tr>
        <w:trPr>
          <w:trHeight w:val="228"/>
        </w:trPr>
        <w:tc>
          <w:tcPr>
            <w:tcW w:w="6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8"/>
        </w:trPr>
        <w:tc>
          <w:tcPr>
            <w:tcW w:w="60" w:type="dxa"/>
            <w:vAlign w:val="bottom"/>
          </w:tcPr>
          <w:p>
            <w:pPr>
              <w:spacing w:after="0"/>
              <w:rPr>
                <w:sz w:val="19"/>
                <w:szCs w:val="19"/>
                <w:color w:val="auto"/>
              </w:rPr>
            </w:pPr>
          </w:p>
        </w:tc>
        <w:tc>
          <w:tcPr>
            <w:tcW w:w="8460" w:type="dxa"/>
            <w:vAlign w:val="bottom"/>
            <w:shd w:val="clear" w:color="auto" w:fill="F2F2F2"/>
          </w:tcPr>
          <w:p>
            <w:pPr>
              <w:ind w:left="20"/>
              <w:spacing w:after="0"/>
              <w:rPr>
                <w:sz w:val="20"/>
                <w:szCs w:val="20"/>
                <w:color w:val="auto"/>
              </w:rPr>
            </w:pPr>
            <w:r>
              <w:rPr>
                <w:rFonts w:ascii="Arial" w:cs="Arial" w:eastAsia="Arial" w:hAnsi="Arial"/>
                <w:sz w:val="18"/>
                <w:szCs w:val="18"/>
                <w:color w:val="auto"/>
              </w:rPr>
              <w:t>Tax fees(3)</w:t>
            </w:r>
          </w:p>
        </w:tc>
        <w:tc>
          <w:tcPr>
            <w:tcW w:w="900" w:type="dxa"/>
            <w:vAlign w:val="bottom"/>
            <w:shd w:val="clear" w:color="auto" w:fill="F2F2F2"/>
          </w:tcPr>
          <w:p>
            <w:pPr>
              <w:spacing w:after="0"/>
              <w:rPr>
                <w:sz w:val="19"/>
                <w:szCs w:val="19"/>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w:t>
            </w:r>
          </w:p>
        </w:tc>
        <w:tc>
          <w:tcPr>
            <w:tcW w:w="940" w:type="dxa"/>
            <w:vAlign w:val="bottom"/>
            <w:shd w:val="clear" w:color="auto" w:fill="F2F2F2"/>
          </w:tcPr>
          <w:p>
            <w:pPr>
              <w:spacing w:after="0"/>
              <w:rPr>
                <w:sz w:val="19"/>
                <w:szCs w:val="19"/>
                <w:color w:val="auto"/>
              </w:rPr>
            </w:pPr>
          </w:p>
        </w:tc>
        <w:tc>
          <w:tcPr>
            <w:tcW w:w="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60" w:type="dxa"/>
            <w:vAlign w:val="bottom"/>
          </w:tcPr>
          <w:p>
            <w:pPr>
              <w:spacing w:after="0"/>
              <w:rPr>
                <w:sz w:val="19"/>
                <w:szCs w:val="19"/>
                <w:color w:val="auto"/>
              </w:rPr>
            </w:pPr>
          </w:p>
        </w:tc>
        <w:tc>
          <w:tcPr>
            <w:tcW w:w="8460" w:type="dxa"/>
            <w:vAlign w:val="bottom"/>
            <w:tcBorders>
              <w:bottom w:val="single" w:sz="8" w:color="F2F2F2"/>
            </w:tcBorders>
          </w:tcPr>
          <w:p>
            <w:pPr>
              <w:ind w:left="20"/>
              <w:spacing w:after="0"/>
              <w:rPr>
                <w:sz w:val="20"/>
                <w:szCs w:val="20"/>
                <w:color w:val="auto"/>
              </w:rPr>
            </w:pPr>
            <w:r>
              <w:rPr>
                <w:rFonts w:ascii="Arial" w:cs="Arial" w:eastAsia="Arial" w:hAnsi="Arial"/>
                <w:sz w:val="18"/>
                <w:szCs w:val="18"/>
                <w:color w:val="auto"/>
              </w:rPr>
              <w:t>All other fees (4)</w:t>
            </w: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0" w:type="dxa"/>
            <w:vAlign w:val="bottom"/>
          </w:tcPr>
          <w:p>
            <w:pPr>
              <w:spacing w:after="0"/>
              <w:rPr>
                <w:sz w:val="21"/>
                <w:szCs w:val="21"/>
                <w:color w:val="auto"/>
              </w:rPr>
            </w:pPr>
          </w:p>
        </w:tc>
        <w:tc>
          <w:tcPr>
            <w:tcW w:w="8460" w:type="dxa"/>
            <w:vAlign w:val="bottom"/>
            <w:tcBorders>
              <w:bottom w:val="single" w:sz="8" w:color="F2F2F2"/>
            </w:tcBorders>
            <w:shd w:val="clear" w:color="auto" w:fill="F2F2F2"/>
          </w:tcPr>
          <w:p>
            <w:pPr>
              <w:spacing w:after="0"/>
              <w:rPr>
                <w:sz w:val="21"/>
                <w:szCs w:val="21"/>
                <w:color w:val="auto"/>
              </w:rPr>
            </w:pPr>
          </w:p>
        </w:tc>
        <w:tc>
          <w:tcPr>
            <w:tcW w:w="900" w:type="dxa"/>
            <w:vAlign w:val="bottom"/>
            <w:tcBorders>
              <w:bottom w:val="single" w:sz="8" w:color="auto"/>
            </w:tcBorders>
            <w:shd w:val="clear" w:color="auto" w:fill="F2F2F2"/>
          </w:tcPr>
          <w:p>
            <w:pPr>
              <w:jc w:val="right"/>
              <w:ind w:right="6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96"/>
              </w:rPr>
              <w:t>11.7</w:t>
            </w:r>
          </w:p>
        </w:tc>
        <w:tc>
          <w:tcPr>
            <w:tcW w:w="940" w:type="dxa"/>
            <w:vAlign w:val="bottom"/>
            <w:tcBorders>
              <w:bottom w:val="single" w:sz="8" w:color="auto"/>
            </w:tcBorders>
            <w:shd w:val="clear" w:color="auto" w:fill="F2F2F2"/>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96"/>
              </w:rPr>
              <w:t>10.7</w:t>
            </w:r>
          </w:p>
        </w:tc>
      </w:tr>
      <w:tr>
        <w:trPr>
          <w:trHeight w:val="20"/>
        </w:trPr>
        <w:tc>
          <w:tcPr>
            <w:tcW w:w="60" w:type="dxa"/>
            <w:vAlign w:val="bottom"/>
          </w:tcPr>
          <w:p>
            <w:pPr>
              <w:spacing w:after="0" w:line="20" w:lineRule="exact"/>
              <w:rPr>
                <w:sz w:val="1"/>
                <w:szCs w:val="1"/>
                <w:color w:val="auto"/>
              </w:rPr>
            </w:pPr>
          </w:p>
        </w:tc>
        <w:tc>
          <w:tcPr>
            <w:tcW w:w="8460" w:type="dxa"/>
            <w:vAlign w:val="bottom"/>
            <w:tcBorders>
              <w:top w:val="single" w:sz="8" w:color="F2F2F2"/>
            </w:tcBorders>
          </w:tcPr>
          <w:p>
            <w:pPr>
              <w:spacing w:after="0" w:line="20" w:lineRule="exact"/>
              <w:rPr>
                <w:sz w:val="1"/>
                <w:szCs w:val="1"/>
                <w:color w:val="auto"/>
              </w:rPr>
            </w:pPr>
          </w:p>
        </w:tc>
        <w:tc>
          <w:tcPr>
            <w:tcW w:w="900" w:type="dxa"/>
            <w:vAlign w:val="bottom"/>
            <w:tcBorders>
              <w:top w:val="single" w:sz="8" w:color="F2F2F2"/>
              <w:bottom w:val="single" w:sz="8" w:color="auto"/>
            </w:tcBorders>
          </w:tcPr>
          <w:p>
            <w:pPr>
              <w:spacing w:after="0" w:line="20" w:lineRule="exact"/>
              <w:rPr>
                <w:sz w:val="1"/>
                <w:szCs w:val="1"/>
                <w:color w:val="auto"/>
              </w:rPr>
            </w:pPr>
          </w:p>
        </w:tc>
        <w:tc>
          <w:tcPr>
            <w:tcW w:w="400" w:type="dxa"/>
            <w:vAlign w:val="bottom"/>
            <w:tcBorders>
              <w:top w:val="single" w:sz="8" w:color="F2F2F2"/>
              <w:bottom w:val="single" w:sz="8" w:color="auto"/>
            </w:tcBorders>
          </w:tcPr>
          <w:p>
            <w:pPr>
              <w:spacing w:after="0" w:line="20" w:lineRule="exact"/>
              <w:rPr>
                <w:sz w:val="1"/>
                <w:szCs w:val="1"/>
                <w:color w:val="auto"/>
              </w:rPr>
            </w:pPr>
          </w:p>
        </w:tc>
        <w:tc>
          <w:tcPr>
            <w:tcW w:w="940" w:type="dxa"/>
            <w:vAlign w:val="bottom"/>
            <w:tcBorders>
              <w:top w:val="single" w:sz="8" w:color="F2F2F2"/>
              <w:bottom w:val="single" w:sz="8" w:color="auto"/>
            </w:tcBorders>
          </w:tcPr>
          <w:p>
            <w:pPr>
              <w:spacing w:after="0" w:line="20" w:lineRule="exact"/>
              <w:rPr>
                <w:sz w:val="1"/>
                <w:szCs w:val="1"/>
                <w:color w:val="auto"/>
              </w:rPr>
            </w:pPr>
          </w:p>
        </w:tc>
        <w:tc>
          <w:tcPr>
            <w:tcW w:w="420" w:type="dxa"/>
            <w:vAlign w:val="bottom"/>
            <w:tcBorders>
              <w:top w:val="single" w:sz="8" w:color="F2F2F2"/>
              <w:bottom w:val="single" w:sz="8" w:color="auto"/>
            </w:tcBorders>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8460" w:type="dxa"/>
            <w:vAlign w:val="bottom"/>
            <w:tcBorders>
              <w:bottom w:val="single" w:sz="8" w:color="BD03F7"/>
            </w:tcBorders>
          </w:tcPr>
          <w:p>
            <w:pPr>
              <w:spacing w:after="0" w:line="20" w:lineRule="exact"/>
              <w:rPr>
                <w:sz w:val="1"/>
                <w:szCs w:val="1"/>
                <w:color w:val="auto"/>
              </w:rPr>
            </w:pPr>
          </w:p>
        </w:tc>
        <w:tc>
          <w:tcPr>
            <w:tcW w:w="900" w:type="dxa"/>
            <w:vAlign w:val="bottom"/>
            <w:tcBorders>
              <w:bottom w:val="single" w:sz="8" w:color="BD03F7"/>
            </w:tcBorders>
          </w:tcPr>
          <w:p>
            <w:pPr>
              <w:spacing w:after="0" w:line="20" w:lineRule="exact"/>
              <w:rPr>
                <w:sz w:val="1"/>
                <w:szCs w:val="1"/>
                <w:color w:val="auto"/>
              </w:rPr>
            </w:pPr>
          </w:p>
        </w:tc>
        <w:tc>
          <w:tcPr>
            <w:tcW w:w="400" w:type="dxa"/>
            <w:vAlign w:val="bottom"/>
            <w:tcBorders>
              <w:bottom w:val="single" w:sz="8" w:color="BD03F7"/>
            </w:tcBorders>
          </w:tcPr>
          <w:p>
            <w:pPr>
              <w:spacing w:after="0" w:line="20" w:lineRule="exact"/>
              <w:rPr>
                <w:sz w:val="1"/>
                <w:szCs w:val="1"/>
                <w:color w:val="auto"/>
              </w:rPr>
            </w:pPr>
          </w:p>
        </w:tc>
        <w:tc>
          <w:tcPr>
            <w:tcW w:w="940" w:type="dxa"/>
            <w:vAlign w:val="bottom"/>
            <w:tcBorders>
              <w:bottom w:val="single" w:sz="8" w:color="BD03F7"/>
            </w:tcBorders>
          </w:tcPr>
          <w:p>
            <w:pPr>
              <w:spacing w:after="0" w:line="20" w:lineRule="exact"/>
              <w:rPr>
                <w:sz w:val="1"/>
                <w:szCs w:val="1"/>
                <w:color w:val="auto"/>
              </w:rPr>
            </w:pPr>
          </w:p>
        </w:tc>
        <w:tc>
          <w:tcPr>
            <w:tcW w:w="420" w:type="dxa"/>
            <w:vAlign w:val="bottom"/>
            <w:tcBorders>
              <w:bottom w:val="single" w:sz="8" w:color="BD03F7"/>
            </w:tcBorders>
          </w:tcPr>
          <w:p>
            <w:pPr>
              <w:spacing w:after="0" w:line="20" w:lineRule="exact"/>
              <w:rPr>
                <w:sz w:val="1"/>
                <w:szCs w:val="1"/>
                <w:color w:val="auto"/>
              </w:rPr>
            </w:pPr>
          </w:p>
        </w:tc>
      </w:tr>
    </w:tbl>
    <w:p>
      <w:pPr>
        <w:spacing w:after="0" w:line="317" w:lineRule="exact"/>
        <w:rPr>
          <w:sz w:val="20"/>
          <w:szCs w:val="20"/>
          <w:color w:val="auto"/>
        </w:rPr>
      </w:pPr>
    </w:p>
    <w:p>
      <w:pPr>
        <w:ind w:left="340" w:right="80" w:hanging="333"/>
        <w:spacing w:after="0" w:line="267" w:lineRule="auto"/>
        <w:tabs>
          <w:tab w:leader="none" w:pos="33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right="760" w:hanging="333"/>
        <w:spacing w:after="0" w:line="285" w:lineRule="auto"/>
        <w:tabs>
          <w:tab w:leader="none" w:pos="3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Fees not included in audit fees that are billed by the auditor for assurance and related services that are reasonably related to the performance of the audit of the financial statements.</w:t>
      </w:r>
    </w:p>
    <w:p>
      <w:pPr>
        <w:spacing w:after="0" w:line="180" w:lineRule="exact"/>
        <w:rPr>
          <w:rFonts w:ascii="Arial" w:cs="Arial" w:eastAsia="Arial" w:hAnsi="Arial"/>
          <w:sz w:val="18"/>
          <w:szCs w:val="18"/>
          <w:color w:val="auto"/>
        </w:rPr>
      </w:pPr>
    </w:p>
    <w:p>
      <w:pPr>
        <w:ind w:left="320" w:hanging="313"/>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tax planning, tax consulting, tax compliance, and tax audit defense.</w:t>
      </w:r>
    </w:p>
    <w:p>
      <w:pPr>
        <w:spacing w:after="0" w:line="249" w:lineRule="exact"/>
        <w:rPr>
          <w:rFonts w:ascii="Arial" w:cs="Arial" w:eastAsia="Arial" w:hAnsi="Arial"/>
          <w:sz w:val="18"/>
          <w:szCs w:val="18"/>
          <w:color w:val="auto"/>
        </w:rPr>
      </w:pPr>
    </w:p>
    <w:p>
      <w:pPr>
        <w:ind w:left="340" w:right="440" w:hanging="333"/>
        <w:spacing w:after="0" w:line="285" w:lineRule="auto"/>
        <w:tabs>
          <w:tab w:leader="none" w:pos="3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other fees include any fees billed that are not audit fees, audit-related fees or tax fees. There were no such fees incurred in Fiscal 2025 or Fiscal 2024.</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PRE-APPROVAL POLICY</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Audit Committee Charter provides that the Audit Committee will pre-approve all audit and non-audit services provided to us by the independent auditors, except for such de minimis non-audit services for which the pre-approval requirements are waived in accordance with the pre-approval policy and/or rules and regulations of the SEC. The Audit Committee may delegate to one or more of its members the authority to grant such pre-approvals, provided that any pre-approval must be presented to the full Audit Committee at its next scheduled meeting. In Fiscal 2025 and Fiscal 2024, all audit, non-audit, tax services, and all other fees for services provided by PwC were approved by the Audit Committee in advance of services being provided.</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REPORT OF THE AUDIT COMMITTEE OF THE BOARD OF DIRECTORS</w:t>
      </w:r>
    </w:p>
    <w:p>
      <w:pPr>
        <w:spacing w:after="0" w:line="23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This report has been prepared by members of the Audit Committee of the Board. The Board determined that each of Mses. McCarthy and Simons and Messrs. Gomo and Swan qualified as an “audit committee financial expert” for purposes of the rules and regulations of the SEC. The Board also determined that during their period of service on the Audit Committee, each member satisfied the independence requirements of applicable federal laws and the Listing Rules of Nasdaq.</w:t>
      </w:r>
    </w:p>
    <w:p>
      <w:pPr>
        <w:spacing w:after="0" w:line="20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purpose of the Audit Committee is to assist the Board in overseeing and monitoring (i) the integrity of our financial statements, (ii) the adequacy of our internal controls and procedures, (iii) the performance of our internal audit function, (iv) the qualifications, performance, and independence of our independent registered public accounting firm, (v) related party transactions and (vi) our compliance with legal and regulatory requirements. In fulfilling its oversight responsibility, the Audit Committee carefully reviews the criteria for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 In conjunction with the rotation of the independent registered public accounting firm’s lead engagement partner, which occurs at least every five years, the Audit Committee is also involved in the selection of PwC’s lead engagement partner.</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Committee has reviewed and discussed our audited financial statements with our management, which has primary responsibility for such financial statements. PwC, our Independent Registered Public Accounting Firm for Fiscal 2025, has expressed in our Annual Report on Form 10-K for Fiscal 2025 its opinion as to the conformity of our consolidated financial statements with accounting principles generally accepted in the United States. The Audit Committee has discussed with PwC the matters that are required to be discussed by the applicable requirements of the PCAOB and the SEC. PwC has provided to the Audit Committee the written disclosures and the letter required by the applicable requirements of the PCAOB. The Audit Committee and PwC also discussed PwC’s independence, including the non-audit services PwC provided to us as described above, and concluded that PwC was independent for Fiscal 2025.</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that they include our audited consolidated financial statements in our Annual Report on Form 10-K for Fiscal 2025, appointed PwC as our independent registered public accounting firm for Fiscal 2026, and approved and authorized PwC to carry out and perform certain specified non-audit services for us in Fiscal 2026.</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While the Audit Committee has performed the above functions, management, and not the Audit Committee, has the primary responsibility for</w:t>
      </w:r>
    </w:p>
    <w:p>
      <w:pPr>
        <w:spacing w:after="0" w:line="26" w:lineRule="exact"/>
        <w:rPr>
          <w:sz w:val="20"/>
          <w:szCs w:val="20"/>
          <w:color w:val="auto"/>
        </w:rPr>
      </w:pPr>
    </w:p>
    <w:p>
      <w:pPr>
        <w:ind w:left="220" w:hanging="213"/>
        <w:spacing w:after="0"/>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preparing our consolidated financial statements and for the reporting process in general and (ii) establishing and maintaining internal</w:t>
      </w:r>
    </w:p>
    <w:p>
      <w:pPr>
        <w:spacing w:after="0" w:line="8" w:lineRule="exact"/>
        <w:rPr>
          <w:rFonts w:ascii="Arial" w:cs="Arial" w:eastAsia="Arial" w:hAnsi="Arial"/>
          <w:sz w:val="18"/>
          <w:szCs w:val="18"/>
          <w:color w:val="auto"/>
        </w:rPr>
      </w:pPr>
    </w:p>
    <w:p>
      <w:pPr>
        <w:ind w:right="340"/>
        <w:spacing w:after="0" w:line="256" w:lineRule="auto"/>
        <w:rPr>
          <w:rFonts w:ascii="Arial" w:cs="Arial" w:eastAsia="Arial" w:hAnsi="Arial"/>
          <w:sz w:val="18"/>
          <w:szCs w:val="18"/>
          <w:color w:val="auto"/>
        </w:rPr>
      </w:pPr>
      <w:r>
        <w:rPr>
          <w:rFonts w:ascii="Arial" w:cs="Arial" w:eastAsia="Arial" w:hAnsi="Arial"/>
          <w:sz w:val="18"/>
          <w:szCs w:val="18"/>
          <w:color w:val="auto"/>
        </w:rPr>
        <w:t>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24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The Audit Committee</w:t>
      </w:r>
    </w:p>
    <w:p>
      <w:pPr>
        <w:spacing w:after="0" w:line="20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Mary Pat McCarthy (Chair)</w:t>
      </w:r>
    </w:p>
    <w:p>
      <w:pPr>
        <w:ind w:left="4840"/>
        <w:spacing w:after="0" w:line="202" w:lineRule="auto"/>
        <w:rPr>
          <w:sz w:val="20"/>
          <w:szCs w:val="20"/>
          <w:color w:val="auto"/>
        </w:rPr>
      </w:pPr>
      <w:r>
        <w:rPr>
          <w:rFonts w:ascii="Arial" w:cs="Arial" w:eastAsia="Arial" w:hAnsi="Arial"/>
          <w:sz w:val="18"/>
          <w:szCs w:val="18"/>
          <w:color w:val="auto"/>
        </w:rPr>
        <w:t>Steven J. Gomo</w:t>
      </w:r>
    </w:p>
    <w:p>
      <w:pPr>
        <w:ind w:left="4840"/>
        <w:spacing w:after="0" w:line="203" w:lineRule="auto"/>
        <w:rPr>
          <w:sz w:val="20"/>
          <w:szCs w:val="20"/>
          <w:color w:val="auto"/>
        </w:rPr>
      </w:pPr>
      <w:r>
        <w:rPr>
          <w:rFonts w:ascii="Arial" w:cs="Arial" w:eastAsia="Arial" w:hAnsi="Arial"/>
          <w:sz w:val="18"/>
          <w:szCs w:val="18"/>
          <w:color w:val="auto"/>
        </w:rPr>
        <w:t>Linnie M. Haynesworth</w:t>
      </w:r>
    </w:p>
    <w:p>
      <w:pPr>
        <w:ind w:left="4840"/>
        <w:spacing w:after="0" w:line="218" w:lineRule="auto"/>
        <w:rPr>
          <w:sz w:val="20"/>
          <w:szCs w:val="20"/>
          <w:color w:val="auto"/>
        </w:rPr>
      </w:pPr>
      <w:r>
        <w:rPr>
          <w:rFonts w:ascii="Arial" w:cs="Arial" w:eastAsia="Arial" w:hAnsi="Arial"/>
          <w:sz w:val="18"/>
          <w:szCs w:val="18"/>
          <w:color w:val="auto"/>
        </w:rPr>
        <w:t>A. Christine Simons</w:t>
      </w:r>
    </w:p>
    <w:p>
      <w:pPr>
        <w:jc w:val="center"/>
        <w:ind w:right="320"/>
        <w:spacing w:after="0"/>
        <w:rPr>
          <w:sz w:val="20"/>
          <w:szCs w:val="20"/>
          <w:color w:val="auto"/>
        </w:rPr>
      </w:pPr>
      <w:r>
        <w:rPr>
          <w:rFonts w:ascii="Arial" w:cs="Arial" w:eastAsia="Arial" w:hAnsi="Arial"/>
          <w:sz w:val="18"/>
          <w:szCs w:val="18"/>
          <w:color w:val="auto"/>
        </w:rPr>
        <w:t>Robert H. Swan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right="840"/>
        <w:spacing w:after="0" w:line="271" w:lineRule="auto"/>
        <w:rPr>
          <w:sz w:val="20"/>
          <w:szCs w:val="20"/>
          <w:color w:val="auto"/>
        </w:rPr>
      </w:pPr>
      <w:r>
        <w:rPr>
          <w:rFonts w:ascii="Arial" w:cs="Arial" w:eastAsia="Arial" w:hAnsi="Arial"/>
          <w:sz w:val="35"/>
          <w:szCs w:val="35"/>
          <w:b w:val="1"/>
          <w:bCs w:val="1"/>
          <w:color w:val="auto"/>
        </w:rPr>
        <w:t>PROPOSAL 5 - SHAREHOLDER PROPOSAL - REQUESTING AMENDMENT TO SHAREHOLDER SPECIAL MEETING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70650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0650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shareholder proposal has been submitted to us for action at the Annual Meeting by John Chevedden, 2215 Nelson Avenue, No. 205, Redondo Beach, CA 90278. Mr. Chevedden has submitted documentation indicating that he is the beneficial owner of at least 50 shares of our Common Stock and he intends to continue to hold the requisite amount of shares through the date of the Annual Meeting. In accordance with proxy regulations, the following is the complete text of the proposal, which is reproduced as submitted to us other than minor formatting changes. All statements contained in the shareholder proposal and supporting statement are the sole responsibility of the proponent.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Proposal 5 - 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180340</wp:posOffset>
            </wp:positionV>
            <wp:extent cx="3515360" cy="673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515360" cy="67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color w:val="auto"/>
        </w:rPr>
        <w:t>Shareholders ask the Board of Directors to take the steps necessary to amend the governing documents to give the owners of a combined 10% of our outstanding common stock the power to call a special shareholder meeting.</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 more reasonable shareholder right to call for a special shareholder meeting, as called for in this proposal, can help make shareholder engagement more meaningful. A shareholder right to call for a special shareholder meeting will help ensure that the Micron Technology Board and management engages with shareholders in good faith because shareholders will have a viable Plan B of calling for a special shareholder meeting.</w:t>
      </w:r>
    </w:p>
    <w:p>
      <w:pPr>
        <w:spacing w:after="0" w:line="201"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color w:val="auto"/>
        </w:rPr>
        <w:t>Companies like to claim that shareholders have multiple means to communicate with management but in most cases these means are as effective as mailing a letter to the Chief Executive Officer.</w:t>
      </w:r>
    </w:p>
    <w:p>
      <w:pPr>
        <w:spacing w:after="0" w:line="180" w:lineRule="exact"/>
        <w:rPr>
          <w:sz w:val="20"/>
          <w:szCs w:val="20"/>
          <w:color w:val="auto"/>
        </w:rPr>
      </w:pPr>
    </w:p>
    <w:p>
      <w:pPr>
        <w:ind w:right="540"/>
        <w:spacing w:after="0" w:line="285" w:lineRule="auto"/>
        <w:rPr>
          <w:sz w:val="20"/>
          <w:szCs w:val="20"/>
          <w:color w:val="auto"/>
        </w:rPr>
      </w:pPr>
      <w:r>
        <w:rPr>
          <w:rFonts w:ascii="Arial" w:cs="Arial" w:eastAsia="Arial" w:hAnsi="Arial"/>
          <w:sz w:val="18"/>
          <w:szCs w:val="18"/>
          <w:color w:val="auto"/>
        </w:rPr>
        <w:t>To guard against the Micron Technology Board of Directors becoming complacent shareholders need a more reasonable ability to call a special shareholder meeting to help the Board adopt new strategies when the need arises.</w:t>
      </w:r>
    </w:p>
    <w:p>
      <w:pPr>
        <w:spacing w:after="0" w:line="180"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Micron seems to be in somewhat of a slump. After Micron's impressive stock price performance from 2016 to 2024 the stock price has been flat in the year leading up to the submittal of this proposal in spite of a robust stock market.</w:t>
      </w:r>
    </w:p>
    <w:p>
      <w:pPr>
        <w:spacing w:after="0" w:line="180"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There is no concern that allowing 10% of shares to call for a special shareholder meeting, as called for in this proposal, is too easy. It is almost unheard of for any special shareholder meeting, called for by shareholders, to ever occur at any company even though a significant number of companies allow 10% of shareholders to call for a special shareholder meeting.</w:t>
      </w:r>
    </w:p>
    <w:p>
      <w:pPr>
        <w:spacing w:after="0" w:line="196"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The reason to have this right is that with this right in place companies are more likely to engage productively with their shareholders because shareholders have an alternative ability to call for a special shareholder meeting.</w:t>
      </w:r>
    </w:p>
    <w:p>
      <w:pPr>
        <w:spacing w:after="0" w:line="180"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On the other hand with the widespread use of online shareholder meetings it is much easier for a company to conduct a special shareholder meeting for important business matters and Micron bylaws need to be updated accordingly.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vote yes:</w:t>
      </w:r>
    </w:p>
    <w:p>
      <w:pPr>
        <w:spacing w:after="0" w:line="3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Special Shareholder Meeting Improvement - Proposal 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STATEMENT OF OPPOSITION</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THE BOARD OF DIRECTORS RECOMMENDS A VOTE </w:t>
      </w:r>
      <w:r>
        <w:rPr>
          <w:rFonts w:ascii="Arial" w:cs="Arial" w:eastAsia="Arial" w:hAnsi="Arial"/>
          <w:sz w:val="21"/>
          <w:szCs w:val="21"/>
          <w:b w:val="1"/>
          <w:bCs w:val="1"/>
          <w:u w:val="single" w:color="auto"/>
          <w:color w:val="auto"/>
        </w:rPr>
        <w:t>AGAINST</w:t>
      </w:r>
      <w:r>
        <w:rPr>
          <w:rFonts w:ascii="Arial" w:cs="Arial" w:eastAsia="Arial" w:hAnsi="Arial"/>
          <w:sz w:val="21"/>
          <w:szCs w:val="21"/>
          <w:b w:val="1"/>
          <w:bCs w:val="1"/>
          <w:color w:val="auto"/>
        </w:rPr>
        <w:t xml:space="preserve"> THE SHAREHOLDER PROPOSAL</w:t>
      </w:r>
    </w:p>
    <w:p>
      <w:pPr>
        <w:spacing w:after="0" w:line="25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We regularly engage with our shareholders on a variety of topics, including those raised in shareholder proposals. We met with the proponent to better understand their perspective. The Board has carefully considered the proposal and the feedback received from the proponent and believes that it is not in the best interests of our shareholders. The Board </w:t>
      </w:r>
      <w:r>
        <w:rPr>
          <w:rFonts w:ascii="Arial" w:cs="Arial" w:eastAsia="Arial" w:hAnsi="Arial"/>
          <w:sz w:val="18"/>
          <w:szCs w:val="18"/>
          <w:b w:val="1"/>
          <w:bCs w:val="1"/>
          <w:u w:val="single" w:color="auto"/>
          <w:color w:val="auto"/>
        </w:rPr>
        <w:t>UNANIMOUSLY</w:t>
      </w:r>
      <w:r>
        <w:rPr>
          <w:rFonts w:ascii="Arial" w:cs="Arial" w:eastAsia="Arial" w:hAnsi="Arial"/>
          <w:sz w:val="18"/>
          <w:szCs w:val="18"/>
          <w:color w:val="auto"/>
        </w:rPr>
        <w:t xml:space="preserve"> recommends a vote</w:t>
      </w:r>
      <w:r>
        <w:rPr>
          <w:rFonts w:ascii="Arial" w:cs="Arial" w:eastAsia="Arial" w:hAnsi="Arial"/>
          <w:sz w:val="18"/>
          <w:szCs w:val="18"/>
          <w:u w:val="single" w:color="auto"/>
          <w:color w:val="auto"/>
        </w:rPr>
        <w:t>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156845</wp:posOffset>
            </wp:positionV>
            <wp:extent cx="6117590" cy="11944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17590" cy="1194435"/>
                    </a:xfrm>
                    <a:prstGeom prst="rect">
                      <a:avLst/>
                    </a:prstGeom>
                    <a:noFill/>
                  </pic:spPr>
                </pic:pic>
              </a:graphicData>
            </a:graphic>
          </wp:anchor>
        </w:drawing>
      </w:r>
    </w:p>
    <w:p>
      <w:pPr>
        <w:spacing w:after="0" w:line="235" w:lineRule="exact"/>
        <w:rPr>
          <w:sz w:val="20"/>
          <w:szCs w:val="20"/>
          <w:color w:val="auto"/>
        </w:rPr>
      </w:pPr>
    </w:p>
    <w:p>
      <w:pPr>
        <w:ind w:left="1520" w:right="880" w:hanging="395"/>
        <w:spacing w:after="0" w:line="239" w:lineRule="auto"/>
        <w:tabs>
          <w:tab w:leader="none" w:pos="1520" w:val="left"/>
        </w:tabs>
        <w:numPr>
          <w:ilvl w:val="0"/>
          <w:numId w:val="87"/>
        </w:numPr>
        <w:rPr>
          <w:rFonts w:ascii="Arial" w:cs="Arial" w:eastAsia="Arial" w:hAnsi="Arial"/>
          <w:sz w:val="18"/>
          <w:szCs w:val="18"/>
          <w:b w:val="1"/>
          <w:bCs w:val="1"/>
          <w:color w:val="BD03F7"/>
        </w:rPr>
      </w:pPr>
      <w:r>
        <w:rPr>
          <w:rFonts w:ascii="Arial" w:cs="Arial" w:eastAsia="Arial" w:hAnsi="Arial"/>
          <w:sz w:val="18"/>
          <w:szCs w:val="18"/>
          <w:b w:val="1"/>
          <w:bCs w:val="1"/>
          <w:i w:val="1"/>
          <w:iCs w:val="1"/>
          <w:color w:val="auto"/>
        </w:rPr>
        <w:t xml:space="preserve">Existing Meaningful Shareholder Meeting Right. </w:t>
      </w:r>
      <w:r>
        <w:rPr>
          <w:rFonts w:ascii="Arial" w:cs="Arial" w:eastAsia="Arial" w:hAnsi="Arial"/>
          <w:sz w:val="18"/>
          <w:szCs w:val="18"/>
          <w:color w:val="auto"/>
        </w:rPr>
        <w:t>Our bylaws already permit shareholders holding 20%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capital stock to call special meetings of shareholders without a minimum holding requirement.</w:t>
      </w:r>
    </w:p>
    <w:p>
      <w:pPr>
        <w:spacing w:after="0" w:line="111" w:lineRule="exact"/>
        <w:rPr>
          <w:rFonts w:ascii="Arial" w:cs="Arial" w:eastAsia="Arial" w:hAnsi="Arial"/>
          <w:sz w:val="18"/>
          <w:szCs w:val="18"/>
          <w:b w:val="1"/>
          <w:bCs w:val="1"/>
          <w:color w:val="BD03F7"/>
        </w:rPr>
      </w:pPr>
    </w:p>
    <w:p>
      <w:pPr>
        <w:ind w:left="1520" w:right="880" w:hanging="395"/>
        <w:spacing w:after="0" w:line="239" w:lineRule="auto"/>
        <w:tabs>
          <w:tab w:leader="none" w:pos="1520" w:val="left"/>
        </w:tabs>
        <w:numPr>
          <w:ilvl w:val="0"/>
          <w:numId w:val="87"/>
        </w:numPr>
        <w:rPr>
          <w:rFonts w:ascii="Arial" w:cs="Arial" w:eastAsia="Arial" w:hAnsi="Arial"/>
          <w:sz w:val="18"/>
          <w:szCs w:val="18"/>
          <w:b w:val="1"/>
          <w:bCs w:val="1"/>
          <w:color w:val="BD03F7"/>
        </w:rPr>
      </w:pPr>
      <w:r>
        <w:rPr>
          <w:rFonts w:ascii="Arial" w:cs="Arial" w:eastAsia="Arial" w:hAnsi="Arial"/>
          <w:sz w:val="18"/>
          <w:szCs w:val="18"/>
          <w:b w:val="1"/>
          <w:bCs w:val="1"/>
          <w:i w:val="1"/>
          <w:iCs w:val="1"/>
          <w:color w:val="auto"/>
        </w:rPr>
        <w:t xml:space="preserve">Existing Ownership Threshold is Good Practice. </w:t>
      </w:r>
      <w:r>
        <w:rPr>
          <w:rFonts w:ascii="Arial" w:cs="Arial" w:eastAsia="Arial" w:hAnsi="Arial"/>
          <w:sz w:val="18"/>
          <w:szCs w:val="18"/>
          <w:color w:val="auto"/>
        </w:rPr>
        <w:t>Our 20% special meeting ownership threshold is consistent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market practice.</w:t>
      </w:r>
    </w:p>
    <w:p>
      <w:pPr>
        <w:spacing w:after="0" w:line="111" w:lineRule="exact"/>
        <w:rPr>
          <w:rFonts w:ascii="Arial" w:cs="Arial" w:eastAsia="Arial" w:hAnsi="Arial"/>
          <w:sz w:val="18"/>
          <w:szCs w:val="18"/>
          <w:b w:val="1"/>
          <w:bCs w:val="1"/>
          <w:color w:val="BD03F7"/>
        </w:rPr>
      </w:pPr>
    </w:p>
    <w:p>
      <w:pPr>
        <w:ind w:left="1520" w:right="900" w:hanging="395"/>
        <w:spacing w:after="0" w:line="224" w:lineRule="auto"/>
        <w:tabs>
          <w:tab w:leader="none" w:pos="1520" w:val="left"/>
        </w:tabs>
        <w:numPr>
          <w:ilvl w:val="0"/>
          <w:numId w:val="87"/>
        </w:numPr>
        <w:rPr>
          <w:rFonts w:ascii="Arial" w:cs="Arial" w:eastAsia="Arial" w:hAnsi="Arial"/>
          <w:sz w:val="18"/>
          <w:szCs w:val="18"/>
          <w:b w:val="1"/>
          <w:bCs w:val="1"/>
          <w:color w:val="BD03F7"/>
        </w:rPr>
      </w:pPr>
      <w:r>
        <w:rPr>
          <w:rFonts w:ascii="Arial" w:cs="Arial" w:eastAsia="Arial" w:hAnsi="Arial"/>
          <w:sz w:val="18"/>
          <w:szCs w:val="18"/>
          <w:b w:val="1"/>
          <w:bCs w:val="1"/>
          <w:i w:val="1"/>
          <w:iCs w:val="1"/>
          <w:color w:val="auto"/>
        </w:rPr>
        <w:t xml:space="preserve">Strong Corporate Governance. </w:t>
      </w:r>
      <w:r>
        <w:rPr>
          <w:rFonts w:ascii="Arial" w:cs="Arial" w:eastAsia="Arial" w:hAnsi="Arial"/>
          <w:sz w:val="18"/>
          <w:szCs w:val="18"/>
          <w:color w:val="auto"/>
        </w:rPr>
        <w:t>We have strong corporate governance policies and procedures, which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ability for shareholders to act by written consent, a market-standard proxy access right, annual election of directors and continuous Board refreshment, a robust shareholder outreach program that empowers shareholders to provide ongoing feedback to the Board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33020</wp:posOffset>
            </wp:positionV>
            <wp:extent cx="61175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117590" cy="8255"/>
                    </a:xfrm>
                    <a:prstGeom prst="rect">
                      <a:avLst/>
                    </a:prstGeom>
                    <a:noFill/>
                  </pic:spPr>
                </pic:pic>
              </a:graphicData>
            </a:graphic>
          </wp:anchor>
        </w:drawing>
      </w:r>
    </w:p>
    <w:p>
      <w:pPr>
        <w:spacing w:after="0" w:line="349" w:lineRule="exact"/>
        <w:rPr>
          <w:sz w:val="20"/>
          <w:szCs w:val="20"/>
          <w:color w:val="auto"/>
        </w:rPr>
      </w:pPr>
    </w:p>
    <w:p>
      <w:pPr>
        <w:jc w:val="both"/>
        <w:ind w:right="360"/>
        <w:spacing w:after="0" w:line="326" w:lineRule="auto"/>
        <w:rPr>
          <w:sz w:val="20"/>
          <w:szCs w:val="20"/>
          <w:color w:val="auto"/>
        </w:rPr>
      </w:pPr>
      <w:r>
        <w:rPr>
          <w:rFonts w:ascii="Arial" w:cs="Arial" w:eastAsia="Arial" w:hAnsi="Arial"/>
          <w:sz w:val="17"/>
          <w:szCs w:val="17"/>
          <w:b w:val="1"/>
          <w:bCs w:val="1"/>
          <w:color w:val="auto"/>
        </w:rPr>
        <w:t>Our 20% special meeting ownership threshold with shareholder-friendly terms allows for legitimate proposals while providing a procedural safeguard against abuse, corporate waste and shareholders with minority ownership interests and short-term goals.</w:t>
      </w:r>
    </w:p>
    <w:p>
      <w:pPr>
        <w:spacing w:after="0" w:line="14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Micron’s shareholders already have a meaningful right to call special meetings of shareholders outside of the annual meeting cycle. Micron’s Board has long recognized the importance of giving shareholders a meaningful right to call special meetings in appropriate circumstances, and so for over 20 years, Micron’s shareholders holding an aggregate 20% of our capital stock have had the right to call a special meeting. Further, our special meeting right does not and has not contained any minimum holding requirement for over 20 years. While some companies do impose a minimum holding requirement on their special meeting right that requires shareholders to own their shares for a minimum period in order to call for a special meeting, our Board determined not to impose such a requirement on our shareholders. Micron’s Board continues to believe this strikes the appropriate balance between ensuring that our shareholders have the ability to call a special meeting to act on extraordinary and urgent matters, while at the same time protecting against a misuse of this right by a small minority of shareholders to raise generally unsupported proposals that can waste significant corporate resources on matters that do not reflect the interests of Micron and its broader shareholder base.</w:t>
      </w:r>
    </w:p>
    <w:p>
      <w:pPr>
        <w:spacing w:after="0" w:line="21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special meeting right in our bylaws serves as a protective mechanism against shareholders with minority ownership interests and short-term goals. As of August 28, 2025, our two largest shareholders together hold more than 10% of our outstanding shares. Given this ownership composition, reducing the ownership threshold to 10% could enable just a small minority of shareholders to use this right and would result in outsized attention and resources being devoted to the special interests of a minority, at the expense of our smaller shareholders. The 20% threshold in our bylaws ensures that a special meeting of shareholders may only be called by a shareholder or group of shareholders with a more substantial stake in Micron and who share an interest in a common topic. This appropriately safeguards shareholder interests and prevents corporate waste, while at the same time ensuring that shareholders have the ability to call special meetings when appropriate.</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Special meetings of shareholders can be disruptive to business operations, incur substantial expenses and harm long-term shareholder interests. The Board, management and employees must devote a significant amount of time and attention preparing for such meetings, which distracts them from their primary focus of maximizing long-term financial returns for shareholders and operating our business in the best interests of shareholders. In addition, with each special meeting of shareholders, we must incur significant expenses in order to prepare the disclosures required for such meetings, print and distribute materials, solicit proxies and tabulate votes. As a result, special meetings of shareholders should be limited to circumstances where a substantial number of shareholders believe a matter is sufficiently urgent or extraordinary to justify calling a special meeting.</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special meeting ownership threshold in our bylaws is consistent with overwhelming market practice.</w:t>
      </w:r>
    </w:p>
    <w:p>
      <w:pPr>
        <w:spacing w:after="0" w:line="250"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The 20% special meeting ownership threshold included in our bylaws is in line with market practice and notably, it is lower than the most common special meeting ownership threshold of 25%. As of August 2025, within the S&amp;P 500, 363 U.S. incorporated companies afford shareholders the right to call a special meeting of shareholders. Of those companies, over 60% have adopted an ownership threshold of 20% or higher for allowing shareholders to call a special meeting, with the most common ownership threshold being 25%, while only about 35% have adopted a special meeting ownership threshold of 15% or less.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Our Board believes that the 20% ownership threshold is appropriate for our Company and in line with market practice.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existing governance policies provide shareholders with meaningful opportunities to engage in Company affairs.</w:t>
      </w:r>
    </w:p>
    <w:p>
      <w:pPr>
        <w:spacing w:after="0" w:line="250"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The Board maintains its demonstrated commitment to corporate governance policies that are in the best interests of the Company and its shareholders by regularly reviewing the Company’s governance structure, policies, and practices, including considering input from shareholders and others. Consistent with its commitment to strong corporate governance, our existing governance policies provide shareholders with numerous avenues to address and discuss our business and governance policies with the Board, and demonstrate our responsiveness and willingness to engage with shareholders and provide them with a meaningful voice.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158750</wp:posOffset>
            </wp:positionV>
            <wp:extent cx="6834505" cy="13398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4505" cy="13398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58"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Action by Written Consent</w:t>
      </w:r>
    </w:p>
    <w:p>
      <w:pPr>
        <w:spacing w:after="0" w:line="39" w:lineRule="exact"/>
        <w:rPr>
          <w:sz w:val="20"/>
          <w:szCs w:val="20"/>
          <w:color w:val="auto"/>
        </w:rPr>
      </w:pPr>
    </w:p>
    <w:p>
      <w:pPr>
        <w:ind w:left="280" w:right="20"/>
        <w:spacing w:after="0" w:line="261" w:lineRule="auto"/>
        <w:rPr>
          <w:sz w:val="20"/>
          <w:szCs w:val="20"/>
          <w:color w:val="auto"/>
        </w:rPr>
      </w:pPr>
      <w:r>
        <w:rPr>
          <w:rFonts w:ascii="Arial" w:cs="Arial" w:eastAsia="Arial" w:hAnsi="Arial"/>
          <w:sz w:val="17"/>
          <w:szCs w:val="17"/>
          <w:color w:val="auto"/>
        </w:rPr>
        <w:t>Our bylaws provide our shareholders with the right to act by written consent, without an ownership threshold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959485</wp:posOffset>
            </wp:positionV>
            <wp:extent cx="3182620" cy="14592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82620" cy="1459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Market Standard Proxy Access</w:t>
      </w:r>
    </w:p>
    <w:p>
      <w:pPr>
        <w:spacing w:after="0" w:line="39" w:lineRule="exact"/>
        <w:rPr>
          <w:sz w:val="20"/>
          <w:szCs w:val="20"/>
          <w:color w:val="auto"/>
        </w:rPr>
      </w:pPr>
    </w:p>
    <w:p>
      <w:pPr>
        <w:ind w:left="280"/>
        <w:spacing w:after="0" w:line="231" w:lineRule="auto"/>
        <w:rPr>
          <w:sz w:val="20"/>
          <w:szCs w:val="20"/>
          <w:color w:val="auto"/>
        </w:rPr>
      </w:pPr>
      <w:r>
        <w:rPr>
          <w:rFonts w:ascii="Arial" w:cs="Arial" w:eastAsia="Arial" w:hAnsi="Arial"/>
          <w:sz w:val="17"/>
          <w:szCs w:val="17"/>
          <w:color w:val="auto"/>
        </w:rPr>
        <w:t>Our bylaws provide a proxy access right permitting certain of our shareholders who have beneficially owned 3% or more of</w:t>
      </w:r>
    </w:p>
    <w:p>
      <w:pPr>
        <w:ind w:left="280" w:right="100"/>
        <w:spacing w:after="0" w:line="220" w:lineRule="auto"/>
        <w:rPr>
          <w:sz w:val="20"/>
          <w:szCs w:val="20"/>
          <w:color w:val="auto"/>
        </w:rPr>
      </w:pPr>
      <w:r>
        <w:rPr>
          <w:rFonts w:ascii="Arial" w:cs="Arial" w:eastAsia="Arial" w:hAnsi="Arial"/>
          <w:sz w:val="18"/>
          <w:szCs w:val="18"/>
          <w:color w:val="auto"/>
        </w:rPr>
        <w:t>our common stock continuously for at least three years to submit director nominations via our proxy materials for up to 20% of the directors then serving.</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Shareholder Engagement</w:t>
      </w:r>
    </w:p>
    <w:p>
      <w:pPr>
        <w:spacing w:after="0" w:line="39" w:lineRule="exact"/>
        <w:rPr>
          <w:sz w:val="20"/>
          <w:szCs w:val="20"/>
          <w:color w:val="auto"/>
        </w:rPr>
      </w:pPr>
    </w:p>
    <w:p>
      <w:pPr>
        <w:ind w:right="320"/>
        <w:spacing w:after="0" w:line="218" w:lineRule="auto"/>
        <w:rPr>
          <w:sz w:val="20"/>
          <w:szCs w:val="20"/>
          <w:color w:val="auto"/>
        </w:rPr>
      </w:pPr>
      <w:r>
        <w:rPr>
          <w:rFonts w:ascii="Arial" w:cs="Arial" w:eastAsia="Arial" w:hAnsi="Arial"/>
          <w:sz w:val="18"/>
          <w:szCs w:val="18"/>
          <w:color w:val="auto"/>
        </w:rPr>
        <w:t>We regularly engage with key shareholders to discuss, among other items, compensation, sustainability and governance issues to</w:t>
      </w:r>
    </w:p>
    <w:p>
      <w:pPr>
        <w:spacing w:after="0" w:line="1" w:lineRule="exact"/>
        <w:rPr>
          <w:sz w:val="20"/>
          <w:szCs w:val="20"/>
          <w:color w:val="auto"/>
        </w:rPr>
      </w:pPr>
    </w:p>
    <w:p>
      <w:pPr>
        <w:ind w:right="360"/>
        <w:spacing w:after="0" w:line="219" w:lineRule="auto"/>
        <w:rPr>
          <w:sz w:val="20"/>
          <w:szCs w:val="20"/>
          <w:color w:val="auto"/>
        </w:rPr>
      </w:pPr>
      <w:r>
        <w:rPr>
          <w:rFonts w:ascii="Arial" w:cs="Arial" w:eastAsia="Arial" w:hAnsi="Arial"/>
          <w:sz w:val="17"/>
          <w:szCs w:val="17"/>
          <w:color w:val="auto"/>
        </w:rPr>
        <w:t>ensure that management and the Board understand and address issues that are important to the Company’s shareholders. In 2025, we reached out to approximately 58% of our shares outstanding for</w:t>
      </w:r>
    </w:p>
    <w:p>
      <w:pPr>
        <w:spacing w:after="0" w:line="2" w:lineRule="exact"/>
        <w:rPr>
          <w:sz w:val="20"/>
          <w:szCs w:val="20"/>
          <w:color w:val="auto"/>
        </w:rPr>
      </w:pPr>
    </w:p>
    <w:p>
      <w:pPr>
        <w:ind w:right="300"/>
        <w:spacing w:after="0" w:line="219" w:lineRule="auto"/>
        <w:rPr>
          <w:sz w:val="20"/>
          <w:szCs w:val="20"/>
          <w:color w:val="auto"/>
        </w:rPr>
      </w:pPr>
      <w:r>
        <w:rPr>
          <w:rFonts w:ascii="Arial" w:cs="Arial" w:eastAsia="Arial" w:hAnsi="Arial"/>
          <w:sz w:val="17"/>
          <w:szCs w:val="17"/>
          <w:color w:val="auto"/>
        </w:rPr>
        <w:t>engagement and met with approximately 40% of our shares outstanding. Further, our Lead Independent Director was involved in meetings with holders of 39% of our outstanding shares. For more</w:t>
      </w:r>
    </w:p>
    <w:p>
      <w:pPr>
        <w:spacing w:after="0" w:line="2" w:lineRule="exact"/>
        <w:rPr>
          <w:sz w:val="20"/>
          <w:szCs w:val="20"/>
          <w:color w:val="auto"/>
        </w:rPr>
      </w:pPr>
    </w:p>
    <w:p>
      <w:pPr>
        <w:ind w:right="340"/>
        <w:spacing w:after="0" w:line="228" w:lineRule="auto"/>
        <w:rPr>
          <w:sz w:val="20"/>
          <w:szCs w:val="20"/>
          <w:color w:val="auto"/>
        </w:rPr>
      </w:pPr>
      <w:r>
        <w:rPr>
          <w:rFonts w:ascii="Arial" w:cs="Arial" w:eastAsia="Arial" w:hAnsi="Arial"/>
          <w:sz w:val="18"/>
          <w:szCs w:val="18"/>
          <w:color w:val="auto"/>
        </w:rPr>
        <w:t xml:space="preserve">information about our extensive shareholder outreach program, see “Shareholder Outreach” on page </w:t>
      </w:r>
      <w:r>
        <w:rPr>
          <w:rFonts w:ascii="Arial" w:cs="Arial" w:eastAsia="Arial" w:hAnsi="Arial"/>
          <w:sz w:val="18"/>
          <w:szCs w:val="18"/>
          <w:u w:val="single" w:color="auto"/>
          <w:color w:val="BD03F7"/>
        </w:rPr>
        <w:t>29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57785</wp:posOffset>
            </wp:positionV>
            <wp:extent cx="3489960" cy="14592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89960" cy="1459230"/>
                    </a:xfrm>
                    <a:prstGeom prst="rect">
                      <a:avLst/>
                    </a:prstGeom>
                    <a:noFill/>
                  </pic:spPr>
                </pic:pic>
              </a:graphicData>
            </a:graphic>
          </wp:anchor>
        </w:drawing>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Provisions Providing for Board Accountability</w:t>
      </w:r>
    </w:p>
    <w:p>
      <w:pPr>
        <w:spacing w:after="0" w:line="39" w:lineRule="exact"/>
        <w:rPr>
          <w:sz w:val="20"/>
          <w:szCs w:val="20"/>
          <w:color w:val="auto"/>
        </w:rPr>
      </w:pPr>
    </w:p>
    <w:p>
      <w:pPr>
        <w:ind w:right="440"/>
        <w:spacing w:after="0" w:line="231" w:lineRule="auto"/>
        <w:rPr>
          <w:sz w:val="20"/>
          <w:szCs w:val="20"/>
          <w:color w:val="auto"/>
        </w:rPr>
      </w:pPr>
      <w:r>
        <w:rPr>
          <w:rFonts w:ascii="Arial" w:cs="Arial" w:eastAsia="Arial" w:hAnsi="Arial"/>
          <w:sz w:val="17"/>
          <w:szCs w:val="17"/>
          <w:color w:val="auto"/>
        </w:rPr>
        <w:t>Our bylaws provide for the annual election of directors. In addition, we engage in regular board refreshment. Since 2021, we have</w:t>
      </w:r>
    </w:p>
    <w:p>
      <w:pPr>
        <w:ind w:right="360"/>
        <w:spacing w:after="0" w:line="219" w:lineRule="auto"/>
        <w:rPr>
          <w:sz w:val="20"/>
          <w:szCs w:val="20"/>
          <w:color w:val="auto"/>
        </w:rPr>
      </w:pPr>
      <w:r>
        <w:rPr>
          <w:rFonts w:ascii="Arial" w:cs="Arial" w:eastAsia="Arial" w:hAnsi="Arial"/>
          <w:sz w:val="17"/>
          <w:szCs w:val="17"/>
          <w:color w:val="auto"/>
        </w:rPr>
        <w:t>appointed four new independent directors, each with deep experience in technology and the semiconductor industry, directly aligned with our business needs and strategy. Ninety percent of our</w:t>
      </w:r>
    </w:p>
    <w:p>
      <w:pPr>
        <w:spacing w:after="0" w:line="2" w:lineRule="exact"/>
        <w:rPr>
          <w:sz w:val="20"/>
          <w:szCs w:val="20"/>
          <w:color w:val="auto"/>
        </w:rPr>
      </w:pPr>
    </w:p>
    <w:p>
      <w:pPr>
        <w:jc w:val="both"/>
        <w:ind w:right="500"/>
        <w:spacing w:after="0" w:line="219" w:lineRule="auto"/>
        <w:rPr>
          <w:sz w:val="20"/>
          <w:szCs w:val="20"/>
          <w:color w:val="auto"/>
        </w:rPr>
      </w:pPr>
      <w:r>
        <w:rPr>
          <w:rFonts w:ascii="Arial" w:cs="Arial" w:eastAsia="Arial" w:hAnsi="Arial"/>
          <w:sz w:val="17"/>
          <w:szCs w:val="17"/>
          <w:color w:val="auto"/>
        </w:rPr>
        <w:t>Board is independent, and all of our standing committees are fully independent as well. In 2025, in connection with the retirement of our independent Chairman, we appointed Lynn A. Dugle as our</w:t>
      </w:r>
    </w:p>
    <w:p>
      <w:pPr>
        <w:spacing w:after="0" w:line="2" w:lineRule="exact"/>
        <w:rPr>
          <w:sz w:val="20"/>
          <w:szCs w:val="20"/>
          <w:color w:val="auto"/>
        </w:rPr>
      </w:pPr>
    </w:p>
    <w:p>
      <w:pPr>
        <w:ind w:right="300"/>
        <w:spacing w:after="0" w:line="220" w:lineRule="auto"/>
        <w:rPr>
          <w:sz w:val="20"/>
          <w:szCs w:val="20"/>
          <w:color w:val="auto"/>
        </w:rPr>
      </w:pPr>
      <w:r>
        <w:rPr>
          <w:rFonts w:ascii="Arial" w:cs="Arial" w:eastAsia="Arial" w:hAnsi="Arial"/>
          <w:sz w:val="18"/>
          <w:szCs w:val="18"/>
          <w:color w:val="auto"/>
        </w:rPr>
        <w:t xml:space="preserve">Lead Independent Director, providing strong independent leadership to our Board. For more information about our Board and its leadership, see “Corporate Governance” on page </w:t>
      </w:r>
      <w:r>
        <w:rPr>
          <w:rFonts w:ascii="Arial" w:cs="Arial" w:eastAsia="Arial" w:hAnsi="Arial"/>
          <w:sz w:val="18"/>
          <w:szCs w:val="18"/>
          <w:u w:val="single" w:color="auto"/>
          <w:color w:val="BD03F7"/>
        </w:rPr>
        <w:t>6</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120" w:space="420"/>
            <w:col w:w="5700"/>
          </w:cols>
          <w:pgMar w:left="320" w:top="125" w:right="339" w:bottom="1440" w:gutter="0" w:footer="0" w:header="0"/>
          <w:type w:val="continuous"/>
        </w:sectPr>
      </w:pP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These corporate governance policies provide our shareholders with numerous opportunities to be heard and to engage directly with the Board and demonstrate that the Board is not reluctant to make changes in its governance practices when it determines that a change is in the best interests of the Company and its shareholders. In light of our existing strong corporate governance policies and robust shareholder outreach program, the Board believes our current special meeting right at the 20% ownership threshold without a minimum holding requirement is reasonable and appropriate and the lower special meeting threshold as requested by the proposal would not make a meaningful difference in our shareholders’ ability to engage with the Board or influence our business or governance policies.</w:t>
      </w:r>
    </w:p>
    <w:p>
      <w:pPr>
        <w:spacing w:after="0" w:line="207"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For these reasons, the Board</w:t>
      </w:r>
      <w:r>
        <w:rPr>
          <w:rFonts w:ascii="Arial" w:cs="Arial" w:eastAsia="Arial" w:hAnsi="Arial"/>
          <w:sz w:val="18"/>
          <w:szCs w:val="18"/>
          <w:u w:val="single" w:color="auto"/>
          <w:color w:val="auto"/>
        </w:rPr>
        <w:t> </w:t>
      </w:r>
      <w:r>
        <w:rPr>
          <w:rFonts w:ascii="Arial" w:cs="Arial" w:eastAsia="Arial" w:hAnsi="Arial"/>
          <w:sz w:val="18"/>
          <w:szCs w:val="18"/>
          <w:b w:val="1"/>
          <w:bCs w:val="1"/>
          <w:u w:val="single" w:color="auto"/>
          <w:color w:val="auto"/>
        </w:rPr>
        <w:t>UNANIMOUSLY</w:t>
      </w:r>
      <w:r>
        <w:rPr>
          <w:rFonts w:ascii="Arial" w:cs="Arial" w:eastAsia="Arial" w:hAnsi="Arial"/>
          <w:sz w:val="18"/>
          <w:szCs w:val="18"/>
          <w:color w:val="auto"/>
        </w:rPr>
        <w:t> urges shareholders to vote</w:t>
      </w:r>
      <w:r>
        <w:rPr>
          <w:rFonts w:ascii="Arial" w:cs="Arial" w:eastAsia="Arial" w:hAnsi="Arial"/>
          <w:sz w:val="18"/>
          <w:szCs w:val="18"/>
          <w:u w:val="single" w:color="auto"/>
          <w:color w:val="auto"/>
        </w:rPr>
        <w:t>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the proposal to adopt a shareholder right to call a special meeting at a 10% ownership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237490</wp:posOffset>
            </wp:positionV>
            <wp:extent cx="170624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hanging="113"/>
        <w:spacing w:after="0"/>
        <w:tabs>
          <w:tab w:leader="none" w:pos="120" w:val="left"/>
        </w:tabs>
        <w:numPr>
          <w:ilvl w:val="0"/>
          <w:numId w:val="88"/>
        </w:numPr>
        <w:rPr>
          <w:rFonts w:ascii="Arial" w:cs="Arial" w:eastAsia="Arial" w:hAnsi="Arial"/>
          <w:sz w:val="23"/>
          <w:szCs w:val="23"/>
          <w:color w:val="auto"/>
          <w:vertAlign w:val="superscript"/>
        </w:rPr>
      </w:pPr>
      <w:r>
        <w:rPr>
          <w:rFonts w:ascii="Arial" w:cs="Arial" w:eastAsia="Arial" w:hAnsi="Arial"/>
          <w:sz w:val="18"/>
          <w:szCs w:val="18"/>
          <w:i w:val="1"/>
          <w:iCs w:val="1"/>
          <w:color w:val="auto"/>
        </w:rPr>
        <w:t>Source: DealPoint, August 1, 2025.</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980"/>
        <w:spacing w:after="0" w:line="285" w:lineRule="auto"/>
        <w:rPr>
          <w:sz w:val="20"/>
          <w:szCs w:val="20"/>
          <w:color w:val="auto"/>
        </w:rPr>
      </w:pPr>
      <w:r>
        <w:rPr>
          <w:rFonts w:ascii="Arial" w:cs="Arial" w:eastAsia="Arial" w:hAnsi="Arial"/>
          <w:sz w:val="18"/>
          <w:szCs w:val="18"/>
          <w:color w:val="auto"/>
        </w:rPr>
        <w:t>The “FOR” vote of the holders of a majority of the voting power of the shares of our Common Stock present in person (virtually) or represented by proxy at the Annual Meeting is required to approve the shareholder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w:t>
      </w:r>
      <w:r>
        <w:rPr>
          <w:rFonts w:ascii="Arial" w:cs="Arial" w:eastAsia="Arial" w:hAnsi="Arial"/>
          <w:sz w:val="18"/>
          <w:szCs w:val="18"/>
          <w:b w:val="1"/>
          <w:bCs w:val="1"/>
          <w:u w:val="single" w:color="auto"/>
          <w:color w:val="auto"/>
        </w:rPr>
        <w:t> AGAINST </w:t>
      </w:r>
      <w:r>
        <w:rPr>
          <w:rFonts w:ascii="Arial" w:cs="Arial" w:eastAsia="Arial" w:hAnsi="Arial"/>
          <w:sz w:val="18"/>
          <w:szCs w:val="18"/>
          <w:b w:val="1"/>
          <w:bCs w:val="1"/>
          <w:color w:val="auto"/>
        </w:rPr>
        <w:t>THE SHAREHOLDER PROPOSAL.</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06501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Security Ownership of Certain Beneficial Owners and Management</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following table sets forth security beneficial ownership information of our Common Stock as of October 31, 2025, calculated in accordance with the rules of the SEC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“Fiscal 2025 Summary Compensation Table” set forth herein, and (iv) all directors and executive officers as a group. We have based our calculation of the percentage of beneficial ownership on 1,124,128,357 shares of our Common Stock outstanding as of October 31, 2025. Unless otherwise indicated, the address of each beneficial owner listed in the table below is c/o Micron Technology, Inc., 8000 South Federal Way, Boise, Idaho, 83716-9632.</w:t>
      </w:r>
    </w:p>
    <w:tbl>
      <w:tblPr>
        <w:tblLayout w:type="fixed"/>
        <w:tblInd w:w="0" w:type="dxa"/>
        <w:tblCellMar>
          <w:top w:w="0" w:type="dxa"/>
          <w:left w:w="0" w:type="dxa"/>
          <w:bottom w:w="0" w:type="dxa"/>
          <w:right w:w="0" w:type="dxa"/>
        </w:tblCellMar>
      </w:tblPr>
      <w:tr>
        <w:trPr>
          <w:trHeight w:val="179"/>
        </w:trPr>
        <w:tc>
          <w:tcPr>
            <w:tcW w:w="5200" w:type="dxa"/>
            <w:vAlign w:val="bottom"/>
            <w:tcBorders>
              <w:top w:val="single" w:sz="8" w:color="BD03F7"/>
            </w:tcBorders>
          </w:tcPr>
          <w:p>
            <w:pPr>
              <w:spacing w:after="0"/>
              <w:rPr>
                <w:sz w:val="15"/>
                <w:szCs w:val="15"/>
                <w:color w:val="auto"/>
              </w:rPr>
            </w:pPr>
          </w:p>
        </w:tc>
        <w:tc>
          <w:tcPr>
            <w:tcW w:w="1720" w:type="dxa"/>
            <w:vAlign w:val="bottom"/>
            <w:tcBorders>
              <w:top w:val="single" w:sz="8" w:color="BD03F7"/>
            </w:tcBorders>
          </w:tcPr>
          <w:p>
            <w:pPr>
              <w:jc w:val="center"/>
              <w:ind w:left="90"/>
              <w:spacing w:after="0" w:line="179" w:lineRule="exact"/>
              <w:rPr>
                <w:sz w:val="20"/>
                <w:szCs w:val="20"/>
                <w:color w:val="auto"/>
              </w:rPr>
            </w:pPr>
            <w:r>
              <w:rPr>
                <w:rFonts w:ascii="Arial" w:cs="Arial" w:eastAsia="Arial" w:hAnsi="Arial"/>
                <w:sz w:val="18"/>
                <w:szCs w:val="18"/>
                <w:b w:val="1"/>
                <w:bCs w:val="1"/>
                <w:color w:val="auto"/>
                <w:w w:val="99"/>
              </w:rPr>
              <w:t>Number of</w:t>
            </w:r>
          </w:p>
        </w:tc>
        <w:tc>
          <w:tcPr>
            <w:tcW w:w="1380" w:type="dxa"/>
            <w:vAlign w:val="bottom"/>
            <w:tcBorders>
              <w:top w:val="single" w:sz="8" w:color="BD03F7"/>
            </w:tcBorders>
            <w:vMerge w:val="restart"/>
          </w:tcPr>
          <w:p>
            <w:pPr>
              <w:jc w:val="right"/>
              <w:ind w:right="330"/>
              <w:spacing w:after="0"/>
              <w:rPr>
                <w:sz w:val="20"/>
                <w:szCs w:val="20"/>
                <w:color w:val="auto"/>
              </w:rPr>
            </w:pPr>
            <w:r>
              <w:rPr>
                <w:rFonts w:ascii="Arial" w:cs="Arial" w:eastAsia="Arial" w:hAnsi="Arial"/>
                <w:sz w:val="18"/>
                <w:szCs w:val="18"/>
                <w:b w:val="1"/>
                <w:bCs w:val="1"/>
                <w:color w:val="auto"/>
              </w:rPr>
              <w:t>Right to</w:t>
            </w:r>
          </w:p>
        </w:tc>
        <w:tc>
          <w:tcPr>
            <w:tcW w:w="1420" w:type="dxa"/>
            <w:vAlign w:val="bottom"/>
            <w:tcBorders>
              <w:top w:val="single" w:sz="8" w:color="BD03F7"/>
            </w:tcBorders>
          </w:tcPr>
          <w:p>
            <w:pPr>
              <w:jc w:val="center"/>
              <w:ind w:right="110"/>
              <w:spacing w:after="0" w:line="179" w:lineRule="exact"/>
              <w:rPr>
                <w:sz w:val="20"/>
                <w:szCs w:val="20"/>
                <w:color w:val="auto"/>
              </w:rPr>
            </w:pPr>
            <w:r>
              <w:rPr>
                <w:rFonts w:ascii="Arial" w:cs="Arial" w:eastAsia="Arial" w:hAnsi="Arial"/>
                <w:sz w:val="18"/>
                <w:szCs w:val="18"/>
                <w:b w:val="1"/>
                <w:bCs w:val="1"/>
                <w:color w:val="auto"/>
                <w:w w:val="97"/>
              </w:rPr>
              <w:t>Total</w:t>
            </w:r>
          </w:p>
        </w:tc>
        <w:tc>
          <w:tcPr>
            <w:tcW w:w="1420" w:type="dxa"/>
            <w:vAlign w:val="bottom"/>
            <w:tcBorders>
              <w:top w:val="single" w:sz="8" w:color="BD03F7"/>
            </w:tcBorders>
            <w:vMerge w:val="restart"/>
          </w:tcPr>
          <w:p>
            <w:pPr>
              <w:jc w:val="right"/>
              <w:ind w:right="25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5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720" w:type="dxa"/>
            <w:vAlign w:val="bottom"/>
          </w:tcPr>
          <w:p>
            <w:pPr>
              <w:jc w:val="center"/>
              <w:ind w:left="110"/>
              <w:spacing w:after="0" w:line="175" w:lineRule="exact"/>
              <w:rPr>
                <w:sz w:val="20"/>
                <w:szCs w:val="20"/>
                <w:color w:val="auto"/>
              </w:rPr>
            </w:pPr>
            <w:r>
              <w:rPr>
                <w:rFonts w:ascii="Arial" w:cs="Arial" w:eastAsia="Arial" w:hAnsi="Arial"/>
                <w:sz w:val="18"/>
                <w:szCs w:val="18"/>
                <w:b w:val="1"/>
                <w:bCs w:val="1"/>
                <w:color w:val="auto"/>
                <w:w w:val="99"/>
              </w:rPr>
              <w:t>Shares</w:t>
            </w:r>
          </w:p>
        </w:tc>
        <w:tc>
          <w:tcPr>
            <w:tcW w:w="1380" w:type="dxa"/>
            <w:vAlign w:val="bottom"/>
            <w:vMerge w:val="continue"/>
          </w:tcPr>
          <w:p>
            <w:pPr>
              <w:spacing w:after="0"/>
              <w:rPr>
                <w:sz w:val="15"/>
                <w:szCs w:val="15"/>
                <w:color w:val="auto"/>
              </w:rPr>
            </w:pPr>
          </w:p>
        </w:tc>
        <w:tc>
          <w:tcPr>
            <w:tcW w:w="1420" w:type="dxa"/>
            <w:vAlign w:val="bottom"/>
          </w:tcPr>
          <w:p>
            <w:pPr>
              <w:jc w:val="center"/>
              <w:ind w:right="110"/>
              <w:spacing w:after="0" w:line="175" w:lineRule="exact"/>
              <w:rPr>
                <w:sz w:val="20"/>
                <w:szCs w:val="20"/>
                <w:color w:val="auto"/>
              </w:rPr>
            </w:pPr>
            <w:r>
              <w:rPr>
                <w:rFonts w:ascii="Arial" w:cs="Arial" w:eastAsia="Arial" w:hAnsi="Arial"/>
                <w:sz w:val="18"/>
                <w:szCs w:val="18"/>
                <w:b w:val="1"/>
                <w:bCs w:val="1"/>
                <w:color w:val="auto"/>
              </w:rPr>
              <w:t>Beneficial</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200" w:type="dxa"/>
            <w:vAlign w:val="bottom"/>
            <w:tcBorders>
              <w:bottom w:val="single" w:sz="8" w:color="BD03F7"/>
            </w:tcBorders>
            <w:vMerge w:val="continue"/>
          </w:tcPr>
          <w:p>
            <w:pPr>
              <w:spacing w:after="0"/>
              <w:rPr>
                <w:sz w:val="21"/>
                <w:szCs w:val="21"/>
                <w:color w:val="auto"/>
              </w:rPr>
            </w:pPr>
          </w:p>
        </w:tc>
        <w:tc>
          <w:tcPr>
            <w:tcW w:w="1720" w:type="dxa"/>
            <w:vAlign w:val="bottom"/>
            <w:tcBorders>
              <w:bottom w:val="single" w:sz="8" w:color="BD03F7"/>
            </w:tcBorders>
          </w:tcPr>
          <w:p>
            <w:pPr>
              <w:jc w:val="center"/>
              <w:ind w:left="90"/>
              <w:spacing w:after="0"/>
              <w:rPr>
                <w:sz w:val="20"/>
                <w:szCs w:val="20"/>
                <w:color w:val="auto"/>
              </w:rPr>
            </w:pPr>
            <w:r>
              <w:rPr>
                <w:rFonts w:ascii="Arial" w:cs="Arial" w:eastAsia="Arial" w:hAnsi="Arial"/>
                <w:sz w:val="18"/>
                <w:szCs w:val="18"/>
                <w:b w:val="1"/>
                <w:bCs w:val="1"/>
                <w:color w:val="auto"/>
                <w:w w:val="99"/>
              </w:rPr>
              <w:t>Owned(1)</w:t>
            </w:r>
          </w:p>
        </w:tc>
        <w:tc>
          <w:tcPr>
            <w:tcW w:w="1380" w:type="dxa"/>
            <w:vAlign w:val="bottom"/>
            <w:tcBorders>
              <w:bottom w:val="single" w:sz="8" w:color="BD03F7"/>
            </w:tcBorders>
          </w:tcPr>
          <w:p>
            <w:pPr>
              <w:jc w:val="right"/>
              <w:ind w:right="230"/>
              <w:spacing w:after="0"/>
              <w:rPr>
                <w:sz w:val="20"/>
                <w:szCs w:val="20"/>
                <w:color w:val="auto"/>
              </w:rPr>
            </w:pPr>
            <w:r>
              <w:rPr>
                <w:rFonts w:ascii="Arial" w:cs="Arial" w:eastAsia="Arial" w:hAnsi="Arial"/>
                <w:sz w:val="18"/>
                <w:szCs w:val="18"/>
                <w:b w:val="1"/>
                <w:bCs w:val="1"/>
                <w:color w:val="auto"/>
              </w:rPr>
              <w:t>Acquire(2)</w:t>
            </w:r>
          </w:p>
        </w:tc>
        <w:tc>
          <w:tcPr>
            <w:tcW w:w="1420" w:type="dxa"/>
            <w:vAlign w:val="bottom"/>
            <w:tcBorders>
              <w:bottom w:val="single" w:sz="8" w:color="BD03F7"/>
            </w:tcBorders>
          </w:tcPr>
          <w:p>
            <w:pPr>
              <w:jc w:val="center"/>
              <w:ind w:right="110"/>
              <w:spacing w:after="0"/>
              <w:rPr>
                <w:sz w:val="20"/>
                <w:szCs w:val="20"/>
                <w:color w:val="auto"/>
              </w:rPr>
            </w:pPr>
            <w:r>
              <w:rPr>
                <w:rFonts w:ascii="Arial" w:cs="Arial" w:eastAsia="Arial" w:hAnsi="Arial"/>
                <w:sz w:val="18"/>
                <w:szCs w:val="18"/>
                <w:b w:val="1"/>
                <w:bCs w:val="1"/>
                <w:color w:val="auto"/>
              </w:rPr>
              <w:t>Ownership</w:t>
            </w:r>
          </w:p>
        </w:tc>
        <w:tc>
          <w:tcPr>
            <w:tcW w:w="1420" w:type="dxa"/>
            <w:vAlign w:val="bottom"/>
            <w:tcBorders>
              <w:bottom w:val="single" w:sz="8" w:color="BD03F7"/>
            </w:tcBorders>
          </w:tcPr>
          <w:p>
            <w:pPr>
              <w:jc w:val="right"/>
              <w:ind w:right="330"/>
              <w:spacing w:after="0"/>
              <w:rPr>
                <w:sz w:val="20"/>
                <w:szCs w:val="20"/>
                <w:color w:val="auto"/>
              </w:rPr>
            </w:pPr>
            <w:r>
              <w:rPr>
                <w:rFonts w:ascii="Arial" w:cs="Arial" w:eastAsia="Arial" w:hAnsi="Arial"/>
                <w:sz w:val="18"/>
                <w:szCs w:val="18"/>
                <w:b w:val="1"/>
                <w:bCs w:val="1"/>
                <w:color w:val="auto"/>
              </w:rPr>
              <w:t>Class(3)</w:t>
            </w: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200" w:type="dxa"/>
            <w:vAlign w:val="bottom"/>
            <w:shd w:val="clear" w:color="auto" w:fill="F2F2F2"/>
          </w:tcPr>
          <w:p>
            <w:pPr>
              <w:ind w:left="20"/>
              <w:spacing w:after="0"/>
              <w:rPr>
                <w:sz w:val="20"/>
                <w:szCs w:val="20"/>
                <w:color w:val="auto"/>
              </w:rPr>
            </w:pPr>
            <w:r>
              <w:rPr>
                <w:rFonts w:ascii="Arial" w:cs="Arial" w:eastAsia="Arial" w:hAnsi="Arial"/>
                <w:sz w:val="18"/>
                <w:szCs w:val="18"/>
                <w:color w:val="auto"/>
              </w:rPr>
              <w:t>The Vanguard Group, Inc.(4)</w:t>
            </w:r>
          </w:p>
        </w:tc>
        <w:tc>
          <w:tcPr>
            <w:tcW w:w="17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94,984,500</w:t>
            </w:r>
          </w:p>
        </w:tc>
        <w:tc>
          <w:tcPr>
            <w:tcW w:w="138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94,984,500</w:t>
            </w:r>
          </w:p>
        </w:tc>
        <w:tc>
          <w:tcPr>
            <w:tcW w:w="1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BlackRock, Inc.(5)</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85,904,256</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85,904,256</w:t>
            </w:r>
          </w:p>
        </w:tc>
        <w:tc>
          <w:tcPr>
            <w:tcW w:w="142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8"/>
        </w:trPr>
        <w:tc>
          <w:tcPr>
            <w:tcW w:w="5200" w:type="dxa"/>
            <w:vAlign w:val="bottom"/>
            <w:shd w:val="clear" w:color="auto" w:fill="F2F2F2"/>
          </w:tcPr>
          <w:p>
            <w:pPr>
              <w:ind w:left="20"/>
              <w:spacing w:after="0"/>
              <w:rPr>
                <w:sz w:val="20"/>
                <w:szCs w:val="20"/>
                <w:color w:val="auto"/>
              </w:rPr>
            </w:pPr>
            <w:r>
              <w:rPr>
                <w:rFonts w:ascii="Arial" w:cs="Arial" w:eastAsia="Arial" w:hAnsi="Arial"/>
                <w:sz w:val="18"/>
                <w:szCs w:val="18"/>
                <w:color w:val="auto"/>
              </w:rPr>
              <w:t>Capital World Investors (6)</w:t>
            </w:r>
          </w:p>
        </w:tc>
        <w:tc>
          <w:tcPr>
            <w:tcW w:w="17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71,003,502</w:t>
            </w:r>
          </w:p>
        </w:tc>
        <w:tc>
          <w:tcPr>
            <w:tcW w:w="138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71,003,502</w:t>
            </w:r>
          </w:p>
        </w:tc>
        <w:tc>
          <w:tcPr>
            <w:tcW w:w="1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Richard M. Beyer</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97,408</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97,408</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Manish Bhatia</w:t>
            </w:r>
          </w:p>
        </w:tc>
        <w:tc>
          <w:tcPr>
            <w:tcW w:w="17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350,109</w:t>
            </w:r>
          </w:p>
        </w:tc>
        <w:tc>
          <w:tcPr>
            <w:tcW w:w="138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350,109</w:t>
            </w:r>
          </w:p>
        </w:tc>
        <w:tc>
          <w:tcPr>
            <w:tcW w:w="1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154,145</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154,145</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F2F2F2"/>
          </w:tcPr>
          <w:p>
            <w:pPr>
              <w:ind w:left="20"/>
              <w:spacing w:after="0"/>
              <w:rPr>
                <w:sz w:val="20"/>
                <w:szCs w:val="20"/>
                <w:color w:val="auto"/>
              </w:rPr>
            </w:pPr>
            <w:r>
              <w:rPr>
                <w:rFonts w:ascii="Arial" w:cs="Arial" w:eastAsia="Arial" w:hAnsi="Arial"/>
                <w:sz w:val="18"/>
                <w:szCs w:val="18"/>
                <w:color w:val="auto"/>
              </w:rPr>
              <w:t>Lynn A. Dugle</w:t>
            </w:r>
          </w:p>
        </w:tc>
        <w:tc>
          <w:tcPr>
            <w:tcW w:w="17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19,028</w:t>
            </w:r>
          </w:p>
        </w:tc>
        <w:tc>
          <w:tcPr>
            <w:tcW w:w="138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2,338</w:t>
            </w:r>
          </w:p>
        </w:tc>
        <w:tc>
          <w:tcPr>
            <w:tcW w:w="142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21,366</w:t>
            </w:r>
          </w:p>
        </w:tc>
        <w:tc>
          <w:tcPr>
            <w:tcW w:w="1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Steven J. Gomo</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24,139</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24,139</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F2F2F2"/>
          </w:tcPr>
          <w:p>
            <w:pPr>
              <w:ind w:left="20"/>
              <w:spacing w:after="0"/>
              <w:rPr>
                <w:sz w:val="20"/>
                <w:szCs w:val="20"/>
                <w:color w:val="auto"/>
              </w:rPr>
            </w:pPr>
            <w:r>
              <w:rPr>
                <w:rFonts w:ascii="Arial" w:cs="Arial" w:eastAsia="Arial" w:hAnsi="Arial"/>
                <w:sz w:val="18"/>
                <w:szCs w:val="18"/>
                <w:color w:val="auto"/>
              </w:rPr>
              <w:t>Linnie M. Haynesworth</w:t>
            </w:r>
          </w:p>
        </w:tc>
        <w:tc>
          <w:tcPr>
            <w:tcW w:w="17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13,632</w:t>
            </w:r>
          </w:p>
        </w:tc>
        <w:tc>
          <w:tcPr>
            <w:tcW w:w="138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3,715</w:t>
            </w:r>
          </w:p>
        </w:tc>
        <w:tc>
          <w:tcPr>
            <w:tcW w:w="142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17,347</w:t>
            </w:r>
          </w:p>
        </w:tc>
        <w:tc>
          <w:tcPr>
            <w:tcW w:w="1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T. Mark Liu</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2,710</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220</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2,930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Mary Pat McCarthy</w:t>
            </w:r>
          </w:p>
        </w:tc>
        <w:tc>
          <w:tcPr>
            <w:tcW w:w="17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21,523</w:t>
            </w:r>
          </w:p>
        </w:tc>
        <w:tc>
          <w:tcPr>
            <w:tcW w:w="138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21,523</w:t>
            </w:r>
          </w:p>
        </w:tc>
        <w:tc>
          <w:tcPr>
            <w:tcW w:w="1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Sanjay Mehrotra(7)</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1,084,078</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1,084,078</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Mark J. Murphy</w:t>
            </w:r>
          </w:p>
        </w:tc>
        <w:tc>
          <w:tcPr>
            <w:tcW w:w="17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219,693</w:t>
            </w:r>
          </w:p>
        </w:tc>
        <w:tc>
          <w:tcPr>
            <w:tcW w:w="138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219,693</w:t>
            </w:r>
          </w:p>
        </w:tc>
        <w:tc>
          <w:tcPr>
            <w:tcW w:w="1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277,521</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277,521</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F2F2F2"/>
          </w:tcPr>
          <w:p>
            <w:pPr>
              <w:ind w:left="20"/>
              <w:spacing w:after="0"/>
              <w:rPr>
                <w:sz w:val="20"/>
                <w:szCs w:val="20"/>
                <w:color w:val="auto"/>
              </w:rPr>
            </w:pPr>
            <w:r>
              <w:rPr>
                <w:rFonts w:ascii="Arial" w:cs="Arial" w:eastAsia="Arial" w:hAnsi="Arial"/>
                <w:sz w:val="18"/>
                <w:szCs w:val="18"/>
                <w:color w:val="auto"/>
              </w:rPr>
              <w:t>A. Christine Simons</w:t>
            </w:r>
          </w:p>
        </w:tc>
        <w:tc>
          <w:tcPr>
            <w:tcW w:w="17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3,833</w:t>
            </w:r>
          </w:p>
        </w:tc>
        <w:tc>
          <w:tcPr>
            <w:tcW w:w="138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3,833</w:t>
            </w:r>
          </w:p>
        </w:tc>
        <w:tc>
          <w:tcPr>
            <w:tcW w:w="1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Robert H. Swan</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4,444</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794</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5,238</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MaryAnn Wright</w:t>
            </w:r>
          </w:p>
        </w:tc>
        <w:tc>
          <w:tcPr>
            <w:tcW w:w="172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23,333</w:t>
            </w:r>
          </w:p>
        </w:tc>
        <w:tc>
          <w:tcPr>
            <w:tcW w:w="138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3,715</w:t>
            </w:r>
          </w:p>
        </w:tc>
        <w:tc>
          <w:tcPr>
            <w:tcW w:w="142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27,048</w:t>
            </w:r>
          </w:p>
        </w:tc>
        <w:tc>
          <w:tcPr>
            <w:tcW w:w="14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BD03F7"/>
            </w:tcBorders>
          </w:tcPr>
          <w:p>
            <w:pPr>
              <w:ind w:left="20"/>
              <w:spacing w:after="0"/>
              <w:rPr>
                <w:sz w:val="20"/>
                <w:szCs w:val="20"/>
                <w:color w:val="auto"/>
              </w:rPr>
            </w:pPr>
            <w:r>
              <w:rPr>
                <w:rFonts w:ascii="Arial" w:cs="Arial" w:eastAsia="Arial" w:hAnsi="Arial"/>
                <w:sz w:val="18"/>
                <w:szCs w:val="18"/>
                <w:color w:val="auto"/>
              </w:rPr>
              <w:t>All directors and executive officers as a group (18 persons)</w:t>
            </w:r>
          </w:p>
        </w:tc>
        <w:tc>
          <w:tcPr>
            <w:tcW w:w="1720" w:type="dxa"/>
            <w:vAlign w:val="bottom"/>
            <w:tcBorders>
              <w:bottom w:val="single" w:sz="8" w:color="BD03F7"/>
            </w:tcBorders>
          </w:tcPr>
          <w:p>
            <w:pPr>
              <w:jc w:val="right"/>
              <w:ind w:right="50"/>
              <w:spacing w:after="0"/>
              <w:rPr>
                <w:sz w:val="20"/>
                <w:szCs w:val="20"/>
                <w:color w:val="auto"/>
              </w:rPr>
            </w:pPr>
            <w:r>
              <w:rPr>
                <w:rFonts w:ascii="Arial" w:cs="Arial" w:eastAsia="Arial" w:hAnsi="Arial"/>
                <w:sz w:val="18"/>
                <w:szCs w:val="18"/>
                <w:color w:val="auto"/>
              </w:rPr>
              <w:t>2,675,270</w:t>
            </w:r>
          </w:p>
        </w:tc>
        <w:tc>
          <w:tcPr>
            <w:tcW w:w="1380" w:type="dxa"/>
            <w:vAlign w:val="bottom"/>
            <w:tcBorders>
              <w:bottom w:val="single" w:sz="8" w:color="BD03F7"/>
            </w:tcBorders>
          </w:tcPr>
          <w:p>
            <w:pPr>
              <w:jc w:val="right"/>
              <w:ind w:right="70"/>
              <w:spacing w:after="0"/>
              <w:rPr>
                <w:sz w:val="20"/>
                <w:szCs w:val="20"/>
                <w:color w:val="auto"/>
              </w:rPr>
            </w:pPr>
            <w:r>
              <w:rPr>
                <w:rFonts w:ascii="Arial" w:cs="Arial" w:eastAsia="Arial" w:hAnsi="Arial"/>
                <w:sz w:val="18"/>
                <w:szCs w:val="18"/>
                <w:color w:val="auto"/>
              </w:rPr>
              <w:t>10,782</w:t>
            </w:r>
          </w:p>
        </w:tc>
        <w:tc>
          <w:tcPr>
            <w:tcW w:w="1420" w:type="dxa"/>
            <w:vAlign w:val="bottom"/>
            <w:tcBorders>
              <w:bottom w:val="single" w:sz="8" w:color="BD03F7"/>
            </w:tcBorders>
          </w:tcPr>
          <w:p>
            <w:pPr>
              <w:jc w:val="right"/>
              <w:ind w:right="110"/>
              <w:spacing w:after="0"/>
              <w:rPr>
                <w:sz w:val="20"/>
                <w:szCs w:val="20"/>
                <w:color w:val="auto"/>
              </w:rPr>
            </w:pPr>
            <w:r>
              <w:rPr>
                <w:rFonts w:ascii="Arial" w:cs="Arial" w:eastAsia="Arial" w:hAnsi="Arial"/>
                <w:sz w:val="18"/>
                <w:szCs w:val="18"/>
                <w:color w:val="auto"/>
              </w:rPr>
              <w:t>2,686,052</w:t>
            </w:r>
          </w:p>
        </w:tc>
        <w:tc>
          <w:tcPr>
            <w:tcW w:w="1420" w:type="dxa"/>
            <w:vAlign w:val="bottom"/>
            <w:tcBorders>
              <w:bottom w:val="single" w:sz="8" w:color="BD03F7"/>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Represents less than 1% of shares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(1) Includes unvested shares of restricted stock.</w:t>
      </w:r>
    </w:p>
    <w:p>
      <w:pPr>
        <w:spacing w:after="0" w:line="277" w:lineRule="exact"/>
        <w:rPr>
          <w:sz w:val="20"/>
          <w:szCs w:val="20"/>
          <w:color w:val="auto"/>
        </w:rPr>
      </w:pPr>
    </w:p>
    <w:p>
      <w:pPr>
        <w:ind w:left="340" w:right="300" w:hanging="333"/>
        <w:spacing w:after="0" w:line="228" w:lineRule="auto"/>
        <w:tabs>
          <w:tab w:leader="none" w:pos="349" w:val="left"/>
        </w:tabs>
        <w:numPr>
          <w:ilvl w:val="0"/>
          <w:numId w:val="89"/>
        </w:numPr>
        <w:rPr>
          <w:rFonts w:ascii="Times New Roman" w:cs="Times New Roman" w:eastAsia="Times New Roman" w:hAnsi="Times New Roman"/>
          <w:sz w:val="21"/>
          <w:szCs w:val="21"/>
          <w:color w:val="auto"/>
        </w:rPr>
      </w:pPr>
      <w:r>
        <w:rPr>
          <w:rFonts w:ascii="Arial" w:cs="Arial" w:eastAsia="Arial" w:hAnsi="Arial"/>
          <w:sz w:val="18"/>
          <w:szCs w:val="18"/>
          <w:color w:val="auto"/>
        </w:rPr>
        <w:t>Represents shares that an individual has a right to acquire within 60 days from October 31, 2025. Includes shares underlying deferred restricted stock units that become deliverable upon termination of service.</w:t>
      </w:r>
    </w:p>
    <w:p>
      <w:pPr>
        <w:spacing w:after="0" w:line="218" w:lineRule="exact"/>
        <w:rPr>
          <w:rFonts w:ascii="Times New Roman" w:cs="Times New Roman" w:eastAsia="Times New Roman" w:hAnsi="Times New Roman"/>
          <w:sz w:val="21"/>
          <w:szCs w:val="21"/>
          <w:color w:val="auto"/>
        </w:rPr>
      </w:pPr>
    </w:p>
    <w:p>
      <w:pPr>
        <w:ind w:left="340" w:right="280" w:hanging="333"/>
        <w:spacing w:after="0" w:line="285" w:lineRule="auto"/>
        <w:tabs>
          <w:tab w:leader="none" w:pos="33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166" w:lineRule="exact"/>
        <w:rPr>
          <w:rFonts w:ascii="Arial" w:cs="Arial" w:eastAsia="Arial" w:hAnsi="Arial"/>
          <w:sz w:val="18"/>
          <w:szCs w:val="18"/>
          <w:color w:val="auto"/>
        </w:rPr>
      </w:pPr>
    </w:p>
    <w:p>
      <w:pPr>
        <w:jc w:val="both"/>
        <w:ind w:left="340" w:right="340" w:hanging="333"/>
        <w:spacing w:after="0" w:line="251" w:lineRule="auto"/>
        <w:tabs>
          <w:tab w:leader="none" w:pos="33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upon information contained in the Schedule 13G/A filed by The Vanguard Group, Inc. (“Vanguard”) on February 13, 2024, as of December 29, 2023, Vanguard had sole dispositive power as to 90,364,219 shares, shared voting power as to 1,362,947 shares, and shared dispositive power as to 4,620,281 shares. Vanguard’s business address is 100 Vanguard Blvd., 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94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right="200" w:hanging="333"/>
        <w:spacing w:after="0" w:line="251" w:lineRule="auto"/>
        <w:tabs>
          <w:tab w:leader="none" w:pos="3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upon information contained in the Schedule 13G/A filed by BlackRock, Inc. (“BlackRock”) on February 13, 2024, as of December 31, 2023, BlackRock had sole voting power as to 78,806,024 shares and sole dispositive power as to 85,904,256 shares. BlackRock’s business address is 50 Hudson Yards, New York, NY 10001.</w:t>
      </w:r>
    </w:p>
    <w:p>
      <w:pPr>
        <w:spacing w:after="0" w:line="210" w:lineRule="exact"/>
        <w:rPr>
          <w:rFonts w:ascii="Arial" w:cs="Arial" w:eastAsia="Arial" w:hAnsi="Arial"/>
          <w:sz w:val="18"/>
          <w:szCs w:val="18"/>
          <w:color w:val="auto"/>
        </w:rPr>
      </w:pPr>
    </w:p>
    <w:p>
      <w:pPr>
        <w:ind w:left="340" w:right="260" w:hanging="333"/>
        <w:spacing w:after="0" w:line="254" w:lineRule="auto"/>
        <w:tabs>
          <w:tab w:leader="none" w:pos="3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upon information contained in the Schedule 13G filed by Capital World Investors (“Capital”) on August 13, 2025, as of June 30, 2025, Capital had sole voting power as to 70,975,601 shares and sole dispositive power as to 71,003,502 shares. Capital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Capital’s divisions of each of the investment management entities collectively provide investment management services under the name "Capital World Investors." Capital’s business address is 333 South Hope Street, 55th Floor, Los Angeles, California 90071.</w:t>
      </w:r>
    </w:p>
    <w:p>
      <w:pPr>
        <w:spacing w:after="0" w:line="209" w:lineRule="exact"/>
        <w:rPr>
          <w:rFonts w:ascii="Arial" w:cs="Arial" w:eastAsia="Arial" w:hAnsi="Arial"/>
          <w:sz w:val="18"/>
          <w:szCs w:val="18"/>
          <w:color w:val="auto"/>
        </w:rPr>
      </w:pPr>
    </w:p>
    <w:p>
      <w:pPr>
        <w:ind w:left="340" w:right="720" w:hanging="333"/>
        <w:spacing w:after="0" w:line="285" w:lineRule="auto"/>
        <w:tabs>
          <w:tab w:leader="none" w:pos="3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500,000 shares held by The Sangeeta Mehrotra 2025 Grantor Retained Annuity Trust I and 175,000 shares held by The Sangeeta Mehrotra 2025 Grantor Retained Annuity Trust VI.</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right="1860"/>
        <w:spacing w:after="0" w:line="302" w:lineRule="auto"/>
        <w:rPr>
          <w:sz w:val="20"/>
          <w:szCs w:val="20"/>
          <w:color w:val="auto"/>
        </w:rPr>
      </w:pPr>
      <w:r>
        <w:rPr>
          <w:rFonts w:ascii="Arial" w:cs="Arial" w:eastAsia="Arial" w:hAnsi="Arial"/>
          <w:sz w:val="39"/>
          <w:szCs w:val="39"/>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69621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62140" cy="8255"/>
                    </a:xfrm>
                    <a:prstGeom prst="rect">
                      <a:avLst/>
                    </a:prstGeom>
                    <a:noFill/>
                  </pic:spPr>
                </pic:pic>
              </a:graphicData>
            </a:graphic>
          </wp:anchor>
        </w:drawing>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on behalf of the Board of Micron Technology, Inc., for use at the Annual Meeting to be held on January 15, 2026, at 10:00 a.m., Mountain Standard Time, or at any adjournment or postponement thereof. The purpose of the Annual Meeting is set forth herein and in the accompanying Notice.</w:t>
      </w:r>
    </w:p>
    <w:p>
      <w:pPr>
        <w:spacing w:after="0" w:line="190"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DO I ATTEND AND PARTICIPATE IN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via a live webcast, and there will not be a physical meeting location.</w:t>
      </w:r>
    </w:p>
    <w:p>
      <w:pPr>
        <w:spacing w:after="0" w:line="23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You will be able to attend the Annual Meeting online and to vote your shares electronically on the virtual meeting platform by visiting www.virtualshareholdermeeting.com/MU2025 and entering the 16-digit control number included in the Notice, on your proxy card, or in the instructions that accompanied your proxy materials. Even if you have already submitted your vote, you can still vote at the meeting by using the virtual meeting platform. Any previous votes submitted via Internet, telephone, or mail will be superseded by the vote cast at the virtual meeting.</w:t>
      </w:r>
    </w:p>
    <w:p>
      <w:pPr>
        <w:spacing w:after="0" w:line="204"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Shareholders will be able to submit questions before the Annual Meeting through www.proxyvote.com or during the Annual Meeting using the virtual meeting platform. Relevant questions submitted before or during the Annual Meeting may be addressed at the Annual Meeting or after the Annual Meeting in the Investor Relations section of our website at www.micron.com.</w:t>
      </w:r>
    </w:p>
    <w:p>
      <w:pPr>
        <w:spacing w:after="0" w:line="196"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We encourage you to access the Annual Meeting before it begins. Online check-in will start approximately 15 minutes before the Annual Meeting. If you have difficulty accessing the meeting or other technical or logistical issues, please call the technical support number that will be posted on the virtual Annual Meeting login page. We will have technicians available to assist you.</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MATTERS AM I VOTING ON?</w:t>
      </w:r>
    </w:p>
    <w:p>
      <w:pPr>
        <w:spacing w:after="0" w:line="324" w:lineRule="exact"/>
        <w:rPr>
          <w:sz w:val="20"/>
          <w:szCs w:val="20"/>
          <w:color w:val="auto"/>
        </w:rPr>
      </w:pPr>
    </w:p>
    <w:p>
      <w:pPr>
        <w:ind w:left="720" w:hanging="420"/>
        <w:spacing w:after="0"/>
        <w:tabs>
          <w:tab w:leader="none" w:pos="720" w:val="left"/>
        </w:tabs>
        <w:numPr>
          <w:ilvl w:val="0"/>
          <w:numId w:val="91"/>
        </w:numPr>
        <w:rPr>
          <w:rFonts w:ascii="Arial" w:cs="Arial" w:eastAsia="Arial" w:hAnsi="Arial"/>
          <w:sz w:val="18"/>
          <w:szCs w:val="18"/>
          <w:b w:val="1"/>
          <w:bCs w:val="1"/>
          <w:color w:val="BD03F7"/>
        </w:rPr>
      </w:pPr>
      <w:r>
        <w:rPr>
          <w:rFonts w:ascii="Arial" w:cs="Arial" w:eastAsia="Arial" w:hAnsi="Arial"/>
          <w:sz w:val="16"/>
          <w:szCs w:val="16"/>
          <w:color w:val="auto"/>
        </w:rPr>
        <w:t>To elect eight (8) directors to our Board to serve for the ensuing year and until their successors are elected and qualified;</w:t>
      </w:r>
    </w:p>
    <w:p>
      <w:pPr>
        <w:spacing w:after="0" w:line="20" w:lineRule="exact"/>
        <w:rPr>
          <w:rFonts w:ascii="Arial" w:cs="Arial" w:eastAsia="Arial" w:hAnsi="Arial"/>
          <w:sz w:val="18"/>
          <w:szCs w:val="18"/>
          <w:b w:val="1"/>
          <w:bCs w:val="1"/>
          <w:color w:val="BD03F7"/>
        </w:rPr>
      </w:pPr>
    </w:p>
    <w:p>
      <w:pPr>
        <w:ind w:left="300"/>
        <w:spacing w:after="0"/>
        <w:rPr>
          <w:rFonts w:ascii="Arial" w:cs="Arial" w:eastAsia="Arial" w:hAnsi="Arial"/>
          <w:sz w:val="18"/>
          <w:szCs w:val="18"/>
          <w:b w:val="1"/>
          <w:bCs w:val="1"/>
          <w:color w:val="BD03F7"/>
        </w:rPr>
      </w:pPr>
      <w:r>
        <w:rPr>
          <w:rFonts w:ascii="Arial" w:cs="Arial" w:eastAsia="Arial" w:hAnsi="Arial"/>
          <w:sz w:val="18"/>
          <w:szCs w:val="18"/>
          <w:b w:val="1"/>
          <w:bCs w:val="1"/>
          <w:color w:val="BD03F7"/>
        </w:rPr>
        <w:t xml:space="preserve">2   </w:t>
      </w:r>
      <w:r>
        <w:rPr>
          <w:rFonts w:ascii="Arial" w:cs="Arial" w:eastAsia="Arial" w:hAnsi="Arial"/>
          <w:sz w:val="16"/>
          <w:szCs w:val="16"/>
          <w:color w:val="000000"/>
        </w:rPr>
        <w:t>To approve, on a non-binding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7132955" cy="1057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955" cy="1057910"/>
                    </a:xfrm>
                    <a:prstGeom prst="rect">
                      <a:avLst/>
                    </a:prstGeom>
                    <a:noFill/>
                  </pic:spPr>
                </pic:pic>
              </a:graphicData>
            </a:graphic>
          </wp:anchor>
        </w:drawing>
      </w:r>
    </w:p>
    <w:p>
      <w:pPr>
        <w:spacing w:after="0" w:line="1" w:lineRule="exact"/>
        <w:rPr>
          <w:sz w:val="20"/>
          <w:szCs w:val="20"/>
          <w:color w:val="auto"/>
        </w:rPr>
      </w:pPr>
    </w:p>
    <w:p>
      <w:pPr>
        <w:ind w:left="720" w:right="840" w:hanging="420"/>
        <w:spacing w:after="0" w:line="184" w:lineRule="auto"/>
        <w:tabs>
          <w:tab w:leader="none" w:pos="720" w:val="left"/>
        </w:tabs>
        <w:numPr>
          <w:ilvl w:val="0"/>
          <w:numId w:val="92"/>
        </w:numPr>
        <w:rPr>
          <w:rFonts w:ascii="Arial" w:cs="Arial" w:eastAsia="Arial" w:hAnsi="Arial"/>
          <w:sz w:val="27"/>
          <w:szCs w:val="27"/>
          <w:b w:val="1"/>
          <w:bCs w:val="1"/>
          <w:color w:val="BD03F7"/>
          <w:vertAlign w:val="subscript"/>
        </w:rPr>
      </w:pPr>
      <w:r>
        <w:rPr>
          <w:rFonts w:ascii="Arial" w:cs="Arial" w:eastAsia="Arial" w:hAnsi="Arial"/>
          <w:sz w:val="14"/>
          <w:szCs w:val="14"/>
          <w:color w:val="auto"/>
        </w:rPr>
        <w:t>To approve an amendment to the Company’s Restated Certificate of Incorporation adding a provision regarding exculpation of officers in accordance with Delaware law;</w:t>
      </w:r>
    </w:p>
    <w:p>
      <w:pPr>
        <w:spacing w:after="0" w:line="2" w:lineRule="exact"/>
        <w:rPr>
          <w:sz w:val="20"/>
          <w:szCs w:val="20"/>
          <w:color w:val="auto"/>
        </w:rPr>
      </w:pPr>
    </w:p>
    <w:p>
      <w:pPr>
        <w:ind w:left="720" w:right="800" w:hanging="420"/>
        <w:spacing w:after="0" w:line="182" w:lineRule="auto"/>
        <w:tabs>
          <w:tab w:leader="none" w:pos="720" w:val="left"/>
        </w:tabs>
        <w:numPr>
          <w:ilvl w:val="0"/>
          <w:numId w:val="93"/>
        </w:numPr>
        <w:rPr>
          <w:rFonts w:ascii="Arial" w:cs="Arial" w:eastAsia="Arial" w:hAnsi="Arial"/>
          <w:sz w:val="29"/>
          <w:szCs w:val="29"/>
          <w:b w:val="1"/>
          <w:bCs w:val="1"/>
          <w:color w:val="BD03F7"/>
          <w:vertAlign w:val="subscript"/>
        </w:rPr>
      </w:pPr>
      <w:r>
        <w:rPr>
          <w:rFonts w:ascii="Arial" w:cs="Arial" w:eastAsia="Arial" w:hAnsi="Arial"/>
          <w:sz w:val="14"/>
          <w:szCs w:val="14"/>
          <w:color w:val="auto"/>
        </w:rPr>
        <w:t>To ratify the appointment of PricewaterhouseCoopers LLP as our independent registered public accounting firm for the fiscal year ending September 3, 2026;</w:t>
      </w:r>
    </w:p>
    <w:p>
      <w:pPr>
        <w:spacing w:after="0" w:line="15" w:lineRule="exact"/>
        <w:rPr>
          <w:sz w:val="20"/>
          <w:szCs w:val="20"/>
          <w:color w:val="auto"/>
        </w:rPr>
      </w:pPr>
    </w:p>
    <w:p>
      <w:pPr>
        <w:ind w:left="720" w:hanging="420"/>
        <w:spacing w:after="0"/>
        <w:tabs>
          <w:tab w:leader="none" w:pos="720" w:val="left"/>
        </w:tabs>
        <w:numPr>
          <w:ilvl w:val="0"/>
          <w:numId w:val="94"/>
        </w:numPr>
        <w:rPr>
          <w:rFonts w:ascii="Arial" w:cs="Arial" w:eastAsia="Arial" w:hAnsi="Arial"/>
          <w:sz w:val="18"/>
          <w:szCs w:val="18"/>
          <w:b w:val="1"/>
          <w:bCs w:val="1"/>
          <w:color w:val="BD03F7"/>
        </w:rPr>
      </w:pPr>
      <w:r>
        <w:rPr>
          <w:rFonts w:ascii="Arial" w:cs="Arial" w:eastAsia="Arial" w:hAnsi="Arial"/>
          <w:sz w:val="16"/>
          <w:szCs w:val="16"/>
          <w:color w:val="auto"/>
        </w:rPr>
        <w:t>To vote on a shareholder proposal included in this Proxy Statement, if properly presented at the meeting; and</w:t>
      </w:r>
    </w:p>
    <w:p>
      <w:pPr>
        <w:spacing w:after="0" w:line="20" w:lineRule="exact"/>
        <w:rPr>
          <w:rFonts w:ascii="Arial" w:cs="Arial" w:eastAsia="Arial" w:hAnsi="Arial"/>
          <w:sz w:val="18"/>
          <w:szCs w:val="18"/>
          <w:b w:val="1"/>
          <w:bCs w:val="1"/>
          <w:color w:val="BD03F7"/>
        </w:rPr>
      </w:pPr>
    </w:p>
    <w:p>
      <w:pPr>
        <w:ind w:left="300"/>
        <w:spacing w:after="0"/>
        <w:rPr>
          <w:rFonts w:ascii="Arial" w:cs="Arial" w:eastAsia="Arial" w:hAnsi="Arial"/>
          <w:sz w:val="18"/>
          <w:szCs w:val="18"/>
          <w:b w:val="1"/>
          <w:bCs w:val="1"/>
          <w:color w:val="BD03F7"/>
        </w:rPr>
      </w:pPr>
      <w:r>
        <w:rPr>
          <w:rFonts w:ascii="Arial" w:cs="Arial" w:eastAsia="Arial" w:hAnsi="Arial"/>
          <w:sz w:val="18"/>
          <w:szCs w:val="18"/>
          <w:b w:val="1"/>
          <w:bCs w:val="1"/>
          <w:color w:val="BD03F7"/>
        </w:rPr>
        <w:t xml:space="preserve">6   </w:t>
      </w:r>
      <w:r>
        <w:rPr>
          <w:rFonts w:ascii="Arial" w:cs="Arial" w:eastAsia="Arial" w:hAnsi="Arial"/>
          <w:sz w:val="16"/>
          <w:szCs w:val="16"/>
          <w:color w:val="000000"/>
        </w:rPr>
        <w:t>To transact 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96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DOES THE BOARD RECOMMEND I VOTE?</w:t>
      </w:r>
    </w:p>
    <w:p>
      <w:pPr>
        <w:spacing w:after="0" w:line="310" w:lineRule="exact"/>
        <w:rPr>
          <w:sz w:val="20"/>
          <w:szCs w:val="20"/>
          <w:color w:val="auto"/>
        </w:rPr>
      </w:pPr>
    </w:p>
    <w:p>
      <w:pPr>
        <w:ind w:left="820" w:hanging="447"/>
        <w:spacing w:after="0"/>
        <w:tabs>
          <w:tab w:leader="none" w:pos="820" w:val="left"/>
        </w:tabs>
        <w:numPr>
          <w:ilvl w:val="0"/>
          <w:numId w:val="95"/>
        </w:numPr>
        <w:rPr>
          <w:rFonts w:ascii="Arial" w:cs="Arial" w:eastAsia="Arial" w:hAnsi="Arial"/>
          <w:sz w:val="18"/>
          <w:szCs w:val="18"/>
          <w:b w:val="1"/>
          <w:bCs w:val="1"/>
          <w:color w:val="BD03F7"/>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of the director nominees named herein, or their respective substitutes as may be appointed by the Board;</w:t>
      </w:r>
    </w:p>
    <w:p>
      <w:pPr>
        <w:spacing w:after="0" w:line="21" w:lineRule="exact"/>
        <w:rPr>
          <w:rFonts w:ascii="Arial" w:cs="Arial" w:eastAsia="Arial" w:hAnsi="Arial"/>
          <w:sz w:val="18"/>
          <w:szCs w:val="18"/>
          <w:b w:val="1"/>
          <w:bCs w:val="1"/>
          <w:color w:val="BD03F7"/>
        </w:rPr>
      </w:pPr>
    </w:p>
    <w:p>
      <w:pPr>
        <w:ind w:left="820" w:hanging="447"/>
        <w:spacing w:after="0"/>
        <w:tabs>
          <w:tab w:leader="none" w:pos="820" w:val="left"/>
        </w:tabs>
        <w:numPr>
          <w:ilvl w:val="0"/>
          <w:numId w:val="95"/>
        </w:numPr>
        <w:rPr>
          <w:rFonts w:ascii="Arial" w:cs="Arial" w:eastAsia="Arial" w:hAnsi="Arial"/>
          <w:sz w:val="18"/>
          <w:szCs w:val="18"/>
          <w:b w:val="1"/>
          <w:bCs w:val="1"/>
          <w:color w:val="BD03F7"/>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 non-binding resolution to approve the compensation of our named executive officers;</w:t>
      </w:r>
    </w:p>
    <w:p>
      <w:pPr>
        <w:spacing w:after="0" w:line="20" w:lineRule="exact"/>
        <w:rPr>
          <w:rFonts w:ascii="Arial" w:cs="Arial" w:eastAsia="Arial" w:hAnsi="Arial"/>
          <w:sz w:val="18"/>
          <w:szCs w:val="18"/>
          <w:b w:val="1"/>
          <w:bCs w:val="1"/>
          <w:color w:val="BD03F7"/>
        </w:rPr>
      </w:pPr>
    </w:p>
    <w:p>
      <w:pPr>
        <w:ind w:left="820"/>
        <w:spacing w:after="0" w:line="214" w:lineRule="auto"/>
        <w:rPr>
          <w:rFonts w:ascii="Arial" w:cs="Arial" w:eastAsia="Arial" w:hAnsi="Arial"/>
          <w:sz w:val="18"/>
          <w:szCs w:val="18"/>
          <w:b w:val="1"/>
          <w:bCs w:val="1"/>
          <w:color w:val="BD03F7"/>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an amendment to the Company’s Restated Certificate of Incorporation adding a provision regarding exculpation of officers in</w:t>
      </w:r>
    </w:p>
    <w:p>
      <w:pPr>
        <w:ind w:left="820" w:hanging="447"/>
        <w:spacing w:after="0" w:line="229" w:lineRule="auto"/>
        <w:tabs>
          <w:tab w:leader="none" w:pos="820" w:val="left"/>
        </w:tabs>
        <w:numPr>
          <w:ilvl w:val="0"/>
          <w:numId w:val="95"/>
        </w:numPr>
        <w:rPr>
          <w:rFonts w:ascii="Arial" w:cs="Arial" w:eastAsia="Arial" w:hAnsi="Arial"/>
          <w:sz w:val="18"/>
          <w:szCs w:val="18"/>
          <w:b w:val="1"/>
          <w:bCs w:val="1"/>
          <w:color w:val="BD03F7"/>
        </w:rPr>
      </w:pPr>
      <w:r>
        <w:rPr>
          <w:rFonts w:ascii="Arial" w:cs="Arial" w:eastAsia="Arial" w:hAnsi="Arial"/>
          <w:sz w:val="16"/>
          <w:szCs w:val="16"/>
          <w:color w:val="auto"/>
        </w:rPr>
        <w:t>accordance with Delaware law;</w:t>
      </w:r>
    </w:p>
    <w:p>
      <w:pPr>
        <w:spacing w:after="0" w:line="14" w:lineRule="exact"/>
        <w:rPr>
          <w:rFonts w:ascii="Arial" w:cs="Arial" w:eastAsia="Arial" w:hAnsi="Arial"/>
          <w:sz w:val="18"/>
          <w:szCs w:val="18"/>
          <w:b w:val="1"/>
          <w:bCs w:val="1"/>
          <w:color w:val="BD03F7"/>
        </w:rPr>
      </w:pPr>
    </w:p>
    <w:p>
      <w:pPr>
        <w:ind w:left="820" w:right="500" w:hanging="447"/>
        <w:spacing w:after="0" w:line="184" w:lineRule="auto"/>
        <w:tabs>
          <w:tab w:leader="none" w:pos="820" w:val="left"/>
        </w:tabs>
        <w:numPr>
          <w:ilvl w:val="0"/>
          <w:numId w:val="95"/>
        </w:numPr>
        <w:rPr>
          <w:rFonts w:ascii="Arial" w:cs="Arial" w:eastAsia="Arial" w:hAnsi="Arial"/>
          <w:sz w:val="27"/>
          <w:szCs w:val="27"/>
          <w:b w:val="1"/>
          <w:bCs w:val="1"/>
          <w:color w:val="BD03F7"/>
          <w:vertAlign w:val="subscript"/>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ratification of the appointment of PricewaterhouseCoopers LLP as our independent registered public accounting firm for the fiscal year</w:t>
      </w:r>
      <w:r>
        <w:rPr>
          <w:rFonts w:ascii="Arial" w:cs="Arial" w:eastAsia="Arial" w:hAnsi="Arial"/>
          <w:sz w:val="14"/>
          <w:szCs w:val="14"/>
          <w:b w:val="1"/>
          <w:bCs w:val="1"/>
          <w:color w:val="auto"/>
        </w:rPr>
        <w:t xml:space="preserve"> </w:t>
      </w:r>
      <w:r>
        <w:rPr>
          <w:rFonts w:ascii="Arial" w:cs="Arial" w:eastAsia="Arial" w:hAnsi="Arial"/>
          <w:sz w:val="14"/>
          <w:szCs w:val="14"/>
          <w:color w:val="auto"/>
        </w:rPr>
        <w:t>ending September 3, 2026; and</w:t>
      </w:r>
    </w:p>
    <w:p>
      <w:pPr>
        <w:spacing w:after="0" w:line="1" w:lineRule="exact"/>
        <w:rPr>
          <w:rFonts w:ascii="Arial" w:cs="Arial" w:eastAsia="Arial" w:hAnsi="Arial"/>
          <w:sz w:val="27"/>
          <w:szCs w:val="27"/>
          <w:b w:val="1"/>
          <w:bCs w:val="1"/>
          <w:color w:val="BD03F7"/>
          <w:vertAlign w:val="subscript"/>
        </w:rPr>
      </w:pPr>
    </w:p>
    <w:p>
      <w:pPr>
        <w:ind w:left="820" w:hanging="447"/>
        <w:spacing w:after="0"/>
        <w:tabs>
          <w:tab w:leader="none" w:pos="820" w:val="left"/>
        </w:tabs>
        <w:numPr>
          <w:ilvl w:val="0"/>
          <w:numId w:val="95"/>
        </w:numPr>
        <w:rPr>
          <w:rFonts w:ascii="Arial" w:cs="Arial" w:eastAsia="Arial" w:hAnsi="Arial"/>
          <w:sz w:val="18"/>
          <w:szCs w:val="18"/>
          <w:b w:val="1"/>
          <w:bCs w:val="1"/>
          <w:color w:val="BD03F7"/>
        </w:rPr>
      </w:pPr>
      <w:r>
        <w:rPr>
          <w:rFonts w:ascii="Arial" w:cs="Arial" w:eastAsia="Arial" w:hAnsi="Arial"/>
          <w:sz w:val="16"/>
          <w:szCs w:val="16"/>
          <w:b w:val="1"/>
          <w:bCs w:val="1"/>
          <w:color w:val="auto"/>
        </w:rPr>
        <w:t xml:space="preserve">AGAINST </w:t>
      </w:r>
      <w:r>
        <w:rPr>
          <w:rFonts w:ascii="Arial" w:cs="Arial" w:eastAsia="Arial" w:hAnsi="Arial"/>
          <w:sz w:val="16"/>
          <w:szCs w:val="16"/>
          <w:color w:val="auto"/>
        </w:rPr>
        <w:t>the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-898525</wp:posOffset>
            </wp:positionV>
            <wp:extent cx="7132955" cy="9131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955" cy="91313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WHO IS ENTITLED TO VOTE AT THE MEETING?</w:t>
      </w:r>
    </w:p>
    <w:p>
      <w:pPr>
        <w:spacing w:after="0" w:line="252"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Shareholders of record at the close of business on November 17, 2025 (the “Record Date”) are entitled to receive notice of and to vote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189230</wp:posOffset>
            </wp:positionV>
            <wp:extent cx="6808470" cy="27476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08470" cy="27476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both"/>
        <w:ind w:left="2460" w:right="1400"/>
        <w:spacing w:after="0" w:line="283" w:lineRule="auto"/>
        <w:rPr>
          <w:sz w:val="20"/>
          <w:szCs w:val="20"/>
          <w:color w:val="auto"/>
        </w:rPr>
      </w:pPr>
      <w:r>
        <w:rPr>
          <w:rFonts w:ascii="Arial" w:cs="Arial" w:eastAsia="Arial" w:hAnsi="Arial"/>
          <w:sz w:val="17"/>
          <w:szCs w:val="17"/>
          <w:color w:val="auto"/>
        </w:rPr>
        <w:t xml:space="preserve">Vote through the </w:t>
      </w:r>
      <w:r>
        <w:rPr>
          <w:rFonts w:ascii="Arial" w:cs="Arial" w:eastAsia="Arial" w:hAnsi="Arial"/>
          <w:sz w:val="17"/>
          <w:szCs w:val="17"/>
          <w:b w:val="1"/>
          <w:bCs w:val="1"/>
          <w:color w:val="BD03F7"/>
        </w:rPr>
        <w:t>internet</w:t>
      </w:r>
      <w:r>
        <w:rPr>
          <w:rFonts w:ascii="Arial" w:cs="Arial" w:eastAsia="Arial" w:hAnsi="Arial"/>
          <w:sz w:val="17"/>
          <w:szCs w:val="17"/>
          <w:color w:val="auto"/>
        </w:rPr>
        <w:t xml:space="preserve"> at www.proxyvote.com, using the instructions included in the notice regarding the internet availability of proxy materials, the proxy card, or voting instruction card.</w:t>
      </w:r>
    </w:p>
    <w:p>
      <w:pPr>
        <w:spacing w:after="0" w:line="264"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 xml:space="preserve">Vote by </w:t>
      </w:r>
      <w:r>
        <w:rPr>
          <w:rFonts w:ascii="Arial" w:cs="Arial" w:eastAsia="Arial" w:hAnsi="Arial"/>
          <w:sz w:val="18"/>
          <w:szCs w:val="18"/>
          <w:b w:val="1"/>
          <w:bCs w:val="1"/>
          <w:color w:val="BD03F7"/>
        </w:rPr>
        <w:t>telephone</w:t>
      </w:r>
      <w:r>
        <w:rPr>
          <w:rFonts w:ascii="Arial" w:cs="Arial" w:eastAsia="Arial" w:hAnsi="Arial"/>
          <w:sz w:val="18"/>
          <w:szCs w:val="18"/>
          <w:color w:val="auto"/>
        </w:rPr>
        <w:t xml:space="preserve"> (1-800-690-6903) using the instructions on the proxy card or voting instruction</w:t>
      </w:r>
    </w:p>
    <w:p>
      <w:pPr>
        <w:ind w:left="2460" w:right="800"/>
        <w:spacing w:after="0" w:line="228" w:lineRule="auto"/>
        <w:rPr>
          <w:sz w:val="20"/>
          <w:szCs w:val="20"/>
          <w:color w:val="auto"/>
        </w:rPr>
      </w:pPr>
      <w:r>
        <w:rPr>
          <w:rFonts w:ascii="Arial" w:cs="Arial" w:eastAsia="Arial" w:hAnsi="Arial"/>
          <w:sz w:val="18"/>
          <w:szCs w:val="18"/>
          <w:color w:val="auto"/>
        </w:rPr>
        <w:t>card if you received a paper copy of the proxy materials. Have your proxy card in hand when you call and then follow the instructions.</w:t>
      </w:r>
    </w:p>
    <w:p>
      <w:pPr>
        <w:spacing w:after="0" w:line="38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 xml:space="preserve">Complete and return a </w:t>
      </w:r>
      <w:r>
        <w:rPr>
          <w:rFonts w:ascii="Arial" w:cs="Arial" w:eastAsia="Arial" w:hAnsi="Arial"/>
          <w:sz w:val="18"/>
          <w:szCs w:val="18"/>
          <w:b w:val="1"/>
          <w:bCs w:val="1"/>
          <w:color w:val="BD03F7"/>
        </w:rPr>
        <w:t>written proxy or voting instruction card.</w:t>
      </w:r>
    </w:p>
    <w:p>
      <w:pPr>
        <w:spacing w:after="0" w:line="200" w:lineRule="exact"/>
        <w:rPr>
          <w:sz w:val="20"/>
          <w:szCs w:val="20"/>
          <w:color w:val="auto"/>
        </w:rPr>
      </w:pPr>
    </w:p>
    <w:p>
      <w:pPr>
        <w:spacing w:after="0" w:line="39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 xml:space="preserve">Attend the meeting </w:t>
      </w:r>
      <w:r>
        <w:rPr>
          <w:rFonts w:ascii="Arial" w:cs="Arial" w:eastAsia="Arial" w:hAnsi="Arial"/>
          <w:sz w:val="18"/>
          <w:szCs w:val="18"/>
          <w:b w:val="1"/>
          <w:bCs w:val="1"/>
          <w:color w:val="BD03F7"/>
        </w:rPr>
        <w:t>electronically</w:t>
      </w:r>
      <w:r>
        <w:rPr>
          <w:rFonts w:ascii="Arial" w:cs="Arial" w:eastAsia="Arial" w:hAnsi="Arial"/>
          <w:sz w:val="18"/>
          <w:szCs w:val="18"/>
          <w:color w:val="auto"/>
        </w:rPr>
        <w:t xml:space="preserve"> on the virtual meeting platform.</w:t>
      </w: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Internet and telephone voting are available 24 hours a day, and if you use one of those methods, you do not need to return a</w:t>
      </w:r>
    </w:p>
    <w:p>
      <w:pPr>
        <w:ind w:left="440"/>
        <w:spacing w:after="0" w:line="202" w:lineRule="auto"/>
        <w:rPr>
          <w:sz w:val="20"/>
          <w:szCs w:val="20"/>
          <w:color w:val="auto"/>
        </w:rPr>
      </w:pPr>
      <w:r>
        <w:rPr>
          <w:rFonts w:ascii="Arial" w:cs="Arial" w:eastAsia="Arial" w:hAnsi="Arial"/>
          <w:sz w:val="18"/>
          <w:szCs w:val="18"/>
          <w:color w:val="auto"/>
        </w:rPr>
        <w:t>paper proxy or voting instruction card. Unless you are planning to vote at the Annual Meeting, your vote must be received by</w:t>
      </w:r>
    </w:p>
    <w:p>
      <w:pPr>
        <w:ind w:left="3080"/>
        <w:spacing w:after="0"/>
        <w:rPr>
          <w:sz w:val="20"/>
          <w:szCs w:val="20"/>
          <w:color w:val="auto"/>
        </w:rPr>
      </w:pPr>
      <w:r>
        <w:rPr>
          <w:rFonts w:ascii="Arial" w:cs="Arial" w:eastAsia="Arial" w:hAnsi="Arial"/>
          <w:sz w:val="18"/>
          <w:szCs w:val="18"/>
          <w:color w:val="auto"/>
        </w:rPr>
        <w:t>11:59 p.m., Eastern Standard Time, on January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176530</wp:posOffset>
            </wp:positionV>
            <wp:extent cx="65100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5100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IS THE COMMON STOCK STATUS ON THE RECORD DATE?</w:t>
      </w:r>
    </w:p>
    <w:p>
      <w:pPr>
        <w:spacing w:after="0" w:line="252"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We have one class of stock outstanding, Common Stock. As of the Record Date, 1,125,349,754 shares of Common Stock were issued and outstanding and entitled to vote.</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IS A QUORUM?</w:t>
      </w:r>
    </w:p>
    <w:p>
      <w:pPr>
        <w:spacing w:after="0" w:line="25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required quorum for the transaction of business at the Annual Meeting is a majority of the voting power of shares of our Common Stock issued and outstanding on the Record Date and entitled to vote thereat, present (virtually) in person or represented by proxy. Shares that are voted “FOR,” “AGAINST,” or “ABSTAIN” are treated as being present at the Annual Meeting for the purposes of establishing a quorum. Broker non-votes will also be considered present and entitled to vote for purposes of determining the presence or absence of a quorum for the transaction of business.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ARE VOTES COUNTED?</w:t>
      </w:r>
    </w:p>
    <w:p>
      <w:pPr>
        <w:spacing w:after="0" w:line="252"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Under the Delaware General Corporation Law, our Restated Certificate of Incorporation, and our bylaws, each shareholder will be entitled to one vote for each share of Common Stock held at the Record Date for all matters.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MANY VOTES ARE NEEDED FOR APPROVAL OF EACH MATTER AT THE ANNUAL MEETING?</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Shares held in a brokerage account or by another nominee are considered held in “street name” by the shareholder or “beneficial owner.” A broker or nominee holding shares for a beneficial owner does not have discretion to vote on non-routine matters unless the broker or nominee receives specific voting instructions from the beneficial owner of the shares. A broker non-vote occurs when the broker or nominee does not receive voting instructions from the beneficial owner and does not have discretion to direct the voting of the shares on a non-routine matter. Proposal 1 relating to the election of directors and Proposals 2, 3 and 5 are non-routine matters and therefore, brokers may not vote on such matters without specific voting instructions from the beneficial holder. Proposal 4 is a routine matter and, as a result, we do not expect broker non-votes on this proposal.</w:t>
      </w:r>
    </w:p>
    <w:p>
      <w:pPr>
        <w:spacing w:after="0" w:line="20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Directors will be elected if he or she receives the affirmative vote of a majority of the votes cast with respect to his or her election (in other words, the number of shares voted “FOR” a director must exceed the number of votes cast “AGAINST” that director), with abstentions and broker-non votes not counted as a vote cast “FOR” or “AGAINST” that director’s election. With respect to Proposal 3, the amendment of our Restated Certificate of Incorporation, the “FOR” vote of the holders of a majority of the voting power of our outstanding shares of Common Stock entitled to vote thereon is required to approve the amendment. Abstentions and broker non-votes will have the same effect as a vote “AGAINST” such proposal. With respect to all other items of business to be considered at the meeting, the “FOR” vote of the holders of a majority of the voting power of the shares of Common Stock present (virtually) in person or represented by proxy and entitled to vote on the subject matter is required in order for such matter to be considered approved by the shareholders. For such other proposals, abstentions will have the same effect as a vote “AGAINST” such items of business, and broker non-votes, if any, will have no effect on the outcome of the proposal.</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IS THE EFFECT OF GIVING MY PROXY?</w:t>
      </w:r>
    </w:p>
    <w:p>
      <w:pPr>
        <w:spacing w:after="0" w:line="26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 xml:space="preserve">The shares of Common Stock represented by all properly executed proxies received by 11:59 p.m. Eastern Standard Time, on January 14, 2026, will be voted in accordance with the directions given by the shareholders. </w:t>
      </w:r>
      <w:r>
        <w:rPr>
          <w:rFonts w:ascii="Arial" w:cs="Arial" w:eastAsia="Arial" w:hAnsi="Arial"/>
          <w:sz w:val="17"/>
          <w:szCs w:val="17"/>
          <w:b w:val="1"/>
          <w:bCs w:val="1"/>
          <w:color w:val="auto"/>
        </w:rPr>
        <w:t>If no instructions are given with respect to a properly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executed proxy timely received by us, the shares of Common Stock represented thereby will be voted in accordance with the recommendations of our Board as described above. </w:t>
      </w:r>
      <w:r>
        <w:rPr>
          <w:rFonts w:ascii="Arial" w:cs="Arial" w:eastAsia="Arial" w:hAnsi="Arial"/>
          <w:sz w:val="17"/>
          <w:szCs w:val="17"/>
          <w:color w:val="auto"/>
        </w:rPr>
        <w:t>If any matter not described in the Proxy Statement is properly presented at the</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the proxy holders will use their own judgment to determine how to vote your shares. If the Annual Meeting is adjourned, the proxy holders can vote your shares on the new meeting date as well, unless you have properly revoked your proxy, as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CAN I CHANGE MY VOTE?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 may change your vote or revoke your proxy before the Annual Meeting by:</w:t>
      </w:r>
    </w:p>
    <w:p>
      <w:pPr>
        <w:spacing w:after="0" w:line="308" w:lineRule="exact"/>
        <w:rPr>
          <w:sz w:val="20"/>
          <w:szCs w:val="20"/>
          <w:color w:val="auto"/>
        </w:rPr>
      </w:pPr>
    </w:p>
    <w:p>
      <w:pPr>
        <w:ind w:left="820" w:right="160" w:hanging="447"/>
        <w:spacing w:after="0" w:line="230" w:lineRule="auto"/>
        <w:tabs>
          <w:tab w:leader="none" w:pos="820" w:val="left"/>
        </w:tabs>
        <w:numPr>
          <w:ilvl w:val="0"/>
          <w:numId w:val="96"/>
        </w:numPr>
        <w:rPr>
          <w:rFonts w:ascii="Arial" w:cs="Arial" w:eastAsia="Arial" w:hAnsi="Arial"/>
          <w:sz w:val="34"/>
          <w:szCs w:val="34"/>
          <w:b w:val="1"/>
          <w:bCs w:val="1"/>
          <w:color w:val="BD03F7"/>
          <w:vertAlign w:val="subscript"/>
        </w:rPr>
      </w:pPr>
      <w:r>
        <w:rPr>
          <w:rFonts w:ascii="Arial" w:cs="Arial" w:eastAsia="Arial" w:hAnsi="Arial"/>
          <w:sz w:val="15"/>
          <w:szCs w:val="15"/>
          <w:color w:val="auto"/>
        </w:rPr>
        <w:t>entering a new vote by Internet or telephone by following the instructions above (subject to the applicable deadlines for each method as set forth above);</w:t>
      </w:r>
    </w:p>
    <w:p>
      <w:pPr>
        <w:ind w:left="820"/>
        <w:spacing w:after="0" w:line="232" w:lineRule="auto"/>
        <w:rPr>
          <w:rFonts w:ascii="Arial" w:cs="Arial" w:eastAsia="Arial" w:hAnsi="Arial"/>
          <w:sz w:val="34"/>
          <w:szCs w:val="34"/>
          <w:b w:val="1"/>
          <w:bCs w:val="1"/>
          <w:color w:val="BD03F7"/>
          <w:vertAlign w:val="subscript"/>
        </w:rPr>
      </w:pPr>
      <w:r>
        <w:rPr>
          <w:rFonts w:ascii="Arial" w:cs="Arial" w:eastAsia="Arial" w:hAnsi="Arial"/>
          <w:sz w:val="16"/>
          <w:szCs w:val="16"/>
          <w:color w:val="auto"/>
        </w:rPr>
        <w:t>completing and returning a later-dated written proxy card or voting instruction card using the instructions on the proxy card or voting instruction</w:t>
      </w:r>
    </w:p>
    <w:p>
      <w:pPr>
        <w:ind w:left="820" w:hanging="447"/>
        <w:spacing w:after="0" w:line="229" w:lineRule="auto"/>
        <w:tabs>
          <w:tab w:leader="none" w:pos="820" w:val="left"/>
        </w:tabs>
        <w:numPr>
          <w:ilvl w:val="0"/>
          <w:numId w:val="96"/>
        </w:numPr>
        <w:rPr>
          <w:rFonts w:ascii="Arial" w:cs="Arial" w:eastAsia="Arial" w:hAnsi="Arial"/>
          <w:sz w:val="18"/>
          <w:szCs w:val="18"/>
          <w:b w:val="1"/>
          <w:bCs w:val="1"/>
          <w:color w:val="BD03F7"/>
        </w:rPr>
      </w:pPr>
      <w:r>
        <w:rPr>
          <w:rFonts w:ascii="Arial" w:cs="Arial" w:eastAsia="Arial" w:hAnsi="Arial"/>
          <w:sz w:val="16"/>
          <w:szCs w:val="16"/>
          <w:color w:val="auto"/>
        </w:rPr>
        <w:t>card;</w:t>
      </w:r>
    </w:p>
    <w:p>
      <w:pPr>
        <w:spacing w:after="0" w:line="14" w:lineRule="exact"/>
        <w:rPr>
          <w:rFonts w:ascii="Arial" w:cs="Arial" w:eastAsia="Arial" w:hAnsi="Arial"/>
          <w:sz w:val="18"/>
          <w:szCs w:val="18"/>
          <w:b w:val="1"/>
          <w:bCs w:val="1"/>
          <w:color w:val="BD03F7"/>
        </w:rPr>
      </w:pPr>
    </w:p>
    <w:p>
      <w:pPr>
        <w:ind w:left="820"/>
        <w:spacing w:after="0" w:line="214" w:lineRule="auto"/>
        <w:rPr>
          <w:rFonts w:ascii="Arial" w:cs="Arial" w:eastAsia="Arial" w:hAnsi="Arial"/>
          <w:sz w:val="18"/>
          <w:szCs w:val="18"/>
          <w:b w:val="1"/>
          <w:bCs w:val="1"/>
          <w:color w:val="BD03F7"/>
        </w:rPr>
      </w:pPr>
      <w:r>
        <w:rPr>
          <w:rFonts w:ascii="Arial" w:cs="Arial" w:eastAsia="Arial" w:hAnsi="Arial"/>
          <w:sz w:val="16"/>
          <w:szCs w:val="16"/>
          <w:color w:val="auto"/>
        </w:rPr>
        <w:t>delivering a written notice of revocation to us at Micron Technology, Inc., Attn.: Corporate Secretary, 8000 South Federal Way, Boise, Idaho 83716</w:t>
      </w:r>
    </w:p>
    <w:p>
      <w:pPr>
        <w:ind w:left="820" w:hanging="447"/>
        <w:spacing w:after="0" w:line="229" w:lineRule="auto"/>
        <w:tabs>
          <w:tab w:leader="none" w:pos="820" w:val="left"/>
        </w:tabs>
        <w:numPr>
          <w:ilvl w:val="0"/>
          <w:numId w:val="96"/>
        </w:numPr>
        <w:rPr>
          <w:rFonts w:ascii="Arial" w:cs="Arial" w:eastAsia="Arial" w:hAnsi="Arial"/>
          <w:sz w:val="18"/>
          <w:szCs w:val="18"/>
          <w:b w:val="1"/>
          <w:bCs w:val="1"/>
          <w:color w:val="BD03F7"/>
        </w:rPr>
      </w:pPr>
      <w:r>
        <w:rPr>
          <w:rFonts w:ascii="Arial" w:cs="Arial" w:eastAsia="Arial" w:hAnsi="Arial"/>
          <w:sz w:val="16"/>
          <w:szCs w:val="16"/>
          <w:color w:val="auto"/>
        </w:rPr>
        <w:t>or corporatesecretary@micron.com; or</w:t>
      </w:r>
    </w:p>
    <w:p>
      <w:pPr>
        <w:spacing w:after="0" w:line="14" w:lineRule="exact"/>
        <w:rPr>
          <w:rFonts w:ascii="Arial" w:cs="Arial" w:eastAsia="Arial" w:hAnsi="Arial"/>
          <w:sz w:val="18"/>
          <w:szCs w:val="18"/>
          <w:b w:val="1"/>
          <w:bCs w:val="1"/>
          <w:color w:val="BD03F7"/>
        </w:rPr>
      </w:pPr>
    </w:p>
    <w:p>
      <w:pPr>
        <w:ind w:left="820" w:hanging="447"/>
        <w:spacing w:after="0"/>
        <w:tabs>
          <w:tab w:leader="none" w:pos="820" w:val="left"/>
        </w:tabs>
        <w:numPr>
          <w:ilvl w:val="0"/>
          <w:numId w:val="96"/>
        </w:numPr>
        <w:rPr>
          <w:rFonts w:ascii="Arial" w:cs="Arial" w:eastAsia="Arial" w:hAnsi="Arial"/>
          <w:sz w:val="18"/>
          <w:szCs w:val="18"/>
          <w:b w:val="1"/>
          <w:bCs w:val="1"/>
          <w:color w:val="BD03F7"/>
        </w:rPr>
      </w:pPr>
      <w:r>
        <w:rPr>
          <w:rFonts w:ascii="Arial" w:cs="Arial" w:eastAsia="Arial" w:hAnsi="Arial"/>
          <w:sz w:val="16"/>
          <w:szCs w:val="16"/>
          <w:color w:val="auto"/>
        </w:rPr>
        <w:t>attending and voting at the annual Meeting (although attendance at the Annual Meeting will not, by itself, revoke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-864235</wp:posOffset>
            </wp:positionV>
            <wp:extent cx="7132955" cy="8788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955" cy="87884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Street name holders should follow the instructions provided by their broker, bank or other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98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spacing w:after="0" w:line="308" w:lineRule="auto"/>
        <w:rPr>
          <w:sz w:val="20"/>
          <w:szCs w:val="20"/>
          <w:color w:val="auto"/>
        </w:rPr>
      </w:pPr>
      <w:r>
        <w:rPr>
          <w:rFonts w:ascii="Arial" w:cs="Arial" w:eastAsia="Arial" w:hAnsi="Arial"/>
          <w:sz w:val="21"/>
          <w:szCs w:val="21"/>
          <w:b w:val="1"/>
          <w:bCs w:val="1"/>
          <w:color w:val="auto"/>
        </w:rPr>
        <w:t>WHY DID I RECEIVE A NOTICE REGARDING THE AVAILABILITY OF PROXY MATERIALS ON THE INTERNET INSTEAD OF A FULL SET OF PROXY MATERIALS?</w:t>
      </w:r>
    </w:p>
    <w:p>
      <w:pPr>
        <w:spacing w:after="0" w:line="1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As permitted by the SEC, we are making our proxy materials available to our shareholders electronically via the Internet. We have mailed many of our shareholders a Notice containing instructions on how to access this Proxy Statement and our Annual Report on Form 10-K for Fiscal 2025 and vote online. If you received a Notice by mail, you will not receive a printed copy of the proxy materials in the mail. Instead, the Notice instructs you on how to access and review all of the important information contained in the Proxy Statement and Annual Report on Form 10-K for Fiscal 2025. The Notice also instructs you on how you may submit your voting instructions over the Internet.</w:t>
      </w:r>
    </w:p>
    <w:p>
      <w:pPr>
        <w:spacing w:after="0" w:line="20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ARE PROXIES SOLICITED AT THE ANNUAL MEETING?</w:t>
      </w:r>
    </w:p>
    <w:p>
      <w:pPr>
        <w:spacing w:after="0" w:line="2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Board of Directors is soliciting proxies for use at the Annual Meeting. 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have engaged the services of D.F. King &amp; Co., a proxy solicitation firm, in connection with the solicitation of proxies. Although the exact cost of the solicitation services is not known at this time, it is anticipated that the fees paid by us for these services will be approximately $15,000, plus reasonable out-of-pocket expenses.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WHERE CAN I FIND THE VOTING RESULTS OF THE ANNUAL MEETING?</w:t>
      </w:r>
    </w:p>
    <w:p>
      <w:pPr>
        <w:spacing w:after="0" w:line="23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212529"/>
        </w:rPr>
        <w:t>We will disclose voting results on a Current Report on Form 8-K to be filed with the SEC within four business days after the Annual Meeting. If final voting results are not available to us in time to include them in such Current Report on Form 8-K, we will file a Current Report on Form 8-K to publish preliminary results and will provide the final results in an amendment to the Current Report on Form 8-K as soon as final results become available.</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 and Recommendation of Director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Procedures</w:t>
      </w:r>
    </w:p>
    <w:p>
      <w:pPr>
        <w:spacing w:after="0" w:line="2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bylaws permit shareholders to nominate directors at an annual meeting of shareholders or at a special meeting at which directors are to be elected. A shareholder may nominate a director candidate by delivering a written notice to our Corporate Secretary at our principal executive offices. Such notice must comply with the timing and disclosure requirements set forth in our bylaws. A nomination will not be included in our proxy materials unless submitted in compliance with the proxy access process described below. A copy of our bylaws can be found on the Corporate Governance page of our website at www.micron.com and is available in print without charge upon request to corporatesecretary@micron.com.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Access</w:t>
      </w:r>
    </w:p>
    <w:p>
      <w:pPr>
        <w:spacing w:after="0" w:line="2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bylaws also permit a shareholder or a group of up to 20 shareholders owning continuously for at least three years shares representing in the aggregate at least 3% of the total voting power of the Company’s outstanding Common Stock (collectively, an “eligible shareholder”) to nominate and include shareholder-nominated director candidates in our proxy materials for annual meetings of shareholders. An eligible shareholder meeting the specified eligibility requirements set forth in the bylaws is generally permitted to nominate the greater of (i) two director nominees and (ii) 20% of the number of directors in office. Use of the proxy access process to submit shareholder nominees is subject to additional eligibility, procedural, and disclosure requirements set forth in Article II, Section 11 of our bylaws. A copy of our bylaws can be found on the Corporate Governance page of our website at www.micron.com and is available in print without charge upon request to corporatesecretary@micron.com.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780"/>
        <w:spacing w:after="0"/>
        <w:rPr>
          <w:sz w:val="20"/>
          <w:szCs w:val="20"/>
          <w:color w:val="auto"/>
        </w:rPr>
      </w:pPr>
      <w:r>
        <w:rPr>
          <w:sz w:val="1"/>
          <w:szCs w:val="1"/>
          <w:color w:val="auto"/>
        </w:rPr>
        <w:drawing>
          <wp:inline distT="0" distB="0" distL="0" distR="0">
            <wp:extent cx="776605" cy="16192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1583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w:t>
      </w:r>
    </w:p>
    <w:p>
      <w:pPr>
        <w:spacing w:after="0" w:line="25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Shareholders may also recommend candidates for consideration by our Governance and Sustainability Committee. Shareholders recommending candidates for consideration by our Governance and Sustainability Committee should submit their written recommendation no later than one hundred twenty (120) calendar days in advance of the date of our proxy statement released in connection with the previous year's annual meeting of shareholders.</w:t>
      </w:r>
    </w:p>
    <w:p>
      <w:pPr>
        <w:spacing w:after="0" w:line="20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The Governance and Sustainability Committee will evaluate director candidates recommended by shareholders for election to our Board in the same manner and using the same criteria as it uses for any other director candidate. If the Governance and Sustainability Committee determines that a shareholder-recommended candidate is suitable for membership on our Board, it will include the candidate in the pool of candidates to be considered for nomination upon the occurrence of the next vacancy on our Board or in connection with the next annual meeting of shareholders.</w:t>
      </w:r>
    </w:p>
    <w:p>
      <w:pPr>
        <w:spacing w:after="0" w:line="253" w:lineRule="exact"/>
        <w:rPr>
          <w:sz w:val="20"/>
          <w:szCs w:val="20"/>
          <w:color w:val="auto"/>
        </w:rPr>
      </w:pPr>
    </w:p>
    <w:p>
      <w:pPr>
        <w:ind w:left="20" w:right="1000"/>
        <w:spacing w:after="0" w:line="295" w:lineRule="auto"/>
        <w:rPr>
          <w:sz w:val="20"/>
          <w:szCs w:val="20"/>
          <w:color w:val="auto"/>
        </w:rPr>
      </w:pPr>
      <w:r>
        <w:rPr>
          <w:rFonts w:ascii="Arial" w:cs="Arial" w:eastAsia="Arial" w:hAnsi="Arial"/>
          <w:sz w:val="36"/>
          <w:szCs w:val="36"/>
          <w:b w:val="1"/>
          <w:bCs w:val="1"/>
          <w:color w:val="auto"/>
        </w:rPr>
        <w:t>INCORPORATION BY REFERENCE OF CERTAIN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0650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44"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We incorporate by reference in this Proxy Statement the “Equity Compensation Plans” note to our Consolidated Financial Statements included in our Annual Report on Form 10-K for Fiscal 2025. The Annual Report on Form 10-K for Fiscal 2025 accompanies this Proxy</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 xml:space="preserve">Statement. </w:t>
      </w:r>
      <w:r>
        <w:rPr>
          <w:rFonts w:ascii="Arial" w:cs="Arial" w:eastAsia="Arial" w:hAnsi="Arial"/>
          <w:sz w:val="17"/>
          <w:szCs w:val="17"/>
          <w:b w:val="1"/>
          <w:bCs w:val="1"/>
          <w:color w:val="auto"/>
        </w:rPr>
        <w:t>Copies of the Annual Report on Form 10-K for Fiscal 2025 may be obtained without charge by sending a written request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to: Micron Technology, Inc., Attn.: Corporate Secretary, 8000 South Federal Way, Boise, Idaho 83716. </w:t>
      </w:r>
      <w:r>
        <w:rPr>
          <w:rFonts w:ascii="Arial" w:cs="Arial" w:eastAsia="Arial" w:hAnsi="Arial"/>
          <w:sz w:val="17"/>
          <w:szCs w:val="17"/>
          <w:color w:val="auto"/>
        </w:rPr>
        <w:t>Our Annual Report on Form 10-K</w:t>
      </w:r>
    </w:p>
    <w:p>
      <w:pPr>
        <w:jc w:val="both"/>
        <w:ind w:right="20"/>
        <w:spacing w:after="0" w:line="241" w:lineRule="auto"/>
        <w:rPr>
          <w:sz w:val="20"/>
          <w:szCs w:val="20"/>
          <w:color w:val="auto"/>
        </w:rPr>
      </w:pPr>
      <w:r>
        <w:rPr>
          <w:rFonts w:ascii="Arial" w:cs="Arial" w:eastAsia="Arial" w:hAnsi="Arial"/>
          <w:sz w:val="18"/>
          <w:szCs w:val="18"/>
          <w:color w:val="auto"/>
        </w:rPr>
        <w:t>for Fiscal 2025 also is available in the “Investor Relations” section of our website at www.micron.com. Web links throughout this document are inactive textual references provided for convenience only, and the content on the referenced websites is not incorporated herein by reference and does not constitute a part of this Proxy Statement.</w:t>
      </w:r>
    </w:p>
    <w:p>
      <w:pPr>
        <w:spacing w:after="0" w:line="200" w:lineRule="exact"/>
        <w:rPr>
          <w:sz w:val="20"/>
          <w:szCs w:val="20"/>
          <w:color w:val="auto"/>
        </w:rPr>
      </w:pPr>
    </w:p>
    <w:p>
      <w:pPr>
        <w:spacing w:after="0" w:line="309" w:lineRule="exact"/>
        <w:rPr>
          <w:sz w:val="20"/>
          <w:szCs w:val="20"/>
          <w:color w:val="auto"/>
        </w:rPr>
      </w:pPr>
    </w:p>
    <w:p>
      <w:pPr>
        <w:ind w:left="20" w:right="1380"/>
        <w:spacing w:after="0" w:line="295" w:lineRule="auto"/>
        <w:rPr>
          <w:sz w:val="20"/>
          <w:szCs w:val="20"/>
          <w:color w:val="auto"/>
        </w:rPr>
      </w:pPr>
      <w:r>
        <w:rPr>
          <w:rFonts w:ascii="Arial" w:cs="Arial" w:eastAsia="Arial" w:hAnsi="Arial"/>
          <w:sz w:val="36"/>
          <w:szCs w:val="36"/>
          <w:b w:val="1"/>
          <w:bCs w:val="1"/>
          <w:color w:val="auto"/>
        </w:rPr>
        <w:t>HOUSEHOLDING OF PROXY STATEMENTS AND 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06501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58"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Annual Report on Form 10-K for Fiscal 2025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you share an address with other registered shareholders and your household receives one copy of the Notice or of the proxy materials and you decide you want a separate copy, through the date of the Annual Meeting we will promptly deliver your separate copy if you contact us at Micron Technology, Inc., Attn.: Corporate Secretary, 8000 South Federal Way, Boise, Idaho 83716-9632 or corporatesecretary@micron.com or (208) 368-4000. Additionally, for registered shareholders to resume the mailing of individual copies of future annual reports, proxy statements, proxy statements combined with a prospectus, and information statements to a particular shareholder, you may contact EQ Shareowner Services, Attn.: Householding, P.O. Box 64854, St. Paul, Minnesota 55164-0874 and your request will be effective within 30 days after receipt. After the Annual Meeting, you may request householding of these documents, including notices, by providing EQ Shareowner Services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8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the proxy materials by contacting your bank, broker, or other nominee. You may also contact your broker bank or other nominee if you would like to opt out of householding.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100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CAUTIONARY NOTE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0650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This Proxy Statement contains forward-looking statements that involve a number of risks and uncertainties. Such forward-looking statements may be identified by words such as “anticipate,” “expect,” “intend,” “pledge,” “committed,” “plans,” “opportunities,” “future,” “believe,” “target,”</w:t>
      </w:r>
    </w:p>
    <w:p>
      <w:pPr>
        <w:spacing w:after="0" w:line="1"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“on track,” “estimate,” “continue,” “likely,” “may,” “will,” “would,” “should,” “could,” and variations of such words and similar expressions. However, the absence of these words or similar expressions does not mean that a statement is not forward-looking. Specific forward-looking</w:t>
      </w:r>
    </w:p>
    <w:p>
      <w:pPr>
        <w:spacing w:after="0" w:line="236" w:lineRule="auto"/>
        <w:rPr>
          <w:sz w:val="20"/>
          <w:szCs w:val="20"/>
          <w:color w:val="auto"/>
        </w:rPr>
      </w:pPr>
      <w:r>
        <w:rPr>
          <w:rFonts w:ascii="Arial" w:cs="Arial" w:eastAsia="Arial" w:hAnsi="Arial"/>
          <w:sz w:val="18"/>
          <w:szCs w:val="18"/>
          <w:color w:val="auto"/>
        </w:rPr>
        <w:t>statements include, but are not limited to, statements such as those made regarding market demand for our products, including AI-driven demand growth; the outlook for our industry and our expected leadership position; investments in research and development and expansion of our global manufacturing network; benefits of AI on our operations and products; our sustainability and compensation plans, expectations and commitments; and expectations regarding shareholder outreach. These forward-looking statements are subject to a number of risks and uncertainties that could cause actual events to differ materially. Please refer to the documents we file with the SEC, including our most recent Annual Report on Form 10-K and our annual report provided as part of the proxy materials. These documents contain and identify important factors that could cause our actual results to differ materially from those contained in the forward-looking statements. Although we believe that the expectations reflected in the forward-looking statements are reasonable, we cannot guarantee future results, levels of activity, performance, or achievements. We are under no duty to update any of the forward-looking statements,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583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right="220"/>
        <w:spacing w:after="0" w:line="295" w:lineRule="auto"/>
        <w:rPr>
          <w:sz w:val="20"/>
          <w:szCs w:val="20"/>
          <w:color w:val="auto"/>
        </w:rPr>
      </w:pPr>
      <w:r>
        <w:rPr>
          <w:rFonts w:ascii="Arial" w:cs="Arial" w:eastAsia="Arial" w:hAnsi="Arial"/>
          <w:sz w:val="36"/>
          <w:szCs w:val="36"/>
          <w:b w:val="1"/>
          <w:bCs w:val="1"/>
          <w:color w:val="auto"/>
        </w:rPr>
        <w:t>DEADLINE FOR RECEIPT OF SHAREHOLDER PROPOSALS FOR FISCAL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0650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Shareholders may present proper proposals for inclusion in our proxy statement and for consideration at the next annual meeting of shareholders by submitting their proposals in writing to our Corporate Secretary in a timely manner. For a shareholder proposal to be considered for inclusion in our proxy statement for our Fiscal 2026 annual meeting of shareholders, our Corporate Secretary must receive the written proposal at our principal executive offices located at 8000 South Federal Way, Boise, Idaho 83716-9632, Attention: Corporate Secretary, no later than July 28, 2026. In addition, such shareholder proposals must comply with the other requirements of Rule 14a-8 regarding the inclusion of shareholder proposals in Company-sponsored proxy materials. Submission of a proposal before the deadline does not guarantee its inclusion in our proxy materials.</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our bylaws, director nominations and other business may be brought before an annual meeting of shareholders only by or at the direction of the Board or by a shareholder entitled to vote who has submitted a proposal in accordance with the requirements of our bylaws. To nominate a candidate or submit a proposal for consideration at our Fiscal 2026 Annual Meeting pursuant to our advance notice bylaw provisions, shareholders must deliver or mail their nomination submission or other shareholder notice of a proposal so that it is received by our Corporate Secretary, at the address above no earlier than 8:00 a.m., Mountain time, on July 28, 2026 and no later than 5:00 p.m., Mountain time, on August 27, 2026. In addition to the requirements set forth in our bylaws, to comply with Rule 14a-19 under the Exchange Act, shareholders must provide notice of intent to solicit proxies in support of director nominees (other than the Company’s nominees) for the Fiscal 2026 Annual Meeting when providing notice of nomination to the Company no later than the dates set forth above. Please note that the notice requirement under Rule 14a-19 is in addition to the applicable notice requirements in our bylaws.</w:t>
      </w:r>
    </w:p>
    <w:p>
      <w:pPr>
        <w:spacing w:after="0" w:line="213"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Shareholders wishing to nominate a director candidate through our proxy access bylaw provisions for inclusion in our proxy statement must comply with the eligibility, procedural, and disclosure requirements set forth in our bylaws. To be timely for our Fiscal 2026 annual meeting of shareholders, our Corporate Secretary must receive a shareholder’s notice of proxy access nomination at our principal executive offices, not earlier than 8:00 a.m. Mountain time, on June 28, 2026 or later than 5:00 p.m., Mountain time, on July 28, 2026.</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November 25, 2025</w:t>
      </w:r>
    </w:p>
    <w:p>
      <w:pPr>
        <w:spacing w:after="0" w:line="4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102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3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1"/>
          <w:szCs w:val="21"/>
          <w:b w:val="1"/>
          <w:bCs w:val="1"/>
          <w:color w:val="auto"/>
        </w:rPr>
        <w:t>CERTIFICATE OF AMENDMENT OF THE</w:t>
      </w:r>
    </w:p>
    <w:p>
      <w:pPr>
        <w:spacing w:after="0" w:line="4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b w:val="1"/>
          <w:bCs w:val="1"/>
          <w:color w:val="auto"/>
        </w:rPr>
        <w:t>RESTATED CERTIFICATE OF INCORPORATION OF</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b w:val="1"/>
          <w:bCs w:val="1"/>
          <w:color w:val="auto"/>
        </w:rPr>
        <w:t>MICRON TECHNOLOGY, INC.</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Michael Ray, hereby certifies that:</w:t>
      </w:r>
    </w:p>
    <w:p>
      <w:pPr>
        <w:spacing w:after="0" w:line="256" w:lineRule="exact"/>
        <w:rPr>
          <w:sz w:val="20"/>
          <w:szCs w:val="20"/>
          <w:color w:val="auto"/>
        </w:rPr>
      </w:pPr>
    </w:p>
    <w:p>
      <w:pPr>
        <w:ind w:left="660" w:right="1000" w:hanging="330"/>
        <w:spacing w:after="0" w:line="291" w:lineRule="auto"/>
        <w:tabs>
          <w:tab w:leader="none" w:pos="6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 is the duly elected and acting Senior Vice President, Chief Legal Officer and Corporate Secretary of Micron Technology, Inc., a Delaware corporation.</w:t>
      </w:r>
    </w:p>
    <w:p>
      <w:pPr>
        <w:spacing w:after="0" w:line="166" w:lineRule="exact"/>
        <w:rPr>
          <w:rFonts w:ascii="Times New Roman" w:cs="Times New Roman" w:eastAsia="Times New Roman" w:hAnsi="Times New Roman"/>
          <w:sz w:val="21"/>
          <w:szCs w:val="21"/>
          <w:color w:val="auto"/>
        </w:rPr>
      </w:pPr>
    </w:p>
    <w:p>
      <w:pPr>
        <w:ind w:left="660" w:right="440" w:hanging="330"/>
        <w:spacing w:after="0" w:line="304" w:lineRule="auto"/>
        <w:tabs>
          <w:tab w:leader="none" w:pos="6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original Certificate of Incorporation of this corporation was filed on April 6, 1984, and the Restated Certificate of Incorporation of this corporation was originally filed with the Secretary of State of Delaware on April 18, 2001.</w:t>
      </w:r>
    </w:p>
    <w:p>
      <w:pPr>
        <w:spacing w:after="0" w:line="154" w:lineRule="exact"/>
        <w:rPr>
          <w:rFonts w:ascii="Times New Roman" w:cs="Times New Roman" w:eastAsia="Times New Roman" w:hAnsi="Times New Roman"/>
          <w:sz w:val="21"/>
          <w:szCs w:val="21"/>
          <w:color w:val="auto"/>
        </w:rPr>
      </w:pPr>
    </w:p>
    <w:p>
      <w:pPr>
        <w:ind w:left="660" w:right="220" w:hanging="330"/>
        <w:spacing w:after="0" w:line="272" w:lineRule="auto"/>
        <w:tabs>
          <w:tab w:leader="none" w:pos="6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242 of the General Corporation Law of the State of Delaware, this Certificate of Amendment of the Restated Certificate of Incorporation amends Section 9 of this corporation’s Restated Certificate of Incorporation to read in its entirety as follows:</w:t>
      </w:r>
    </w:p>
    <w:p>
      <w:pPr>
        <w:spacing w:after="0" w:line="186" w:lineRule="exact"/>
        <w:rPr>
          <w:rFonts w:ascii="Times New Roman" w:cs="Times New Roman" w:eastAsia="Times New Roman" w:hAnsi="Times New Roman"/>
          <w:sz w:val="21"/>
          <w:szCs w:val="21"/>
          <w:color w:val="auto"/>
        </w:rPr>
      </w:pPr>
    </w:p>
    <w:p>
      <w:pPr>
        <w:ind w:left="660" w:right="80"/>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9. Pursuant to, and to the full extent permitted by Section 102(b) and any other relevant provisions of the General Corporation Law of the State of Delaware, as the same exists or as may hereafter be amended from time to time, no director or officer shall be liable to the corporation or its stockholders for monetary damages for breach of fiduciary duty as a director or officer. Without limiting the effect of the preceding sentence, if the General Corporation Law of the State of Delaware is hereafter amended to authorize corporate action further eliminating or limiting the personal liability of directors or officers, then the liability of a director or officer of this corporation shall be eliminated or limited to the fullest extent permitted by the General Corporation Law of the State of Delaware, as so amended. Any amendment, repeal or elimination of the foregoing provisions of this Section 9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elimination.”</w:t>
      </w:r>
    </w:p>
    <w:p>
      <w:pPr>
        <w:spacing w:after="0" w:line="199" w:lineRule="exact"/>
        <w:rPr>
          <w:rFonts w:ascii="Times New Roman" w:cs="Times New Roman" w:eastAsia="Times New Roman" w:hAnsi="Times New Roman"/>
          <w:sz w:val="21"/>
          <w:szCs w:val="21"/>
          <w:color w:val="auto"/>
        </w:rPr>
      </w:pPr>
    </w:p>
    <w:p>
      <w:pPr>
        <w:ind w:left="660" w:right="500" w:hanging="330"/>
        <w:spacing w:after="0" w:line="279" w:lineRule="auto"/>
        <w:tabs>
          <w:tab w:leader="none" w:pos="6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Certificate of Amendment of the Restated Certificate of Incorporation has been duly adopted by this corporation’s Board of Directors and Stockholders in accordance with the applicable provisions of Section 242 of the General Corporation Law of the State of Delaware.</w:t>
      </w:r>
    </w:p>
    <w:p>
      <w:pPr>
        <w:spacing w:after="0" w:line="179"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1"/>
          <w:szCs w:val="21"/>
          <w:color w:val="auto"/>
        </w:rPr>
        <w:t>IN WITNESS WHEREOF, said corporation has caused this Certificate of Amendment to the Restated Certificate of Incorporation to be executed by its Senior Vice President, Chief Legal Officer and Corporate Secretary this _____ day of _____________, 2026.</w:t>
      </w:r>
    </w:p>
    <w:p>
      <w:pPr>
        <w:spacing w:after="0" w:line="1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color w:val="auto"/>
        </w:rPr>
        <w:t>____________________________</w:t>
      </w:r>
    </w:p>
    <w:p>
      <w:pPr>
        <w:spacing w:after="0" w:line="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color w:val="auto"/>
        </w:rPr>
        <w:t>Michael Ray</w:t>
      </w:r>
    </w:p>
    <w:p>
      <w:pPr>
        <w:spacing w:after="0" w:line="2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color w:val="auto"/>
        </w:rPr>
        <w:t>Senior Vice President, Chief Legal Officer</w:t>
      </w:r>
    </w:p>
    <w:p>
      <w:pPr>
        <w:spacing w:after="0" w:line="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color w:val="auto"/>
        </w:rPr>
        <w:t>and Corporate Secretary</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sz w:val="1"/>
          <w:szCs w:val="1"/>
          <w:color w:val="auto"/>
        </w:rPr>
        <w:drawing>
          <wp:inline distT="0" distB="0" distL="0" distR="0">
            <wp:extent cx="776605" cy="16192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6605" cy="161925"/>
                    </a:xfrm>
                    <a:prstGeom prst="rect">
                      <a:avLst/>
                    </a:prstGeom>
                    <a:noFill/>
                    <a:ln>
                      <a:noFill/>
                    </a:ln>
                  </pic:spPr>
                </pic:pic>
              </a:graphicData>
            </a:graphic>
          </wp:inline>
        </w:drawing>
      </w:r>
      <w:r>
        <w:rPr>
          <w:rFonts w:ascii="Arial" w:cs="Arial" w:eastAsia="Arial" w:hAnsi="Arial"/>
          <w:sz w:val="16"/>
          <w:szCs w:val="16"/>
          <w:b w:val="1"/>
          <w:bCs w:val="1"/>
          <w:color w:val="auto"/>
        </w:rPr>
        <w:t xml:space="preserv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71583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242570</wp:posOffset>
            </wp:positionV>
            <wp:extent cx="7158355" cy="91681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8355" cy="916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242570</wp:posOffset>
            </wp:positionV>
            <wp:extent cx="7158355" cy="93300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8355" cy="9330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600710</wp:posOffset>
            </wp:positionV>
            <wp:extent cx="7158355" cy="86302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8355" cy="8630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822325</wp:posOffset>
            </wp:positionH>
            <wp:positionV relativeFrom="page">
              <wp:posOffset>908050</wp:posOffset>
            </wp:positionV>
            <wp:extent cx="5810250" cy="75507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5810250" cy="75507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1"/>
      <w:numFmt w:val="bullet"/>
      <w:start w:val="1"/>
    </w:lvl>
  </w:abstractNum>
  <w:abstractNum w:abstractNumId="6">
    <w:nsid w:val="75C6C33A"/>
    <w:multiLevelType w:val="hybridMultilevel"/>
    <w:lvl w:ilvl="0">
      <w:lvlJc w:val="left"/>
      <w:lvlText w:val="3"/>
      <w:numFmt w:val="bullet"/>
      <w:start w:val="1"/>
    </w:lvl>
  </w:abstractNum>
  <w:abstractNum w:abstractNumId="7">
    <w:nsid w:val="12E685FB"/>
    <w:multiLevelType w:val="hybridMultilevel"/>
    <w:lvl w:ilvl="0">
      <w:lvlJc w:val="left"/>
      <w:lvlText w:val="4"/>
      <w:numFmt w:val="bullet"/>
      <w:start w:val="1"/>
    </w:lvl>
  </w:abstractNum>
  <w:abstractNum w:abstractNumId="8">
    <w:nsid w:val="70C6A529"/>
    <w:multiLevelType w:val="hybridMultilevel"/>
    <w:lvl w:ilvl="0">
      <w:lvlJc w:val="left"/>
      <w:lvlText w:val="5"/>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1."/>
      <w:numFmt w:val="upperLetter"/>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9"/>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4"/>
      <w:numFmt w:val="bullet"/>
      <w:start w:val="1"/>
    </w:lvl>
  </w:abstractNum>
  <w:abstractNum w:abstractNumId="39">
    <w:nsid w:val="100F8FCA"/>
    <w:multiLevelType w:val="hybridMultilevel"/>
    <w:lvl w:ilvl="0">
      <w:lvlJc w:val="left"/>
      <w:lvlText w:val="5"/>
      <w:numFmt w:val="bullet"/>
      <w:start w:val="1"/>
    </w:lvl>
  </w:abstractNum>
  <w:abstractNum w:abstractNumId="40">
    <w:nsid w:val="6590700B"/>
    <w:multiLevelType w:val="hybridMultilevel"/>
    <w:lvl w:ilvl="0">
      <w:lvlJc w:val="left"/>
      <w:lvlText w:val="4"/>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1)"/>
      <w:numFmt w:val="decimal"/>
      <w:start w:val="2"/>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1)"/>
      <w:numFmt w:val="decimal"/>
      <w:start w:val="2"/>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1)"/>
      <w:numFmt w:val="decimal"/>
      <w:start w:val="1"/>
    </w:lvl>
  </w:abstractNum>
  <w:abstractNum w:abstractNumId="62">
    <w:nsid w:val="68EB2F63"/>
    <w:multiLevelType w:val="hybridMultilevel"/>
    <w:lvl w:ilvl="0">
      <w:lvlJc w:val="left"/>
      <w:lvlText w:val="(%1)"/>
      <w:numFmt w:val="decimal"/>
      <w:start w:val="1"/>
    </w:lvl>
  </w:abstractNum>
  <w:abstractNum w:abstractNumId="63">
    <w:nsid w:val="4962813B"/>
    <w:multiLevelType w:val="hybridMultilevel"/>
    <w:lvl w:ilvl="0">
      <w:lvlJc w:val="left"/>
      <w:lvlText w:val="(%1)"/>
      <w:numFmt w:val="decimal"/>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decimal"/>
      <w:start w:val="3"/>
    </w:lvl>
    <w:lvl w:ilvl="1">
      <w:lvlJc w:val="left"/>
      <w:lvlText w:val="•"/>
      <w:numFmt w:val="bullet"/>
      <w:start w:val="1"/>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10"/>
    </w:lvl>
  </w:abstractNum>
  <w:abstractNum w:abstractNumId="72">
    <w:nsid w:val="6EB5BD4"/>
    <w:multiLevelType w:val="hybridMultilevel"/>
    <w:lvl w:ilvl="0">
      <w:lvlJc w:val="left"/>
      <w:lvlText w:val="(%1)"/>
      <w:numFmt w:val="decimal"/>
      <w:start w:val="1"/>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1)"/>
      <w:numFmt w:val="decimal"/>
      <w:start w:val="1"/>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3"/>
    </w:lvl>
  </w:abstractNum>
  <w:abstractNum w:abstractNumId="80">
    <w:nsid w:val="3222E7CD"/>
    <w:multiLevelType w:val="hybridMultilevel"/>
    <w:lvl w:ilvl="0">
      <w:lvlJc w:val="left"/>
      <w:lvlText w:val="(%1)"/>
      <w:numFmt w:val="decimal"/>
      <w:start w:val="1"/>
    </w:lvl>
  </w:abstractNum>
  <w:abstractNum w:abstractNumId="81">
    <w:nsid w:val="74DE0EE3"/>
    <w:multiLevelType w:val="hybridMultilevel"/>
    <w:lvl w:ilvl="0">
      <w:lvlJc w:val="left"/>
      <w:lvlText w:val="(%1)"/>
      <w:numFmt w:val="decimal"/>
      <w:start w:val="3"/>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1)"/>
      <w:numFmt w:val="decimal"/>
      <w:start w:val="2"/>
    </w:lvl>
  </w:abstractNum>
  <w:abstractNum w:abstractNumId="85">
    <w:nsid w:val="4A2AC315"/>
    <w:multiLevelType w:val="hybridMultilevel"/>
    <w:lvl w:ilvl="0">
      <w:lvlJc w:val="left"/>
      <w:lvlText w:val="(%1)"/>
      <w:numFmt w:val="lowerRoman"/>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1"/>
      <w:numFmt w:val="bullet"/>
      <w:start w:val="1"/>
    </w:lvl>
  </w:abstractNum>
  <w:abstractNum w:abstractNumId="88">
    <w:nsid w:val="CC1016F"/>
    <w:multiLevelType w:val="hybridMultilevel"/>
    <w:lvl w:ilvl="0">
      <w:lvlJc w:val="left"/>
      <w:lvlText w:val="(%1)"/>
      <w:numFmt w:val="decimal"/>
      <w:start w:val="2"/>
    </w:lvl>
  </w:abstractNum>
  <w:abstractNum w:abstractNumId="89">
    <w:nsid w:val="43F18422"/>
    <w:multiLevelType w:val="hybridMultilevel"/>
    <w:lvl w:ilvl="0">
      <w:lvlJc w:val="left"/>
      <w:lvlText w:val="(%1)"/>
      <w:numFmt w:val="decimal"/>
      <w:start w:val="5"/>
    </w:lvl>
  </w:abstractNum>
  <w:abstractNum w:abstractNumId="90">
    <w:nsid w:val="60EF0119"/>
    <w:multiLevelType w:val="hybridMultilevel"/>
    <w:lvl w:ilvl="0">
      <w:lvlJc w:val="left"/>
      <w:lvlText w:val="1"/>
      <w:numFmt w:val="bullet"/>
      <w:start w:val="1"/>
    </w:lvl>
  </w:abstractNum>
  <w:abstractNum w:abstractNumId="91">
    <w:nsid w:val="26F324BA"/>
    <w:multiLevelType w:val="hybridMultilevel"/>
    <w:lvl w:ilvl="0">
      <w:lvlJc w:val="left"/>
      <w:lvlText w:val="3"/>
      <w:numFmt w:val="bullet"/>
      <w:start w:val="1"/>
    </w:lvl>
  </w:abstractNum>
  <w:abstractNum w:abstractNumId="92">
    <w:nsid w:val="7F01579B"/>
    <w:multiLevelType w:val="hybridMultilevel"/>
    <w:lvl w:ilvl="0">
      <w:lvlJc w:val="left"/>
      <w:lvlText w:val="4"/>
      <w:numFmt w:val="bullet"/>
      <w:start w:val="1"/>
    </w:lvl>
  </w:abstractNum>
  <w:abstractNum w:abstractNumId="93">
    <w:nsid w:val="49DA307D"/>
    <w:multiLevelType w:val="hybridMultilevel"/>
    <w:lvl w:ilvl="0">
      <w:lvlJc w:val="left"/>
      <w:lvlText w:val="5"/>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2025-11-25T16:03:00Z</dcterms:created>
  <dcterms:modified xsi:type="dcterms:W3CDTF">2025-11-25T16:03:00Z</dcterms:modified>
</cp:coreProperties>
</file>