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5</w:t>
      </w:r>
    </w:p>
    <w:p>
      <w:pPr>
        <w:spacing w:after="0" w:line="52"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5</w:t>
      </w:r>
    </w:p>
    <w:p>
      <w:pPr>
        <w:spacing w:after="0" w:line="165" w:lineRule="exact"/>
        <w:rPr>
          <w:sz w:val="24"/>
          <w:szCs w:val="24"/>
          <w:color w:val="auto"/>
        </w:rPr>
      </w:pPr>
    </w:p>
    <w:p>
      <w:pPr>
        <w:ind w:left="3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76835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107950</wp:posOffset>
            </wp:positionV>
            <wp:extent cx="127000" cy="127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6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4 Transactions Reported.</w:t>
      </w:r>
    </w:p>
    <w:p>
      <w:pPr>
        <w:spacing w:after="0" w:line="156"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-411480</wp:posOffset>
            </wp:positionV>
            <wp:extent cx="127000" cy="12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2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4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23"/>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380" w:type="dxa"/>
            <w:vAlign w:val="bottom"/>
            <w:vMerge w:val="restart"/>
          </w:tcPr>
          <w:p>
            <w:pPr>
              <w:jc w:val="center"/>
              <w:ind w:right="43"/>
              <w:spacing w:after="0"/>
              <w:rPr>
                <w:sz w:val="20"/>
                <w:szCs w:val="20"/>
                <w:color w:val="auto"/>
              </w:rPr>
            </w:pPr>
            <w:r>
              <w:rPr>
                <w:rFonts w:ascii="Arial" w:cs="Arial" w:eastAsia="Arial" w:hAnsi="Arial"/>
                <w:sz w:val="21"/>
                <w:szCs w:val="21"/>
                <w:b w:val="1"/>
                <w:bCs w:val="1"/>
                <w:color w:val="auto"/>
              </w:rPr>
              <w:t>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5312410</wp:posOffset>
            </wp:positionH>
            <wp:positionV relativeFrom="paragraph">
              <wp:posOffset>-648335</wp:posOffset>
            </wp:positionV>
            <wp:extent cx="59055" cy="661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-648335</wp:posOffset>
            </wp:positionV>
            <wp:extent cx="59055" cy="661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spacing w:after="0" w:line="74"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9" w:lineRule="exact"/>
        <w:rPr>
          <w:sz w:val="24"/>
          <w:szCs w:val="24"/>
          <w:color w:val="auto"/>
        </w:rPr>
      </w:pPr>
    </w:p>
    <w:p>
      <w:pPr>
        <w:jc w:val="center"/>
        <w:ind w:right="2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766445</wp:posOffset>
            </wp:positionV>
            <wp:extent cx="6988810" cy="4622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8810" cy="4622800"/>
                    </a:xfrm>
                    <a:prstGeom prst="rect">
                      <a:avLst/>
                    </a:prstGeom>
                    <a:noFill/>
                  </pic:spPr>
                </pic:pic>
              </a:graphicData>
            </a:graphic>
          </wp:anchor>
        </w:drawing>
      </w:r>
    </w:p>
    <w:p>
      <w:pPr>
        <w:spacing w:after="0" w:line="1278" w:lineRule="exact"/>
        <w:rPr>
          <w:sz w:val="24"/>
          <w:szCs w:val="24"/>
          <w:color w:val="auto"/>
        </w:rPr>
      </w:pPr>
    </w:p>
    <w:p>
      <w:pPr>
        <w:sectPr>
          <w:pgSz w:w="11900" w:h="16838" w:orient="portrait"/>
          <w:cols w:equalWidth="0" w:num="2">
            <w:col w:w="2340" w:space="14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RAY MICHAEL CHARLES</w:t>
        </w:r>
      </w:hyperlink>
    </w:p>
    <w:p>
      <w:pPr>
        <w:spacing w:after="0" w:line="31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8000 S. FEDERAL WAY</w:t>
            </w:r>
          </w:p>
        </w:tc>
        <w:tc>
          <w:tcPr>
            <w:tcW w:w="1500" w:type="dxa"/>
            <w:vAlign w:val="bottom"/>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r>
        <w:trPr>
          <w:trHeight w:val="2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760" w:type="dxa"/>
            <w:vAlign w:val="bottom"/>
            <w:gridSpan w:val="3"/>
          </w:tcPr>
          <w:p>
            <w:pPr>
              <w:spacing w:after="0" w:line="147" w:lineRule="exact"/>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 xml:space="preserve">MICRON TECHNOLOGY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MU</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53"/>
        </w:trPr>
        <w:tc>
          <w:tcPr>
            <w:tcW w:w="2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08/28/2025</w:t>
            </w: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SVP, Chief Legal Officer</w:t>
            </w:r>
          </w:p>
        </w:tc>
        <w:tc>
          <w:tcPr>
            <w:tcW w:w="0" w:type="dxa"/>
            <w:vAlign w:val="bottom"/>
          </w:tcPr>
          <w:p>
            <w:pPr>
              <w:spacing w:after="0"/>
              <w:rPr>
                <w:sz w:val="1"/>
                <w:szCs w:val="1"/>
                <w:color w:val="auto"/>
              </w:rPr>
            </w:pPr>
          </w:p>
        </w:tc>
      </w:tr>
      <w:tr>
        <w:trPr>
          <w:trHeight w:val="249"/>
        </w:trPr>
        <w:tc>
          <w:tcPr>
            <w:tcW w:w="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6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2"/>
                <w:szCs w:val="12"/>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2"/>
                <w:szCs w:val="12"/>
                <w:color w:val="auto"/>
              </w:rPr>
            </w:pPr>
          </w:p>
        </w:tc>
        <w:tc>
          <w:tcPr>
            <w:tcW w:w="224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4. Securities Acquired (A) or Disposed</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(D) (Instr. 3, 4 and 5)</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5"/>
                <w:szCs w:val="5"/>
                <w:color w:val="auto"/>
              </w:rPr>
            </w:pPr>
          </w:p>
        </w:tc>
        <w:tc>
          <w:tcPr>
            <w:tcW w:w="78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92,616</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40" w:type="dxa"/>
            <w:vAlign w:val="bottom"/>
            <w:gridSpan w:val="12"/>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7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2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5 is being filed only to update securities beneficially owned to include 178.722 shares acquired on July 31, 2025 under the Micron Technology, Inc. Employee Stock Purchase Plan, which acquisition is exempt from reporting under Rules 16a3(f)(1)(i)(B) and 16b-3(c).</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Mai Lan Bui, Attorney-in-fact 10/02/2025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-3810</wp:posOffset>
            </wp:positionV>
            <wp:extent cx="1901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5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5" Type="http://schemas.openxmlformats.org/officeDocument/2006/relationships/hyperlink" Target="http://www.sec.gov/cgi-bin/browse-edgar?action=getcompany&amp;CIK=0001593199" TargetMode="External"/><Relationship Id="rId16"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2025-10-02T17:28:16Z</dcterms:created>
  <dcterms:modified xsi:type="dcterms:W3CDTF">2025-10-02T17:28:16Z</dcterms:modified>
</cp:coreProperties>
</file>