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9,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143510</wp:posOffset>
            </wp:positionV>
            <wp:extent cx="1551305"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32"/>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0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17780</wp:posOffset>
            </wp:positionV>
            <wp:extent cx="3240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3"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53"/>
        </w:trPr>
        <w:tc>
          <w:tcPr>
            <w:tcW w:w="4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Title of each class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Trading symbol</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66"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5"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6926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Update on Business Conditions</w:t>
      </w:r>
    </w:p>
    <w:p>
      <w:pPr>
        <w:spacing w:after="0" w:line="25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Later this morning Micron's chief financial officer will take part in a fireside chat at the KeyBanc Technology Leadership Forum, which will be webcast live at 8:30 a.m. Mountain time. During this event, Micron will provide a market update, including the following:</w:t>
      </w:r>
    </w:p>
    <w:p>
      <w:pPr>
        <w:spacing w:after="0" w:line="166" w:lineRule="exact"/>
        <w:rPr>
          <w:sz w:val="20"/>
          <w:szCs w:val="20"/>
          <w:color w:val="auto"/>
        </w:rPr>
      </w:pPr>
    </w:p>
    <w:p>
      <w:pPr>
        <w:ind w:left="660" w:right="120" w:hanging="328"/>
        <w:spacing w:after="0" w:line="24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Recently, due to macroeconomic factors and supply chain constraints, we have seen a broadening of customer inventory adjustments. As a result, our expectations for CY22 industry bit demand growth for DRAM and NAND have declined since our June 30, 2022 earnings call, and we expect a challenging market environment in FQ4 22 and FQ1 23.</w:t>
      </w:r>
    </w:p>
    <w:p>
      <w:pPr>
        <w:spacing w:after="0" w:line="2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FQ4 revenue may come in at or below the low end of the revenue guidance range provided in our June 30 earnings call.</w:t>
      </w:r>
    </w:p>
    <w:p>
      <w:pPr>
        <w:spacing w:after="0" w:line="238" w:lineRule="exact"/>
        <w:rPr>
          <w:rFonts w:ascii="Arial" w:cs="Arial" w:eastAsia="Arial" w:hAnsi="Arial"/>
          <w:sz w:val="18"/>
          <w:szCs w:val="18"/>
          <w:color w:val="auto"/>
        </w:rPr>
      </w:pPr>
    </w:p>
    <w:p>
      <w:pPr>
        <w:ind w:left="660" w:right="640" w:hanging="328"/>
        <w:spacing w:after="0" w:line="27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FQ1, bit shipments are now expected to decline sequentially, and we expect significant sequential declines in revenue and margins. We expect free cash flow to be negative in FQ1.</w:t>
      </w:r>
    </w:p>
    <w:p>
      <w:pPr>
        <w:spacing w:after="0" w:line="180" w:lineRule="exact"/>
        <w:rPr>
          <w:rFonts w:ascii="Arial" w:cs="Arial" w:eastAsia="Arial" w:hAnsi="Arial"/>
          <w:sz w:val="18"/>
          <w:szCs w:val="18"/>
          <w:color w:val="auto"/>
        </w:rPr>
      </w:pPr>
    </w:p>
    <w:p>
      <w:pPr>
        <w:ind w:left="660" w:right="20" w:hanging="328"/>
        <w:spacing w:after="0" w:line="25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address the near-term environment, today we are announcing new FY23 wafer fab equipment (WFE) capex reductions adding to the WFE capex reductions discussed in our June 30 earnings call, and now expect FY23 total capex to be down meaningfully versus FY22.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Live webcasts and subsequent replays of presentations can be accessed from Micron’s Investor Relations website at investors.micron.com.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9"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This Current Report on Form 8-K contains forward-looking statements regarding our industry and our financial and operating results, including bit shipments, revenue, margins, free cash flow, and capex. These forward-looking statements are subject to a number of risks and uncertainties that could cause actual results to differ materially. Please refer to the documents we file with the Securities and Exchange</w:t>
      </w:r>
    </w:p>
    <w:p>
      <w:pPr>
        <w:spacing w:after="0" w:line="2"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Commission, specifically our most recent Form 10-K and Form 10-Q. These documents contain and identify important factors that could cause our actual results to differ materially from those contained in these forward-looking statements. These certain factors can be found at</w:t>
      </w:r>
    </w:p>
    <w:p>
      <w:pPr>
        <w:spacing w:after="0" w:line="1"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micron.com/certainfactors. Although we believe that the expectations reflected in the forward-looking statements are reasonable, we cannot guarantee future results, levels of activity, performance, or achievements. We are under no duty to update any of the forward-looking statements to conform these statements to actual results.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w:t>
      </w:r>
    </w:p>
    <w:p>
      <w:pPr>
        <w:spacing w:after="0" w:line="23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information set forth in this Item 7.01 is intended to be furnished under Item 7.01 of Form 8-K (Regulation FD Disclosure). This information shall not be deemed “filed” for purposes of Section 18 of the Securities Exchange Act of 1934, as amended (the “Exchange Act”), or otherwise subject to the liabilities of that section. In addition, this information shall not be incorporated by reference into any registration statement filing under the Securities Act of 1933, as amended, or the Exchange Act, regardless of any general incorporation language in such filing, unless it is specifically incorporated by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560" w:type="dxa"/>
            <w:vAlign w:val="bottom"/>
          </w:tcPr>
          <w:p>
            <w:pPr>
              <w:spacing w:after="0"/>
              <w:rPr>
                <w:sz w:val="21"/>
                <w:szCs w:val="21"/>
                <w:color w:val="auto"/>
              </w:rPr>
            </w:pPr>
          </w:p>
        </w:tc>
        <w:tc>
          <w:tcPr>
            <w:tcW w:w="7660" w:type="dxa"/>
            <w:vAlign w:val="bottom"/>
            <w:gridSpan w:val="2"/>
          </w:tcPr>
          <w:p>
            <w:pPr>
              <w:ind w:left="162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560" w:type="dxa"/>
            <w:vAlign w:val="bottom"/>
          </w:tcPr>
          <w:p>
            <w:pPr>
              <w:spacing w:after="0"/>
              <w:rPr>
                <w:sz w:val="20"/>
                <w:szCs w:val="20"/>
                <w:color w:val="auto"/>
              </w:rPr>
            </w:pPr>
            <w:r>
              <w:rPr>
                <w:rFonts w:ascii="Arial" w:cs="Arial" w:eastAsia="Arial" w:hAnsi="Arial"/>
                <w:sz w:val="18"/>
                <w:szCs w:val="18"/>
                <w:color w:val="auto"/>
              </w:rPr>
              <w:t>Date:   August 9, 2022</w:t>
            </w:r>
          </w:p>
        </w:tc>
        <w:tc>
          <w:tcPr>
            <w:tcW w:w="2380" w:type="dxa"/>
            <w:vAlign w:val="bottom"/>
          </w:tcPr>
          <w:p>
            <w:pPr>
              <w:ind w:left="162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Murphy</w:t>
            </w:r>
          </w:p>
        </w:tc>
      </w:tr>
      <w:tr>
        <w:trPr>
          <w:trHeight w:val="218"/>
        </w:trPr>
        <w:tc>
          <w:tcPr>
            <w:tcW w:w="3560" w:type="dxa"/>
            <w:vAlign w:val="bottom"/>
          </w:tcPr>
          <w:p>
            <w:pPr>
              <w:spacing w:after="0"/>
              <w:rPr>
                <w:sz w:val="18"/>
                <w:szCs w:val="18"/>
                <w:color w:val="auto"/>
              </w:rPr>
            </w:pPr>
          </w:p>
        </w:tc>
        <w:tc>
          <w:tcPr>
            <w:tcW w:w="2380" w:type="dxa"/>
            <w:vAlign w:val="bottom"/>
          </w:tcPr>
          <w:p>
            <w:pPr>
              <w:ind w:left="1620"/>
              <w:spacing w:after="0"/>
              <w:rPr>
                <w:sz w:val="20"/>
                <w:szCs w:val="20"/>
                <w:color w:val="auto"/>
              </w:rPr>
            </w:pPr>
            <w:r>
              <w:rPr>
                <w:rFonts w:ascii="Arial" w:cs="Arial" w:eastAsia="Arial" w:hAnsi="Arial"/>
                <w:sz w:val="18"/>
                <w:szCs w:val="18"/>
                <w:color w:val="auto"/>
              </w:rPr>
              <w:t>Name:</w:t>
            </w:r>
          </w:p>
        </w:tc>
        <w:tc>
          <w:tcPr>
            <w:tcW w:w="5280" w:type="dxa"/>
            <w:vAlign w:val="bottom"/>
          </w:tcPr>
          <w:p>
            <w:pPr>
              <w:ind w:left="20"/>
              <w:spacing w:after="0"/>
              <w:rPr>
                <w:sz w:val="20"/>
                <w:szCs w:val="20"/>
                <w:color w:val="auto"/>
              </w:rPr>
            </w:pPr>
            <w:r>
              <w:rPr>
                <w:rFonts w:ascii="Arial" w:cs="Arial" w:eastAsia="Arial" w:hAnsi="Arial"/>
                <w:sz w:val="18"/>
                <w:szCs w:val="18"/>
                <w:color w:val="auto"/>
              </w:rPr>
              <w:t>Mark Murphy</w:t>
            </w:r>
          </w:p>
        </w:tc>
      </w:tr>
      <w:tr>
        <w:trPr>
          <w:trHeight w:val="239"/>
        </w:trPr>
        <w:tc>
          <w:tcPr>
            <w:tcW w:w="3560" w:type="dxa"/>
            <w:vAlign w:val="bottom"/>
          </w:tcPr>
          <w:p>
            <w:pPr>
              <w:spacing w:after="0"/>
              <w:rPr>
                <w:sz w:val="20"/>
                <w:szCs w:val="20"/>
                <w:color w:val="auto"/>
              </w:rPr>
            </w:pPr>
          </w:p>
        </w:tc>
        <w:tc>
          <w:tcPr>
            <w:tcW w:w="2380" w:type="dxa"/>
            <w:vAlign w:val="bottom"/>
          </w:tcPr>
          <w:p>
            <w:pPr>
              <w:ind w:left="1620"/>
              <w:spacing w:after="0"/>
              <w:rPr>
                <w:sz w:val="20"/>
                <w:szCs w:val="20"/>
                <w:color w:val="auto"/>
              </w:rPr>
            </w:pPr>
            <w:r>
              <w:rPr>
                <w:rFonts w:ascii="Arial" w:cs="Arial" w:eastAsia="Arial" w:hAnsi="Arial"/>
                <w:sz w:val="18"/>
                <w:szCs w:val="18"/>
                <w:color w:val="auto"/>
              </w:rPr>
              <w:t>Title:</w:t>
            </w:r>
          </w:p>
        </w:tc>
        <w:tc>
          <w:tcPr>
            <w:tcW w:w="52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11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2022-08-09T05:28:33Z</dcterms:created>
  <dcterms:modified xsi:type="dcterms:W3CDTF">2022-08-09T05:28:33Z</dcterms:modified>
</cp:coreProperties>
</file>