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86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6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Teyin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are granted in lieu of cash retainer and vest 100% on grant date of award. Pursuant to a deferral election by the Reporting Person, shares will be delivered to the Reporting Person within 15 days after the Reporting Person's separation from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10/02/2025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76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2025-10-02T17:13:57Z</dcterms:created>
  <dcterms:modified xsi:type="dcterms:W3CDTF">2025-10-02T17:13:57Z</dcterms:modified>
</cp:coreProperties>
</file>