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17112d1_8k.htm"/>
      <w:bookmarkStart w:id="1" w:name="kstm2617112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A_edei--DocumentType_c20260609__20"/>
      <w:bookmarkEnd w:id="2"/>
      <w:r>
        <w:rPr>
          <w:rFonts w:ascii="Times New Roman;Times;Serif" w:hAnsi="Times New Roman;Times;Serif"/>
          <w:b/>
          <w:i w:val="false"/>
          <w:caps w:val="false"/>
          <w:smallCaps w:val="false"/>
          <w:sz w:val="3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9_edei--DocumentPeriodEndDate_c202"/>
      <w:bookmarkEnd w:id="3"/>
      <w:r>
        <w:rPr>
          <w:rFonts w:ascii="Times New Roman;Times;Serif" w:hAnsi="Times New Roman;Times;Serif"/>
          <w:b/>
          <w:i w:val="false"/>
          <w:caps w:val="false"/>
          <w:smallCaps w:val="false"/>
          <w:sz w:val="20"/>
        </w:rPr>
        <w:t>June 9,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2860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5429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pBdr>
          <w:bottom w:val="single" w:sz="8" w:space="1" w:color="000000"/>
        </w:pBdr>
        <w:bidi w:val="0"/>
        <w:spacing w:before="0" w:after="0"/>
        <w:ind w:left="0" w:right="0" w:hanging="0"/>
        <w:jc w:val="center"/>
        <w:rPr>
          <w:rFonts w:ascii="Times New Roman;Times;Serif" w:hAnsi="Times New Roman;Times;Serif"/>
          <w:b/>
          <w:i w:val="false"/>
          <w:caps/>
          <w:sz w:val="32"/>
        </w:rPr>
      </w:pPr>
      <w:bookmarkStart w:id="4" w:name="xdx_906_edei--EntityRegistrantName_c2026"/>
      <w:bookmarkEnd w:id="4"/>
      <w:r>
        <w:rPr>
          <w:rFonts w:ascii="Times New Roman;Times;Serif" w:hAnsi="Times New Roman;Times;Serif"/>
          <w:b/>
          <w:i w:val="false"/>
          <w:caps/>
          <w:sz w:val="32"/>
        </w:rPr>
        <w:t>Micron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590"/>
        <w:gridCol w:w="60"/>
        <w:gridCol w:w="2210"/>
        <w:gridCol w:w="60"/>
        <w:gridCol w:w="2780"/>
      </w:tblGrid>
      <w:tr>
        <w:trPr/>
        <w:tc>
          <w:tcPr>
            <w:tcW w:w="3590" w:type="dxa"/>
            <w:tcBorders/>
            <w:vAlign w:val="center"/>
          </w:tcPr>
          <w:p>
            <w:pPr>
              <w:pStyle w:val="TableContents"/>
              <w:bidi w:val="0"/>
              <w:spacing w:before="0" w:after="283"/>
              <w:jc w:val="center"/>
              <w:rPr>
                <w:rFonts w:ascii="Times New Roman;Times;Serif" w:hAnsi="Times New Roman;Times;Serif"/>
                <w:b/>
                <w:sz w:val="20"/>
              </w:rPr>
            </w:pPr>
            <w:bookmarkStart w:id="5" w:name="xdx_90D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0609"/>
            <w:bookmarkEnd w:id="6"/>
            <w:r>
              <w:rPr>
                <w:rFonts w:ascii="Times New Roman;Times;Serif" w:hAnsi="Times New Roman;Times;Serif"/>
                <w:b/>
                <w:sz w:val="20"/>
              </w:rPr>
              <w:t>1-10658</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75-1618004</w:t>
            </w:r>
          </w:p>
        </w:tc>
      </w:tr>
      <w:tr>
        <w:trPr/>
        <w:tc>
          <w:tcPr>
            <w:tcW w:w="359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1_edei--EntityAddressAddressLine1_"/>
      <w:bookmarkEnd w:id="8"/>
      <w:r>
        <w:rPr>
          <w:rFonts w:ascii="Times New Roman;Times;Serif" w:hAnsi="Times New Roman;Times;Serif"/>
          <w:b/>
          <w:i w:val="false"/>
          <w:caps w:val="false"/>
          <w:smallCaps w:val="false"/>
          <w:sz w:val="20"/>
        </w:rPr>
        <w:t>8000 South Federal Way</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Boise, </w:t>
      </w:r>
      <w:bookmarkStart w:id="10" w:name="xdx_906_edei--EntityAddressStateOrProvin"/>
      <w:bookmarkEnd w:id="10"/>
      <w:r>
        <w:rPr>
          <w:rFonts w:ascii="Times New Roman;Times;Serif" w:hAnsi="Times New Roman;Times;Serif"/>
          <w:b/>
          <w:i w:val="false"/>
          <w:caps w:val="false"/>
          <w:smallCaps w:val="false"/>
          <w:sz w:val="20"/>
        </w:rPr>
        <w:t>Idaho</w:t>
      </w:r>
      <w:r>
        <w:rPr>
          <w:rFonts w:ascii="Arial;Helvetica;Sans-Serif" w:hAnsi="Arial;Helvetica;Sans-Serif"/>
          <w:b w:val="false"/>
          <w:i w:val="false"/>
          <w:caps w:val="false"/>
          <w:smallCaps w:val="false"/>
          <w:sz w:val="20"/>
        </w:rPr>
        <w:t xml:space="preserve"> </w:t>
      </w:r>
      <w:bookmarkStart w:id="11" w:name="xdx_90A_edei--EntityAddressPostalZipCode"/>
      <w:bookmarkEnd w:id="11"/>
      <w:r>
        <w:rPr>
          <w:rFonts w:ascii="Times New Roman;Times;Serif" w:hAnsi="Times New Roman;Times;Serif"/>
          <w:b/>
          <w:i w:val="false"/>
          <w:caps w:val="false"/>
          <w:smallCaps w:val="false"/>
          <w:sz w:val="20"/>
        </w:rPr>
        <w:t>83716-9632</w:t>
      </w:r>
    </w:p>
    <w:tbl>
      <w:tblPr>
        <w:tblW w:w="4505" w:type="dxa"/>
        <w:jc w:val="left"/>
        <w:tblInd w:w="0" w:type="dxa"/>
        <w:tblLayout w:type="fixed"/>
        <w:tblCellMar>
          <w:top w:w="0" w:type="dxa"/>
          <w:left w:w="0" w:type="dxa"/>
          <w:bottom w:w="0" w:type="dxa"/>
          <w:right w:w="0" w:type="dxa"/>
        </w:tblCellMar>
      </w:tblPr>
      <w:tblGrid>
        <w:gridCol w:w="75"/>
        <w:gridCol w:w="4355"/>
        <w:gridCol w:w="75"/>
      </w:tblGrid>
      <w:tr>
        <w:trPr/>
        <w:tc>
          <w:tcPr>
            <w:tcW w:w="75" w:type="dxa"/>
            <w:tcBorders/>
            <w:vAlign w:val="center"/>
          </w:tcPr>
          <w:p>
            <w:pPr>
              <w:pStyle w:val="TableContents"/>
              <w:bidi w:val="0"/>
              <w:spacing w:before="0" w:after="283"/>
              <w:jc w:val="left"/>
              <w:rPr/>
            </w:pPr>
            <w:r>
              <w:rPr/>
              <w:t> </w:t>
            </w:r>
          </w:p>
        </w:tc>
        <w:tc>
          <w:tcPr>
            <w:tcW w:w="435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xdx_90F_edei--CityAreaCode_c20260609__20"/>
      <w:bookmarkEnd w:id="12"/>
      <w:r>
        <w:rPr>
          <w:rFonts w:ascii="Times New Roman;Times;Serif" w:hAnsi="Times New Roman;Times;Serif"/>
          <w:b/>
          <w:i w:val="false"/>
          <w:caps w:val="false"/>
          <w:smallCaps w:val="false"/>
          <w:sz w:val="20"/>
        </w:rPr>
        <w:t>(208)</w:t>
      </w:r>
      <w:r>
        <w:rPr>
          <w:rFonts w:ascii="Times New Roman;Times;Serif" w:hAnsi="Times New Roman;Times;Serif"/>
          <w:b w:val="false"/>
          <w:i w:val="false"/>
          <w:caps w:val="false"/>
          <w:smallCaps w:val="false"/>
          <w:sz w:val="20"/>
        </w:rPr>
        <w:t xml:space="preserve"> </w:t>
      </w:r>
      <w:bookmarkStart w:id="13" w:name="xdx_90E_edei--LocalPhoneNumber_c20260609"/>
      <w:bookmarkEnd w:id="13"/>
      <w:r>
        <w:rPr>
          <w:rFonts w:ascii="Times New Roman;Times;Serif" w:hAnsi="Times New Roman;Times;Serif"/>
          <w:b/>
          <w:i w:val="false"/>
          <w:caps w:val="false"/>
          <w:smallCaps w:val="false"/>
          <w:sz w:val="20"/>
        </w:rPr>
        <w:t>368-4000</w:t>
      </w:r>
    </w:p>
    <w:tbl>
      <w:tblPr>
        <w:tblW w:w="4475" w:type="dxa"/>
        <w:jc w:val="left"/>
        <w:tblInd w:w="0" w:type="dxa"/>
        <w:tblLayout w:type="fixed"/>
        <w:tblCellMar>
          <w:top w:w="0" w:type="dxa"/>
          <w:left w:w="0" w:type="dxa"/>
          <w:bottom w:w="0" w:type="dxa"/>
          <w:right w:w="0" w:type="dxa"/>
        </w:tblCellMar>
      </w:tblPr>
      <w:tblGrid>
        <w:gridCol w:w="75"/>
        <w:gridCol w:w="4325"/>
        <w:gridCol w:w="75"/>
      </w:tblGrid>
      <w:tr>
        <w:trPr/>
        <w:tc>
          <w:tcPr>
            <w:tcW w:w="75" w:type="dxa"/>
            <w:tcBorders/>
            <w:vAlign w:val="center"/>
          </w:tcPr>
          <w:p>
            <w:pPr>
              <w:pStyle w:val="TableContents"/>
              <w:bidi w:val="0"/>
              <w:spacing w:before="0" w:after="283"/>
              <w:jc w:val="left"/>
              <w:rPr/>
            </w:pPr>
            <w:r>
              <w:rPr/>
              <w:t> </w:t>
            </w:r>
          </w:p>
        </w:tc>
        <w:tc>
          <w:tcPr>
            <w:tcW w:w="432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Written communications pursuant to Rule 425 under the Securities Act (17 CFR 230.425)</w:t>
            </w:r>
          </w:p>
        </w:tc>
      </w:tr>
    </w:tbl>
    <w:p>
      <w:pPr>
        <w:pStyle w:val="TextBody"/>
        <w:bidi w:val="0"/>
        <w:spacing w:before="0" w:after="0"/>
        <w:ind w:left="285" w:right="0" w:hanging="285"/>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F_edei--SolicitingMaterial_c202606"/>
            <w:bookmarkEnd w:id="15"/>
            <w:r>
              <w:rPr/>
              <w:t>☐</w:t>
            </w:r>
          </w:p>
        </w:tc>
        <w:tc>
          <w:tcPr>
            <w:tcW w:w="85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Soliciting material pursuant to Rule 14a-12 under the Exchange Act (17 CFR 240.14a-12)</w:t>
            </w:r>
          </w:p>
        </w:tc>
      </w:tr>
    </w:tbl>
    <w:p>
      <w:pPr>
        <w:pStyle w:val="TextBody"/>
        <w:bidi w:val="0"/>
        <w:spacing w:before="0" w:after="0"/>
        <w:ind w:left="285" w:right="0" w:hanging="28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A_edei--PreCommencementTenderOffer"/>
            <w:bookmarkEnd w:id="16"/>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Pre-commencement communications pursuant to Rule 14d-2(b) under the Exchange Act (17 CFR 240.14d-2(b))</w:t>
            </w:r>
          </w:p>
        </w:tc>
      </w:tr>
    </w:tbl>
    <w:p>
      <w:pPr>
        <w:pStyle w:val="TextBody"/>
        <w:bidi w:val="0"/>
        <w:spacing w:before="0" w:after="0"/>
        <w:ind w:left="285" w:right="0" w:hanging="28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28" w:type="dxa"/>
          <w:right w:w="0" w:type="dxa"/>
        </w:tblCellMar>
      </w:tblPr>
      <w:tblGrid>
        <w:gridCol w:w="3410"/>
        <w:gridCol w:w="60"/>
        <w:gridCol w:w="1415"/>
        <w:gridCol w:w="60"/>
        <w:gridCol w:w="3710"/>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1_edei--Security12bTitle_c20260609"/>
            <w:bookmarkEnd w:id="18"/>
            <w:r>
              <w:rPr>
                <w:rFonts w:ascii="Times New Roman;Times;Serif" w:hAnsi="Times New Roman;Times;Serif"/>
                <w:sz w:val="20"/>
              </w:rPr>
              <w:t>Common Stock, par value $0.10 per share</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4_edei--TradingSymbol_c20260609__2"/>
            <w:bookmarkEnd w:id="19"/>
            <w:r>
              <w:rPr>
                <w:rFonts w:ascii="Times New Roman;Times;Serif" w:hAnsi="Times New Roman;Times;Serif"/>
                <w:sz w:val="20"/>
              </w:rPr>
              <w:t>MU</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F_edei--SecurityExchangeName_c2026"/>
            <w:bookmarkEnd w:id="20"/>
            <w:r>
              <w:rPr>
                <w:rFonts w:ascii="Times New Roman;Times;Serif" w:hAnsi="Times New Roman;Times;Serif"/>
                <w:sz w:val="20"/>
              </w:rPr>
              <w:t>Nasdaq Global Select Market</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C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Departure of Directors or Certain Officers; Election of Directors; Appointment of Certain Officers; Compensatory Arrangements of Certain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the Board of Directors (“Board”) of Micron Technology, Inc. (the “Company”) appointed Alexis Black Björlin as a member of the Board. The Board has determined that Dr. Björlin is an independent director under the applicable rules of the Nasdaq Stock Market LLC (the “Independence Rules”). Following the appointment of Dr. Björlin, the Board will have a total of nine directors, of which eight are determined to be independent under the Independence Rules. Dr. Björlin has also been appointed to the Governance and Sustainability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Björlin will participate in the Company’s 2025 Director Compensation Plan, which provides for cash and equity compensation for non-employee directors, including (i) pro rata portion of a cash retainer of $125,000 for her service as a member of the Board and (ii) a grant on the date of her appointment equal to the pro rata portion of the annual grant of restricted stock, valued at $250,000. Dr. Björlin will also enter into the Company’s standard form of indemnification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arrangement or understanding between Dr. Björlin and any other person pursuant to which she was selected as a director, and there is no family relationship between Dr. Björlin and any of the Company’s other directors or executive officers. Dr. Björlin does not have a direct or indirect material interest in any transaction required to be disclosed pursuant to Item 404(a) of Regulation S-K. On June 9, 2026, the Company issued a press release announcing the appointment of Dr. Björlin as director. The press release is attached as Exhibit 99.1 to this report.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 Financial Statements and Exhibits.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 </w:t>
      </w:r>
    </w:p>
    <w:p>
      <w:pPr>
        <w:pStyle w:val="TextBody"/>
        <w:bidi w:val="0"/>
        <w:spacing w:before="0" w:after="0"/>
        <w:ind w:left="0" w:right="0" w:hanging="0"/>
        <w:jc w:val="left"/>
        <w:rPr>
          <w:caps w:val="false"/>
          <w:smallCaps w:val="false"/>
        </w:rPr>
      </w:pPr>
      <w:r>
        <w:rPr>
          <w:caps w:val="false"/>
          <w:smallCaps w:val="false"/>
        </w:rPr>
        <w:t> </w:t>
      </w:r>
    </w:p>
    <w:tbl>
      <w:tblPr>
        <w:tblW w:w="8905" w:type="dxa"/>
        <w:jc w:val="left"/>
        <w:tblInd w:w="0" w:type="dxa"/>
        <w:tblLayout w:type="fixed"/>
        <w:tblCellMar>
          <w:top w:w="0" w:type="dxa"/>
          <w:left w:w="0" w:type="dxa"/>
          <w:bottom w:w="28" w:type="dxa"/>
          <w:right w:w="0" w:type="dxa"/>
        </w:tblCellMar>
      </w:tblPr>
      <w:tblGrid>
        <w:gridCol w:w="1040"/>
        <w:gridCol w:w="60"/>
        <w:gridCol w:w="7805"/>
      </w:tblGrid>
      <w:tr>
        <w:trPr/>
        <w:tc>
          <w:tcPr>
            <w:tcW w:w="1040"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 No.</w:t>
            </w:r>
            <w:r>
              <w:rPr>
                <w:rFonts w:ascii="Times New Roman;Times;Serif" w:hAnsi="Times New Roman;Times;Serif"/>
                <w:sz w:val="20"/>
              </w:rPr>
              <w:t> </w:t>
            </w:r>
          </w:p>
        </w:tc>
        <w:tc>
          <w:tcPr>
            <w:tcW w:w="60" w:type="dxa"/>
            <w:tcBorders/>
            <w:tcMar>
              <w:bottom w:w="0" w:type="dxa"/>
            </w:tcMar>
            <w:vAlign w:val="center"/>
          </w:tcPr>
          <w:p>
            <w:pPr>
              <w:pStyle w:val="TableContents"/>
              <w:bidi w:val="0"/>
              <w:spacing w:before="0" w:after="283"/>
              <w:jc w:val="left"/>
              <w:rPr/>
            </w:pPr>
            <w:r>
              <w:rPr/>
              <w:t> </w:t>
            </w:r>
          </w:p>
        </w:tc>
        <w:tc>
          <w:tcPr>
            <w:tcW w:w="7805"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Description</w:t>
            </w:r>
            <w:r>
              <w:rPr>
                <w:rFonts w:ascii="Times New Roman;Times;Serif" w:hAnsi="Times New Roman;Times;Serif"/>
                <w:sz w:val="20"/>
              </w:rPr>
              <w:t> </w:t>
            </w:r>
          </w:p>
        </w:tc>
      </w:tr>
      <w:tr>
        <w:trPr/>
        <w:tc>
          <w:tcPr>
            <w:tcW w:w="1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05" w:type="dxa"/>
            <w:tcBorders/>
            <w:tcMar>
              <w:bottom w:w="0" w:type="dxa"/>
            </w:tcMar>
            <w:vAlign w:val="center"/>
          </w:tcPr>
          <w:p>
            <w:pPr>
              <w:pStyle w:val="TableContents"/>
              <w:bidi w:val="0"/>
              <w:spacing w:before="0" w:after="283"/>
              <w:jc w:val="left"/>
              <w:rPr/>
            </w:pPr>
            <w:r>
              <w:rPr/>
              <w:t> </w:t>
            </w:r>
          </w:p>
        </w:tc>
      </w:tr>
      <w:tr>
        <w:trPr/>
        <w:tc>
          <w:tcPr>
            <w:tcW w:w="1040" w:type="dxa"/>
            <w:tcBorders/>
            <w:tcMar>
              <w:bottom w:w="0" w:type="dxa"/>
            </w:tcMar>
            <w:vAlign w:val="center"/>
          </w:tcPr>
          <w:p>
            <w:pPr>
              <w:pStyle w:val="TableContents"/>
              <w:bidi w:val="0"/>
              <w:spacing w:before="0" w:after="283"/>
              <w:jc w:val="left"/>
              <w:rPr/>
            </w:pPr>
            <w:hyperlink w:anchor="tm2617112d1_ex99-1.htm">
              <w:r>
                <w:rPr>
                  <w:rStyle w:val="InternetLink"/>
                  <w:rFonts w:ascii="Times New Roman;Times;Serif" w:hAnsi="Times New Roman;Times;Serif"/>
                  <w:sz w:val="20"/>
                </w:rPr>
                <w:t>99.1 </w:t>
              </w:r>
            </w:hyperlink>
          </w:p>
        </w:tc>
        <w:tc>
          <w:tcPr>
            <w:tcW w:w="60" w:type="dxa"/>
            <w:tcBorders/>
            <w:tcMar>
              <w:bottom w:w="0" w:type="dxa"/>
            </w:tcMar>
            <w:vAlign w:val="center"/>
          </w:tcPr>
          <w:p>
            <w:pPr>
              <w:pStyle w:val="TableContents"/>
              <w:bidi w:val="0"/>
              <w:spacing w:before="0" w:after="283"/>
              <w:jc w:val="left"/>
              <w:rPr/>
            </w:pPr>
            <w:r>
              <w:rPr/>
              <w:t> </w:t>
            </w:r>
          </w:p>
        </w:tc>
        <w:tc>
          <w:tcPr>
            <w:tcW w:w="7805" w:type="dxa"/>
            <w:tcBorders/>
            <w:tcMar>
              <w:bottom w:w="0" w:type="dxa"/>
            </w:tcMar>
            <w:vAlign w:val="center"/>
          </w:tcPr>
          <w:p>
            <w:pPr>
              <w:pStyle w:val="TableContents"/>
              <w:bidi w:val="0"/>
              <w:spacing w:before="0" w:after="283"/>
              <w:jc w:val="left"/>
              <w:rPr/>
            </w:pPr>
            <w:hyperlink w:anchor="tm2617112d1_ex99-1.htm">
              <w:r>
                <w:rPr>
                  <w:rStyle w:val="InternetLink"/>
                  <w:rFonts w:ascii="Times New Roman;Times;Serif" w:hAnsi="Times New Roman;Times;Serif"/>
                  <w:sz w:val="20"/>
                </w:rPr>
                <w:t>Press Release dated June 9, 2026</w:t>
              </w:r>
            </w:hyperlink>
          </w:p>
        </w:tc>
      </w:tr>
      <w:tr>
        <w:trPr/>
        <w:tc>
          <w:tcPr>
            <w:tcW w:w="10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805" w:type="dxa"/>
            <w:tcBorders/>
            <w:tcMar>
              <w:bottom w:w="0" w:type="dxa"/>
            </w:tcMar>
            <w:vAlign w:val="center"/>
          </w:tcPr>
          <w:p>
            <w:pPr>
              <w:pStyle w:val="TableContents"/>
              <w:bidi w:val="0"/>
              <w:spacing w:before="0" w:after="283"/>
              <w:jc w:val="left"/>
              <w:rPr/>
            </w:pPr>
            <w:r>
              <w:rPr/>
              <w:t> </w:t>
            </w:r>
          </w:p>
        </w:tc>
      </w:tr>
      <w:tr>
        <w:trPr/>
        <w:tc>
          <w:tcPr>
            <w:tcW w:w="10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104 </w:t>
            </w:r>
          </w:p>
        </w:tc>
        <w:tc>
          <w:tcPr>
            <w:tcW w:w="60" w:type="dxa"/>
            <w:tcBorders/>
            <w:tcMar>
              <w:bottom w:w="0" w:type="dxa"/>
            </w:tcMar>
            <w:vAlign w:val="center"/>
          </w:tcPr>
          <w:p>
            <w:pPr>
              <w:pStyle w:val="TableContents"/>
              <w:bidi w:val="0"/>
              <w:spacing w:before="0" w:after="283"/>
              <w:jc w:val="left"/>
              <w:rPr/>
            </w:pPr>
            <w:r>
              <w:rPr/>
              <w:t> </w:t>
            </w:r>
          </w:p>
        </w:tc>
        <w:tc>
          <w:tcPr>
            <w:tcW w:w="7805" w:type="dxa"/>
            <w:tcBorders/>
            <w:tcMar>
              <w:bottom w:w="0" w:type="dxa"/>
            </w:tcMar>
            <w:vAlign w:val="center"/>
          </w:tcPr>
          <w:p>
            <w:pPr>
              <w:pStyle w:val="TableContents"/>
              <w:bidi w:val="0"/>
              <w:spacing w:before="0" w:after="283"/>
              <w:jc w:val="left"/>
              <w:rPr/>
            </w:pPr>
            <w:r>
              <w:rPr/>
              <w:t>Cover Page Interactive Data File (embedded within the Inline XBRL document)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490" w:type="dxa"/>
        <w:jc w:val="left"/>
        <w:tblInd w:w="0" w:type="dxa"/>
        <w:tblLayout w:type="fixed"/>
        <w:tblCellMar>
          <w:top w:w="0" w:type="dxa"/>
          <w:left w:w="0" w:type="dxa"/>
          <w:bottom w:w="0" w:type="dxa"/>
          <w:right w:w="0" w:type="dxa"/>
        </w:tblCellMar>
      </w:tblPr>
      <w:tblGrid>
        <w:gridCol w:w="470"/>
        <w:gridCol w:w="1055"/>
        <w:gridCol w:w="545"/>
        <w:gridCol w:w="5420"/>
      </w:tblGrid>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MICRON TECHNOLOGY, INC.</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0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9,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pPr>
            <w:r>
              <w:rPr/>
              <w:t>/s/ Michael Ray</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Ray</w:t>
            </w:r>
          </w:p>
        </w:tc>
      </w:tr>
      <w:tr>
        <w:trPr/>
        <w:tc>
          <w:tcPr>
            <w:tcW w:w="47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17112d1_ex99-1.htm"/>
      <w:bookmarkStart w:id="23" w:name="kstm2617112d1_ex991"/>
      <w:bookmarkEnd w:id="22"/>
      <w:bookmarkEnd w:id="2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960120" cy="2654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60120" cy="265430"/>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color w:val="222222"/>
          <w:sz w:val="20"/>
          <w:shd w:fill="FFFFFF" w:val="clear"/>
        </w:rPr>
        <w:t xml:space="preserve">Micron Appoints </w:t>
      </w:r>
      <w:r>
        <w:rPr>
          <w:rFonts w:ascii="Times New Roman;Times;Serif" w:hAnsi="Times New Roman;Times;Serif"/>
          <w:b/>
          <w:i w:val="false"/>
          <w:caps w:val="false"/>
          <w:smallCaps w:val="false"/>
          <w:sz w:val="20"/>
        </w:rPr>
        <w:t>Alexis Black Björlin to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222222"/>
          <w:sz w:val="20"/>
          <w:shd w:fill="FFFFFF" w:val="clear"/>
        </w:rPr>
        <w:t xml:space="preserve">BOISE, Idaho, June 9, 2026 </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22222"/>
          <w:sz w:val="20"/>
          <w:shd w:fill="FFFFFF" w:val="clear"/>
        </w:rPr>
        <w:t xml:space="preserve">Micron Technology, Inc. (Nasdaq: MU) today announced </w:t>
      </w:r>
      <w:r>
        <w:rPr>
          <w:rFonts w:ascii="Times New Roman;Times;Serif" w:hAnsi="Times New Roman;Times;Serif"/>
          <w:b w:val="false"/>
          <w:i w:val="false"/>
          <w:caps w:val="false"/>
          <w:smallCaps w:val="false"/>
          <w:color w:val="222222"/>
          <w:sz w:val="20"/>
        </w:rPr>
        <w:t>the appointment of</w:t>
      </w:r>
      <w:r>
        <w:rPr>
          <w:rFonts w:ascii="Times New Roman;Times;Serif" w:hAnsi="Times New Roman;Times;Serif"/>
          <w:b w:val="false"/>
          <w:i w:val="false"/>
          <w:caps w:val="false"/>
          <w:smallCaps w:val="false"/>
          <w:sz w:val="20"/>
        </w:rPr>
        <w:t xml:space="preserve"> Dr. Alexis Black Björlin to its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Björlin is a highly accomplished technology executive with deep experience spanning artificial intelligence infrastructure, cloud platforms, semiconductors, networking and optical systems. She is currently Chief Strategy Officer at General Catalyst. Previously, Dr. Björlin served as senior vice president and general manager of DGX Cloud at NVIDIA. She has also held senior leadership roles at several other leading technology companies, including vice president of infrastructure at Meta Platforms, senior vice president and general manager of the Optical Systems division at Broadcom, corporate vice president of Intel’s Data Center Group and president of Source Photonics.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Björlin has served on the boards of Digital Realty, Astera Labs, Celestial AI, and the Global Semiconductor Alliance.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Alexis is a respected technology and business leader with exceptional expertise at the intersection of AI infrastructure, cloud systems and semiconductors,” said Sanjay Mehrotra, Chairman, President and CEO of Micron. “Her experience leading large-scale technology platforms and advancing some of the industry’s most important innovations will be a tremendous asset to Micron. We are very pleased to welcome Alexis to our board and look forward to the insight she will bring as we continue to build on our technology leadership and capture the significant opportunities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delighted to welcome Alexis to the Micron board of directors,” said Lynn Dugle, Micron’s lead independent director. “Alexis brings a rare combination of technical depth, strategic vision and operating experience across some of the world’s most important technology companies. I am confident she will contribute to our board’s work and to Micron’s long-term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Björlin holds a Bachelor of Science in materials science and engineering from the Massachusetts Institute of Technology and a Ph.D. in materials science from the University of California, Santa Barbara.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22222"/>
          <w:sz w:val="20"/>
          <w:shd w:fill="FFFFFF" w:val="clear"/>
        </w:rPr>
      </w:pPr>
      <w:r>
        <w:rPr>
          <w:rFonts w:ascii="Times New Roman;Times;Serif" w:hAnsi="Times New Roman;Times;Serif"/>
          <w:b/>
          <w:i w:val="false"/>
          <w:caps w:val="false"/>
          <w:smallCaps w:val="false"/>
          <w:color w:val="222222"/>
          <w:sz w:val="20"/>
          <w:shd w:fill="FFFFFF" w:val="clear"/>
        </w:rPr>
        <w:t>About Micron Technology,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Micron Technology, Inc. is an industry leader in innovative memory and storage solutions transforming how the world uses information to enrich life </w:t>
      </w:r>
      <w:r>
        <w:rPr>
          <w:rFonts w:ascii="Times New Roman;Times;Serif" w:hAnsi="Times New Roman;Times;Serif"/>
          <w:b w:val="false"/>
          <w:i/>
          <w:caps w:val="false"/>
          <w:smallCaps w:val="false"/>
          <w:sz w:val="20"/>
        </w:rPr>
        <w:t>for all</w:t>
      </w:r>
      <w:r>
        <w:rPr>
          <w:rFonts w:ascii="Times New Roman;Times;Serif" w:hAnsi="Times New Roman;Times;Serif"/>
          <w:b w:val="false"/>
          <w:i w:val="false"/>
          <w:caps w:val="false"/>
          <w:smallCaps w:val="false"/>
          <w:sz w:val="20"/>
        </w:rPr>
        <w:t>. With a relentless focus on our customers, technology leadership, and manufacturing and operational excellence, Micron delivers a rich portfolio of high-performance DRAM, NAND, and NOR memory and storage products.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micron.com.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2026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Micron Media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Plungy Micron Technology,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(408) 203-2910</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corpcomms@micron.com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Micron Investor Relations Contact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Satya Kumar Micron Technology,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(408) 450-6199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satyakumar@micron.com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1161</Words>
  <Characters>6535</Characters>
  <CharactersWithSpaces>7718</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