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051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0514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Liu Teyin M</w:t>
              </w:r>
            </w:hyperlink>
          </w:p>
        </w:tc>
        <w:tc>
          <w:tcPr>
            <w:tcW w:w="8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MICRON TECHNOLOGY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60" w:type="dxa"/>
            <w:vAlign w:val="bottom"/>
            <w:tcBorders>
              <w:top w:val="single" w:sz="8" w:color="0000EE"/>
            </w:tcBorders>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080" w:type="dxa"/>
            <w:vAlign w:val="bottom"/>
            <w:tcBorders>
              <w:top w:val="single" w:sz="8" w:color="0000EE"/>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84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660" w:type="dxa"/>
            <w:vAlign w:val="bottom"/>
            <w:tcBorders>
              <w:bottom w:val="single" w:sz="8" w:color="2C2C2C"/>
            </w:tcBorders>
          </w:tcPr>
          <w:p>
            <w:pPr>
              <w:spacing w:after="0"/>
              <w:rPr>
                <w:sz w:val="16"/>
                <w:szCs w:val="16"/>
                <w:color w:val="auto"/>
              </w:rPr>
            </w:pPr>
          </w:p>
        </w:tc>
        <w:tc>
          <w:tcPr>
            <w:tcW w:w="96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116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(Last)</w:t>
            </w:r>
          </w:p>
        </w:tc>
        <w:tc>
          <w:tcPr>
            <w:tcW w:w="840" w:type="dxa"/>
            <w:vAlign w:val="bottom"/>
            <w:tcBorders>
              <w:top w:val="single" w:sz="8" w:color="EEEEEE"/>
            </w:tcBorders>
            <w:vMerge w:val="restart"/>
          </w:tcPr>
          <w:p>
            <w:pPr>
              <w:ind w:left="6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294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01/13/2026</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8000 S. FEDERAL WAY</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265"/>
          </w:cols>
          <w:pgMar w:left="460" w:top="219" w:right="43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7"/>
                <w:szCs w:val="17"/>
                <w:color w:val="0000FF"/>
              </w:rPr>
              <w:t>BOISE</w:t>
            </w:r>
          </w:p>
        </w:tc>
        <w:tc>
          <w:tcPr>
            <w:tcW w:w="118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ID</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83716</w:t>
            </w:r>
          </w:p>
        </w:tc>
      </w:tr>
      <w:tr>
        <w:trPr>
          <w:trHeight w:val="155"/>
        </w:trPr>
        <w:tc>
          <w:tcPr>
            <w:tcW w:w="40" w:type="dxa"/>
            <w:vAlign w:val="bottom"/>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(City)</w:t>
            </w:r>
          </w:p>
        </w:tc>
        <w:tc>
          <w:tcPr>
            <w:tcW w:w="1180" w:type="dxa"/>
            <w:vAlign w:val="bottom"/>
          </w:tcPr>
          <w:p>
            <w:pPr>
              <w:ind w:left="3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08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jc w:val="center"/>
              <w:ind w:left="50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Borders>
              <w:bottom w:val="single" w:sz="8" w:color="2C2C2C"/>
            </w:tcBorders>
          </w:tcPr>
          <w:p>
            <w:pPr>
              <w:jc w:val="center"/>
              <w:ind w:left="507"/>
              <w:spacing w:after="0"/>
              <w:rPr>
                <w:sz w:val="20"/>
                <w:szCs w:val="20"/>
                <w:color w:val="auto"/>
              </w:rPr>
            </w:pPr>
            <w:r>
              <w:rPr>
                <w:rFonts w:ascii="Times New Roman" w:cs="Times New Roman" w:eastAsia="Times New Roman" w:hAnsi="Times New Roman"/>
                <w:sz w:val="17"/>
                <w:szCs w:val="17"/>
                <w:color w:val="0000FF"/>
              </w:rPr>
              <w:t>01/13/2026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11,600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337.07</w:t>
            </w:r>
            <w:r>
              <w:rPr>
                <w:rFonts w:ascii="Times New Roman" w:cs="Times New Roman" w:eastAsia="Times New Roman" w:hAnsi="Times New Roman"/>
                <w:sz w:val="22"/>
                <w:szCs w:val="22"/>
                <w:color w:val="008000"/>
                <w:w w:val="95"/>
                <w:vertAlign w:val="superscript"/>
              </w:rPr>
              <w:t>(1)</w:t>
            </w:r>
          </w:p>
        </w:tc>
        <w:tc>
          <w:tcPr>
            <w:tcW w:w="11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14,310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Borders>
              <w:bottom w:val="single" w:sz="8" w:color="2C2C2C"/>
            </w:tcBorders>
          </w:tcPr>
          <w:p>
            <w:pPr>
              <w:jc w:val="center"/>
              <w:ind w:left="507"/>
              <w:spacing w:after="0"/>
              <w:rPr>
                <w:sz w:val="20"/>
                <w:szCs w:val="20"/>
                <w:color w:val="auto"/>
              </w:rPr>
            </w:pPr>
            <w:r>
              <w:rPr>
                <w:rFonts w:ascii="Times New Roman" w:cs="Times New Roman" w:eastAsia="Times New Roman" w:hAnsi="Times New Roman"/>
                <w:sz w:val="17"/>
                <w:szCs w:val="17"/>
                <w:color w:val="0000FF"/>
              </w:rPr>
              <w:t>01/14/2026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3,780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336.63</w:t>
            </w:r>
            <w:r>
              <w:rPr>
                <w:rFonts w:ascii="Times New Roman" w:cs="Times New Roman" w:eastAsia="Times New Roman" w:hAnsi="Times New Roman"/>
                <w:sz w:val="22"/>
                <w:szCs w:val="22"/>
                <w:color w:val="008000"/>
                <w:w w:val="95"/>
                <w:vertAlign w:val="superscript"/>
              </w:rPr>
              <w:t>(2)</w:t>
            </w:r>
          </w:p>
        </w:tc>
        <w:tc>
          <w:tcPr>
            <w:tcW w:w="11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18,090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Borders>
              <w:bottom w:val="single" w:sz="8" w:color="2C2C2C"/>
            </w:tcBorders>
          </w:tcPr>
          <w:p>
            <w:pPr>
              <w:jc w:val="center"/>
              <w:ind w:left="507"/>
              <w:spacing w:after="0"/>
              <w:rPr>
                <w:sz w:val="20"/>
                <w:szCs w:val="20"/>
                <w:color w:val="auto"/>
              </w:rPr>
            </w:pPr>
            <w:r>
              <w:rPr>
                <w:rFonts w:ascii="Times New Roman" w:cs="Times New Roman" w:eastAsia="Times New Roman" w:hAnsi="Times New Roman"/>
                <w:sz w:val="17"/>
                <w:szCs w:val="17"/>
                <w:color w:val="0000FF"/>
              </w:rPr>
              <w:t>01/14/2026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7,820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337.5</w:t>
            </w:r>
            <w:r>
              <w:rPr>
                <w:rFonts w:ascii="Times New Roman" w:cs="Times New Roman" w:eastAsia="Times New Roman" w:hAnsi="Times New Roman"/>
                <w:sz w:val="22"/>
                <w:szCs w:val="22"/>
                <w:color w:val="008000"/>
                <w:w w:val="95"/>
                <w:vertAlign w:val="superscript"/>
              </w:rPr>
              <w:t>(3)</w:t>
            </w:r>
          </w:p>
        </w:tc>
        <w:tc>
          <w:tcPr>
            <w:tcW w:w="11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25,910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purchased in multiple transactions at prices ranging from $336.90 to $337.20 per share, inclusive. The Reporting Person undertakes to provide to the Issuer, any security holder of the Issuer, or to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purchased in multiple transactions at prices ranging from $335.97 to $336.90 per share, inclusive. The Reporting Person undertakes to provide to the Issuer, any security holder of the Issuer, or to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purchased in multiple transactions at prices ranging from $336.98 to $337.77 per share, inclusive. The Reporting Person undertakes to provide to the Issuer, any security holder of the Issuer, or to the staff of the Securities and Exchange Commission, upon request, full information regarding the number of shares purchased at each separate price within the range set forth in this footnote.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Mai Lan Bui, Attorney-in-fact 01/15/2026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58769" TargetMode="External"/><Relationship Id="rId14"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2026-01-15T18:41:32Z</dcterms:created>
  <dcterms:modified xsi:type="dcterms:W3CDTF">2026-01-15T18:41:32Z</dcterms:modified>
</cp:coreProperties>
</file>