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5</w:t>
      </w:r>
    </w:p>
    <w:p>
      <w:pPr>
        <w:spacing w:after="0" w:line="52"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5</w:t>
      </w:r>
    </w:p>
    <w:p>
      <w:pPr>
        <w:spacing w:after="0" w:line="165" w:lineRule="exact"/>
        <w:rPr>
          <w:sz w:val="24"/>
          <w:szCs w:val="24"/>
          <w:color w:val="auto"/>
        </w:rPr>
      </w:pPr>
    </w:p>
    <w:p>
      <w:pPr>
        <w:ind w:left="36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-245110</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76835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127" w:lineRule="exact"/>
        <w:rPr>
          <w:sz w:val="24"/>
          <w:szCs w:val="24"/>
          <w:color w:val="auto"/>
        </w:rPr>
      </w:pPr>
    </w:p>
    <w:p>
      <w:pPr>
        <w:ind w:left="360"/>
        <w:spacing w:after="0"/>
        <w:rPr>
          <w:sz w:val="20"/>
          <w:szCs w:val="20"/>
          <w:color w:val="auto"/>
        </w:rPr>
      </w:pPr>
      <w:r>
        <w:rPr>
          <w:rFonts w:ascii="Arial" w:cs="Arial" w:eastAsia="Arial" w:hAnsi="Arial"/>
          <w:sz w:val="12"/>
          <w:szCs w:val="12"/>
          <w:color w:val="auto"/>
        </w:rPr>
        <w:t>Form 3 Holdings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107950</wp:posOffset>
            </wp:positionV>
            <wp:extent cx="127000" cy="127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163" w:lineRule="exact"/>
        <w:rPr>
          <w:sz w:val="24"/>
          <w:szCs w:val="24"/>
          <w:color w:val="auto"/>
        </w:rPr>
      </w:pPr>
    </w:p>
    <w:p>
      <w:pPr>
        <w:ind w:left="360"/>
        <w:spacing w:after="0"/>
        <w:rPr>
          <w:sz w:val="20"/>
          <w:szCs w:val="20"/>
          <w:color w:val="auto"/>
        </w:rPr>
      </w:pPr>
      <w:r>
        <w:rPr>
          <w:rFonts w:ascii="Arial" w:cs="Arial" w:eastAsia="Arial" w:hAnsi="Arial"/>
          <w:sz w:val="12"/>
          <w:szCs w:val="12"/>
          <w:color w:val="auto"/>
        </w:rPr>
        <w:t>Form 4 Transactions Reported.</w:t>
      </w:r>
    </w:p>
    <w:p>
      <w:pPr>
        <w:spacing w:after="0" w:line="156"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-411480</wp:posOffset>
            </wp:positionV>
            <wp:extent cx="127000" cy="127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2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4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23"/>
              <w:spacing w:after="0" w:line="194" w:lineRule="exact"/>
              <w:rPr>
                <w:sz w:val="20"/>
                <w:szCs w:val="20"/>
                <w:color w:val="auto"/>
              </w:rPr>
            </w:pPr>
            <w:r>
              <w:rPr>
                <w:rFonts w:ascii="Arial" w:cs="Arial" w:eastAsia="Arial" w:hAnsi="Arial"/>
                <w:sz w:val="21"/>
                <w:szCs w:val="21"/>
                <w:b w:val="1"/>
                <w:bCs w:val="1"/>
                <w:color w:val="auto"/>
              </w:rPr>
              <w:t>ANNUAL STATEMENT OF CHANGES IN BENEFICIAL</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4"/>
        </w:trPr>
        <w:tc>
          <w:tcPr>
            <w:tcW w:w="63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6380" w:type="dxa"/>
            <w:vAlign w:val="bottom"/>
            <w:vMerge w:val="restart"/>
          </w:tcPr>
          <w:p>
            <w:pPr>
              <w:jc w:val="center"/>
              <w:ind w:right="43"/>
              <w:spacing w:after="0"/>
              <w:rPr>
                <w:sz w:val="20"/>
                <w:szCs w:val="20"/>
                <w:color w:val="auto"/>
              </w:rPr>
            </w:pPr>
            <w:r>
              <w:rPr>
                <w:rFonts w:ascii="Arial" w:cs="Arial" w:eastAsia="Arial" w:hAnsi="Arial"/>
                <w:sz w:val="21"/>
                <w:szCs w:val="21"/>
                <w:b w:val="1"/>
                <w:bCs w:val="1"/>
                <w:color w:val="auto"/>
              </w:rPr>
              <w:t>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7"/>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5312410</wp:posOffset>
            </wp:positionH>
            <wp:positionV relativeFrom="paragraph">
              <wp:posOffset>-648335</wp:posOffset>
            </wp:positionV>
            <wp:extent cx="59055" cy="661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4040505</wp:posOffset>
            </wp:positionH>
            <wp:positionV relativeFrom="paragraph">
              <wp:posOffset>-648335</wp:posOffset>
            </wp:positionV>
            <wp:extent cx="59055" cy="661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spacing w:after="0" w:line="74" w:lineRule="exact"/>
        <w:rPr>
          <w:sz w:val="24"/>
          <w:szCs w:val="24"/>
          <w:color w:val="auto"/>
        </w:rPr>
      </w:pPr>
    </w:p>
    <w:p>
      <w:pPr>
        <w:jc w:val="center"/>
        <w:ind w:right="2360"/>
        <w:spacing w:after="0"/>
        <w:rPr>
          <w:sz w:val="20"/>
          <w:szCs w:val="20"/>
          <w:color w:val="auto"/>
        </w:rPr>
      </w:pPr>
      <w:r>
        <w:rPr>
          <w:rFonts w:ascii="Arial" w:cs="Arial" w:eastAsia="Arial" w:hAnsi="Arial"/>
          <w:sz w:val="13"/>
          <w:szCs w:val="13"/>
          <w:color w:val="auto"/>
        </w:rPr>
        <w:t>Filed pursuant to Section 16(a) of the Securities Exchange Act of 1934</w:t>
      </w:r>
    </w:p>
    <w:p>
      <w:pPr>
        <w:spacing w:after="0" w:line="9" w:lineRule="exact"/>
        <w:rPr>
          <w:sz w:val="24"/>
          <w:szCs w:val="24"/>
          <w:color w:val="auto"/>
        </w:rPr>
      </w:pPr>
    </w:p>
    <w:p>
      <w:pPr>
        <w:jc w:val="center"/>
        <w:ind w:right="23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766445</wp:posOffset>
            </wp:positionV>
            <wp:extent cx="6988810" cy="46228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88810" cy="4622800"/>
                    </a:xfrm>
                    <a:prstGeom prst="rect">
                      <a:avLst/>
                    </a:prstGeom>
                    <a:noFill/>
                  </pic:spPr>
                </pic:pic>
              </a:graphicData>
            </a:graphic>
          </wp:anchor>
        </w:drawing>
      </w:r>
    </w:p>
    <w:p>
      <w:pPr>
        <w:spacing w:after="0" w:line="1278" w:lineRule="exact"/>
        <w:rPr>
          <w:sz w:val="24"/>
          <w:szCs w:val="24"/>
          <w:color w:val="auto"/>
        </w:rPr>
      </w:pPr>
    </w:p>
    <w:p>
      <w:pPr>
        <w:sectPr>
          <w:pgSz w:w="11900" w:h="16838" w:orient="portrait"/>
          <w:cols w:equalWidth="0" w:num="2">
            <w:col w:w="2340" w:space="14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CORDANO MICHAEL D</w:t>
        </w:r>
      </w:hyperlink>
    </w:p>
    <w:p>
      <w:pPr>
        <w:spacing w:after="0" w:line="31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ind w:left="360"/>
              <w:spacing w:after="0"/>
              <w:rPr>
                <w:sz w:val="20"/>
                <w:szCs w:val="20"/>
                <w:color w:val="auto"/>
              </w:rPr>
            </w:pPr>
            <w:r>
              <w:rPr>
                <w:rFonts w:ascii="Arial" w:cs="Arial" w:eastAsia="Arial" w:hAnsi="Arial"/>
                <w:sz w:val="13"/>
                <w:szCs w:val="13"/>
                <w:color w:val="auto"/>
              </w:rPr>
              <w:t>(First)</w:t>
            </w:r>
          </w:p>
        </w:tc>
        <w:tc>
          <w:tcPr>
            <w:tcW w:w="150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8000 S. FEDERAL WAY</w:t>
            </w:r>
          </w:p>
        </w:tc>
        <w:tc>
          <w:tcPr>
            <w:tcW w:w="1500" w:type="dxa"/>
            <w:vAlign w:val="bottom"/>
          </w:tcPr>
          <w:p>
            <w:pPr>
              <w:spacing w:after="0"/>
              <w:rPr>
                <w:sz w:val="24"/>
                <w:szCs w:val="24"/>
                <w:color w:val="auto"/>
              </w:rPr>
            </w:pPr>
          </w:p>
        </w:tc>
      </w:tr>
      <w:tr>
        <w:trPr>
          <w:trHeight w:val="209"/>
        </w:trPr>
        <w:tc>
          <w:tcPr>
            <w:tcW w:w="40" w:type="dxa"/>
            <w:vAlign w:val="bottom"/>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r>
      <w:tr>
        <w:trPr>
          <w:trHeight w:val="269"/>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12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50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83716</w:t>
            </w:r>
          </w:p>
        </w:tc>
      </w:tr>
      <w:tr>
        <w:trPr>
          <w:trHeight w:val="155"/>
        </w:trPr>
        <w:tc>
          <w:tcPr>
            <w:tcW w:w="4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360"/>
              <w:spacing w:after="0"/>
              <w:rPr>
                <w:sz w:val="20"/>
                <w:szCs w:val="20"/>
                <w:color w:val="auto"/>
              </w:rPr>
            </w:pPr>
            <w:r>
              <w:rPr>
                <w:rFonts w:ascii="Arial" w:cs="Arial" w:eastAsia="Arial" w:hAnsi="Arial"/>
                <w:sz w:val="13"/>
                <w:szCs w:val="13"/>
                <w:color w:val="auto"/>
              </w:rPr>
              <w:t>(State)</w:t>
            </w:r>
          </w:p>
        </w:tc>
        <w:tc>
          <w:tcPr>
            <w:tcW w:w="150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3760" w:type="dxa"/>
            <w:vAlign w:val="bottom"/>
            <w:gridSpan w:val="3"/>
          </w:tcPr>
          <w:p>
            <w:pPr>
              <w:spacing w:after="0" w:line="147" w:lineRule="exact"/>
              <w:rPr>
                <w:rFonts w:ascii="Times New Roman" w:cs="Times New Roman" w:eastAsia="Times New Roman" w:hAnsi="Times New Roman"/>
                <w:sz w:val="17"/>
                <w:szCs w:val="17"/>
                <w:color w:val="0000EE"/>
              </w:rPr>
            </w:pPr>
            <w:hyperlink r:id="rId16">
              <w:r>
                <w:rPr>
                  <w:rFonts w:ascii="Times New Roman" w:cs="Times New Roman" w:eastAsia="Times New Roman" w:hAnsi="Times New Roman"/>
                  <w:sz w:val="17"/>
                  <w:szCs w:val="17"/>
                  <w:color w:val="0000EE"/>
                </w:rPr>
                <w:t xml:space="preserve">MICRON TECHNOLOGY INC </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4"/>
                <w:szCs w:val="14"/>
                <w:color w:val="0000FF"/>
              </w:rPr>
              <w:t>MU</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66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266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6"/>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Statement for Issuer's Fiscal Year Ended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53"/>
        </w:trPr>
        <w:tc>
          <w:tcPr>
            <w:tcW w:w="28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08/28/2025</w:t>
            </w: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10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EVP, Worldwide Sales</w:t>
            </w:r>
          </w:p>
        </w:tc>
        <w:tc>
          <w:tcPr>
            <w:tcW w:w="0" w:type="dxa"/>
            <w:vAlign w:val="bottom"/>
          </w:tcPr>
          <w:p>
            <w:pPr>
              <w:spacing w:after="0"/>
              <w:rPr>
                <w:sz w:val="1"/>
                <w:szCs w:val="1"/>
                <w:color w:val="auto"/>
              </w:rPr>
            </w:pPr>
          </w:p>
        </w:tc>
      </w:tr>
      <w:tr>
        <w:trPr>
          <w:trHeight w:val="249"/>
        </w:trPr>
        <w:tc>
          <w:tcPr>
            <w:tcW w:w="6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2660" w:type="dxa"/>
            <w:vAlign w:val="bottom"/>
            <w:tcBorders>
              <w:bottom w:val="single" w:sz="8" w:color="2C2C2C"/>
            </w:tcBorders>
          </w:tcPr>
          <w:p>
            <w:pPr>
              <w:spacing w:after="0"/>
              <w:rPr>
                <w:sz w:val="21"/>
                <w:szCs w:val="21"/>
                <w:color w:val="auto"/>
              </w:rPr>
            </w:pPr>
          </w:p>
        </w:tc>
        <w:tc>
          <w:tcPr>
            <w:tcW w:w="9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3100" w:type="dxa"/>
            <w:vAlign w:val="bottom"/>
            <w:tcBorders>
              <w:bottom w:val="single" w:sz="8" w:color="2C2C2C"/>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40" w:space="10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6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120" w:type="dxa"/>
            <w:vAlign w:val="bottom"/>
          </w:tcPr>
          <w:p>
            <w:pPr>
              <w:ind w:left="4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2"/>
                <w:szCs w:val="12"/>
                <w:color w:val="auto"/>
              </w:rPr>
            </w:pP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2"/>
                <w:szCs w:val="12"/>
                <w:color w:val="auto"/>
              </w:rPr>
            </w:pPr>
          </w:p>
        </w:tc>
        <w:tc>
          <w:tcPr>
            <w:tcW w:w="2240" w:type="dxa"/>
            <w:vAlign w:val="bottom"/>
            <w:gridSpan w:val="5"/>
          </w:tcPr>
          <w:p>
            <w:pPr>
              <w:ind w:left="60"/>
              <w:spacing w:after="0"/>
              <w:rPr>
                <w:sz w:val="20"/>
                <w:szCs w:val="20"/>
                <w:color w:val="auto"/>
              </w:rPr>
            </w:pPr>
            <w:r>
              <w:rPr>
                <w:rFonts w:ascii="Arial" w:cs="Arial" w:eastAsia="Arial" w:hAnsi="Arial"/>
                <w:sz w:val="12"/>
                <w:szCs w:val="12"/>
                <w:b w:val="1"/>
                <w:bCs w:val="1"/>
                <w:color w:val="auto"/>
                <w:w w:val="98"/>
              </w:rPr>
              <w:t>4. Securities Acquired (A) or Disposed</w:t>
            </w:r>
          </w:p>
        </w:tc>
        <w:tc>
          <w:tcPr>
            <w:tcW w:w="12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260" w:type="dxa"/>
            <w:vAlign w:val="bottom"/>
          </w:tcPr>
          <w:p>
            <w:pPr>
              <w:spacing w:after="0"/>
              <w:rPr>
                <w:sz w:val="20"/>
                <w:szCs w:val="20"/>
                <w:color w:val="auto"/>
              </w:rPr>
            </w:pPr>
            <w:r>
              <w:rPr>
                <w:rFonts w:ascii="Arial" w:cs="Arial" w:eastAsia="Arial" w:hAnsi="Arial"/>
                <w:sz w:val="12"/>
                <w:szCs w:val="12"/>
                <w:b w:val="1"/>
                <w:bCs w:val="1"/>
                <w:color w:val="auto"/>
              </w:rPr>
              <w:t>6.</w:t>
            </w:r>
          </w:p>
        </w:tc>
        <w:tc>
          <w:tcPr>
            <w:tcW w:w="520" w:type="dxa"/>
            <w:vAlign w:val="bottom"/>
          </w:tcPr>
          <w:p>
            <w:pPr>
              <w:spacing w:after="0"/>
              <w:rPr>
                <w:sz w:val="12"/>
                <w:szCs w:val="12"/>
                <w:color w:val="auto"/>
              </w:rPr>
            </w:pP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Transaction</w:t>
            </w:r>
          </w:p>
        </w:tc>
        <w:tc>
          <w:tcPr>
            <w:tcW w:w="14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(D) (Instr. 3, 4 and 5)</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10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gridSpan w:val="2"/>
            <w:vMerge w:val="restart"/>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40"/>
              <w:spacing w:after="0" w:line="134"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Owned at end of</w:t>
            </w:r>
          </w:p>
        </w:tc>
        <w:tc>
          <w:tcPr>
            <w:tcW w:w="7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(D) or</w:t>
            </w:r>
          </w:p>
        </w:tc>
        <w:tc>
          <w:tcPr>
            <w:tcW w:w="1060" w:type="dxa"/>
            <w:vAlign w:val="bottom"/>
            <w:gridSpan w:val="4"/>
            <w:vMerge w:val="restart"/>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Issuer's Fiscal</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Amount</w:t>
            </w:r>
          </w:p>
        </w:tc>
        <w:tc>
          <w:tcPr>
            <w:tcW w:w="540" w:type="dxa"/>
            <w:vAlign w:val="bottom"/>
            <w:gridSpan w:val="2"/>
            <w:vMerge w:val="continue"/>
          </w:tcPr>
          <w:p>
            <w:pPr>
              <w:spacing w:after="0"/>
              <w:rPr>
                <w:sz w:val="5"/>
                <w:szCs w:val="5"/>
                <w:color w:val="auto"/>
              </w:rPr>
            </w:pPr>
          </w:p>
        </w:tc>
        <w:tc>
          <w:tcPr>
            <w:tcW w:w="780" w:type="dxa"/>
            <w:vAlign w:val="bottom"/>
            <w:gridSpan w:val="2"/>
            <w:vMerge w:val="restart"/>
          </w:tcPr>
          <w:p>
            <w:pPr>
              <w:ind w:left="80"/>
              <w:spacing w:after="0" w:line="134" w:lineRule="exact"/>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5"/>
                <w:szCs w:val="5"/>
                <w:color w:val="auto"/>
              </w:rPr>
            </w:pPr>
          </w:p>
        </w:tc>
        <w:tc>
          <w:tcPr>
            <w:tcW w:w="120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Year (Instr. 3 and</w:t>
            </w:r>
          </w:p>
        </w:tc>
        <w:tc>
          <w:tcPr>
            <w:tcW w:w="7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3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38,843</w:t>
            </w:r>
            <w:r>
              <w:rPr>
                <w:rFonts w:ascii="Times New Roman" w:cs="Times New Roman" w:eastAsia="Times New Roman" w:hAnsi="Times New Roman"/>
                <w:sz w:val="22"/>
                <w:szCs w:val="22"/>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940" w:type="dxa"/>
            <w:vAlign w:val="bottom"/>
            <w:gridSpan w:val="12"/>
          </w:tcPr>
          <w:p>
            <w:pPr>
              <w:ind w:left="5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Transaction</w:t>
            </w:r>
          </w:p>
        </w:tc>
        <w:tc>
          <w:tcPr>
            <w:tcW w:w="2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2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32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2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5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2"/>
          </w:tcPr>
          <w:p>
            <w:pPr>
              <w:ind w:left="520"/>
              <w:spacing w:after="0" w:line="134" w:lineRule="exact"/>
              <w:rPr>
                <w:sz w:val="20"/>
                <w:szCs w:val="20"/>
                <w:color w:val="auto"/>
              </w:rPr>
            </w:pPr>
            <w:r>
              <w:rPr>
                <w:rFonts w:ascii="Arial" w:cs="Arial" w:eastAsia="Arial" w:hAnsi="Arial"/>
                <w:sz w:val="12"/>
                <w:szCs w:val="12"/>
                <w:b w:val="1"/>
                <w:bCs w:val="1"/>
                <w:color w:val="auto"/>
              </w:rPr>
              <w:t>Expiration</w:t>
            </w:r>
          </w:p>
        </w:tc>
        <w:tc>
          <w:tcPr>
            <w:tcW w:w="220" w:type="dxa"/>
            <w:vAlign w:val="bottom"/>
          </w:tcPr>
          <w:p>
            <w:pPr>
              <w:spacing w:after="0"/>
              <w:rPr>
                <w:sz w:val="11"/>
                <w:szCs w:val="11"/>
                <w:color w:val="auto"/>
              </w:rPr>
            </w:pPr>
          </w:p>
        </w:tc>
        <w:tc>
          <w:tcPr>
            <w:tcW w:w="7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(D)</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32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-1801495</wp:posOffset>
            </wp:positionV>
            <wp:extent cx="29845" cy="18065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845" cy="180657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400" w:firstLine="7"/>
        <w:spacing w:after="0" w:line="273" w:lineRule="auto"/>
        <w:tabs>
          <w:tab w:leader="none" w:pos="174"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5 is being filed only to update securities beneficially owned to include 225.66 shares acquired on July 31, 2025 under the Micron Technology, Inc. Employee Stock Purchase Plan, which acquisition is exempt from reporting under Rules 16a3(f)(1)(i)(B) and 16b-3(c).</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9"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Mai Lan Bui, Attorney-in-fact 10/02/2025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4185920</wp:posOffset>
            </wp:positionH>
            <wp:positionV relativeFrom="paragraph">
              <wp:posOffset>-3810</wp:posOffset>
            </wp:positionV>
            <wp:extent cx="19018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901825" cy="8255"/>
                    </a:xfrm>
                    <a:prstGeom prst="rect">
                      <a:avLst/>
                    </a:prstGeom>
                    <a:noFill/>
                  </pic:spPr>
                </pic:pic>
              </a:graphicData>
            </a:graphic>
          </wp:anchor>
        </w:drawing>
      </w:r>
    </w:p>
    <w:p>
      <w:pPr>
        <w:spacing w:after="0" w:line="5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32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5" Type="http://schemas.openxmlformats.org/officeDocument/2006/relationships/hyperlink" Target="http://www.sec.gov/cgi-bin/browse-edgar?action=getcompany&amp;CIK=0001201490" TargetMode="External"/><Relationship Id="rId16"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2025-10-02T17:28:19Z</dcterms:created>
  <dcterms:modified xsi:type="dcterms:W3CDTF">2025-10-02T17:28:19Z</dcterms:modified>
</cp:coreProperties>
</file>