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17, 2025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6350</wp:posOffset>
            </wp:positionV>
            <wp:extent cx="1645920"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2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December 17, 2025, Micron Technology, Inc. (the "Company", "we" or "our") announced the financial results for our first quarter of fiscal 2026 ended November 27, 2025. The full text of the press release issued in connection with the announcement is attached as Exhibit 99.1 to this Current Report on Form 8-K.</w:t>
      </w: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Item 2.02 and Exhibit 99.1 of this Current Report on Form 8-K shall not be deemed "filed" for the purposes of Section 18 of the Securities Exchange Act of 1934, as amended (the "Exchange Act"), or otherwise subject to the liabilities of that section. The information in Item 2.02 and Exhibit 99.1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71"/>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620" w:type="dxa"/>
            <w:vAlign w:val="bottom"/>
            <w:tcBorders>
              <w:top w:val="single" w:sz="8" w:color="auto"/>
              <w:bottom w:val="single" w:sz="8" w:color="BD03F7"/>
            </w:tcBorders>
          </w:tcPr>
          <w:p>
            <w:pPr>
              <w:spacing w:after="0" w:line="182" w:lineRule="exact"/>
              <w:rPr>
                <w:sz w:val="20"/>
                <w:szCs w:val="20"/>
                <w:color w:val="auto"/>
              </w:rPr>
            </w:pPr>
            <w:r>
              <w:rPr>
                <w:rFonts w:ascii="Arial" w:cs="Arial" w:eastAsia="Arial" w:hAnsi="Arial"/>
                <w:sz w:val="18"/>
                <w:szCs w:val="18"/>
                <w:color w:val="BD03F7"/>
                <w:w w:val="99"/>
              </w:rPr>
              <w:t>Press Release issued on December 17, 2025</w:t>
            </w:r>
          </w:p>
        </w:tc>
        <w:tc>
          <w:tcPr>
            <w:tcW w:w="5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54"/>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1"/>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900" w:type="dxa"/>
            <w:vAlign w:val="bottom"/>
          </w:tcPr>
          <w:p>
            <w:pPr>
              <w:spacing w:after="0"/>
              <w:rPr>
                <w:sz w:val="21"/>
                <w:szCs w:val="21"/>
                <w:color w:val="auto"/>
              </w:rPr>
            </w:pPr>
          </w:p>
        </w:tc>
        <w:tc>
          <w:tcPr>
            <w:tcW w:w="7320" w:type="dxa"/>
            <w:vAlign w:val="bottom"/>
            <w:gridSpan w:val="2"/>
          </w:tcPr>
          <w:p>
            <w:pPr>
              <w:ind w:left="156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900" w:type="dxa"/>
            <w:vAlign w:val="bottom"/>
          </w:tcPr>
          <w:p>
            <w:pPr>
              <w:spacing w:after="0"/>
              <w:rPr>
                <w:sz w:val="20"/>
                <w:szCs w:val="20"/>
                <w:color w:val="auto"/>
              </w:rPr>
            </w:pPr>
            <w:r>
              <w:rPr>
                <w:rFonts w:ascii="Arial" w:cs="Arial" w:eastAsia="Arial" w:hAnsi="Arial"/>
                <w:sz w:val="18"/>
                <w:szCs w:val="18"/>
                <w:color w:val="auto"/>
              </w:rPr>
              <w:t>Date:   December 17, 2025</w:t>
            </w:r>
          </w:p>
        </w:tc>
        <w:tc>
          <w:tcPr>
            <w:tcW w:w="2460" w:type="dxa"/>
            <w:vAlign w:val="bottom"/>
          </w:tcPr>
          <w:p>
            <w:pPr>
              <w:ind w:left="15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900" w:type="dxa"/>
            <w:vAlign w:val="bottom"/>
          </w:tcPr>
          <w:p>
            <w:pPr>
              <w:spacing w:after="0"/>
              <w:rPr>
                <w:sz w:val="18"/>
                <w:szCs w:val="18"/>
                <w:color w:val="auto"/>
              </w:rPr>
            </w:pPr>
          </w:p>
        </w:tc>
        <w:tc>
          <w:tcPr>
            <w:tcW w:w="2460" w:type="dxa"/>
            <w:vAlign w:val="bottom"/>
          </w:tcPr>
          <w:p>
            <w:pPr>
              <w:ind w:left="156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900" w:type="dxa"/>
            <w:vAlign w:val="bottom"/>
          </w:tcPr>
          <w:p>
            <w:pPr>
              <w:spacing w:after="0"/>
              <w:rPr>
                <w:sz w:val="20"/>
                <w:szCs w:val="20"/>
                <w:color w:val="auto"/>
              </w:rPr>
            </w:pPr>
          </w:p>
        </w:tc>
        <w:tc>
          <w:tcPr>
            <w:tcW w:w="2460" w:type="dxa"/>
            <w:vAlign w:val="bottom"/>
          </w:tcPr>
          <w:p>
            <w:pPr>
              <w:ind w:left="156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Satya Kumar</w:t>
            </w:r>
          </w:p>
        </w:tc>
        <w:tc>
          <w:tcPr>
            <w:tcW w:w="1780" w:type="dxa"/>
            <w:vAlign w:val="bottom"/>
          </w:tcPr>
          <w:p>
            <w:pPr>
              <w:spacing w:after="0"/>
              <w:rPr>
                <w:sz w:val="20"/>
                <w:szCs w:val="20"/>
                <w:color w:val="auto"/>
              </w:rPr>
            </w:pPr>
            <w:r>
              <w:rPr>
                <w:rFonts w:ascii="Arial" w:cs="Arial" w:eastAsia="Arial" w:hAnsi="Arial"/>
                <w:sz w:val="18"/>
                <w:szCs w:val="18"/>
                <w:color w:val="auto"/>
              </w:rPr>
              <w:t>Mark Plungy</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780" w:type="dxa"/>
            <w:vAlign w:val="bottom"/>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BD03F7"/>
              </w:rPr>
              <w:t>satyakumar@micron.com</w:t>
            </w:r>
          </w:p>
        </w:tc>
        <w:tc>
          <w:tcPr>
            <w:tcW w:w="1780" w:type="dxa"/>
            <w:vAlign w:val="bottom"/>
          </w:tcPr>
          <w:p>
            <w:pPr>
              <w:spacing w:after="0" w:line="195" w:lineRule="exact"/>
              <w:rPr>
                <w:sz w:val="20"/>
                <w:szCs w:val="20"/>
                <w:color w:val="auto"/>
              </w:rPr>
            </w:pPr>
            <w:r>
              <w:rPr>
                <w:rFonts w:ascii="Arial" w:cs="Arial" w:eastAsia="Arial" w:hAnsi="Arial"/>
                <w:sz w:val="18"/>
                <w:szCs w:val="18"/>
                <w:color w:val="BD03F7"/>
                <w:w w:val="98"/>
              </w:rPr>
              <w:t>mplungy@micron.com</w:t>
            </w:r>
          </w:p>
        </w:tc>
      </w:tr>
      <w:tr>
        <w:trPr>
          <w:trHeight w:val="254"/>
        </w:trPr>
        <w:tc>
          <w:tcPr>
            <w:tcW w:w="1500" w:type="dxa"/>
            <w:vAlign w:val="bottom"/>
          </w:tcPr>
          <w:p>
            <w:pPr>
              <w:spacing w:after="0"/>
              <w:rPr>
                <w:sz w:val="22"/>
                <w:szCs w:val="22"/>
                <w:color w:val="auto"/>
              </w:rPr>
            </w:pPr>
          </w:p>
        </w:tc>
        <w:tc>
          <w:tcPr>
            <w:tcW w:w="204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450-6199</w:t>
            </w:r>
          </w:p>
        </w:tc>
        <w:tc>
          <w:tcPr>
            <w:tcW w:w="1060" w:type="dxa"/>
            <w:vAlign w:val="bottom"/>
          </w:tcPr>
          <w:p>
            <w:pPr>
              <w:spacing w:after="0"/>
              <w:rPr>
                <w:sz w:val="22"/>
                <w:szCs w:val="22"/>
                <w:color w:val="auto"/>
              </w:rPr>
            </w:pPr>
          </w:p>
        </w:tc>
        <w:tc>
          <w:tcPr>
            <w:tcW w:w="178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203-2910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QUARTER OF FISCAL 2026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 demand acceleration and Micron execution drive record fiscal Q1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including highest ever free cash flow</w:t>
      </w:r>
    </w:p>
    <w:p>
      <w:pPr>
        <w:spacing w:after="0" w:line="22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December 17, 2025 – Micron Technology, Inc. (Nasdaq: MU) today announced results for its first quarter of fiscal 2026,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November 27, 2025.</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Q1 2026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$13.64 billion versus $11.32 billion for the prior quarter and $8.71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$5.24 billion, or $4.60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$5.48 billion, or $4.78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$8.41 billion versus $5.73 billion for the prior quarter and $3.24 billion for the same period last year</w:t>
      </w:r>
    </w:p>
    <w:p>
      <w:pPr>
        <w:spacing w:after="0" w:line="23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fiscal Q1, Micron delivered record revenue and significant margin expansion at the company level and also in each of our business units,” said Sanjay Mehrotra, Chairman, President and CEO of Micron Technology. “Our Q2 outlook reflects substantial records across revenue, gross margin, EPS and free cash flow, and we anticipate our business performance to continue strengthening through fiscal 2026. Micron’s technology leadership, differentiated product portfolio, and strong operational execution position us as an essential AI enabler, and we are investing to support our customers’ growing need for memory and storage.”</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0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Non-GAAP</w:t>
            </w:r>
            <w:r>
              <w:rPr>
                <w:rFonts w:ascii="Arial" w:cs="Arial" w:eastAsia="Arial" w:hAnsi="Arial"/>
                <w:sz w:val="23"/>
                <w:szCs w:val="23"/>
                <w:b w:val="1"/>
                <w:bCs w:val="1"/>
                <w:color w:val="auto"/>
                <w:w w:val="96"/>
                <w:vertAlign w:val="superscript"/>
              </w:rPr>
              <w:t>(2)</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FQ1-26</w:t>
            </w:r>
          </w:p>
        </w:tc>
        <w:tc>
          <w:tcPr>
            <w:tcW w:w="1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FQ4-25</w:t>
            </w: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FQ1-25</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FQ1-26</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FQ4-25</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FQ1-25</w:t>
            </w:r>
          </w:p>
        </w:tc>
      </w:tr>
      <w:tr>
        <w:trPr>
          <w:trHeight w:val="34"/>
        </w:trPr>
        <w:tc>
          <w:tcPr>
            <w:tcW w:w="420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r>
      <w:tr>
        <w:trPr>
          <w:trHeight w:val="229"/>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   13,643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11,315</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8,709</w:t>
            </w:r>
          </w:p>
        </w:tc>
        <w:tc>
          <w:tcPr>
            <w:tcW w:w="100" w:type="dxa"/>
            <w:vAlign w:val="bottom"/>
            <w:shd w:val="clear" w:color="auto" w:fill="D1D2D4"/>
          </w:tcPr>
          <w:p>
            <w:pPr>
              <w:spacing w:after="0"/>
              <w:rPr>
                <w:sz w:val="19"/>
                <w:szCs w:val="19"/>
                <w:color w:val="auto"/>
              </w:rPr>
            </w:pP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   13,643</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   11,315</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8,709</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7,646</w:t>
            </w:r>
          </w:p>
        </w:tc>
        <w:tc>
          <w:tcPr>
            <w:tcW w:w="18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5,054</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7,753</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5,169</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3,441</w:t>
            </w:r>
          </w:p>
        </w:tc>
      </w:tr>
      <w:tr>
        <w:trPr>
          <w:trHeight w:val="230"/>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56.0 %</w:t>
            </w:r>
          </w:p>
        </w:tc>
        <w:tc>
          <w:tcPr>
            <w:tcW w:w="18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44.7 %</w:t>
            </w:r>
          </w:p>
        </w:tc>
        <w:tc>
          <w:tcPr>
            <w:tcW w:w="20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38.4 %</w:t>
            </w:r>
          </w:p>
        </w:tc>
        <w:tc>
          <w:tcPr>
            <w:tcW w:w="1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56.8 %</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45.7 %</w:t>
            </w:r>
          </w:p>
        </w:tc>
        <w:tc>
          <w:tcPr>
            <w:tcW w:w="18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39.5 %</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1,510</w:t>
            </w:r>
          </w:p>
        </w:tc>
        <w:tc>
          <w:tcPr>
            <w:tcW w:w="18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1,400</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1,334</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1,214</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1,047</w:t>
            </w:r>
          </w:p>
        </w:tc>
      </w:tr>
      <w:tr>
        <w:trPr>
          <w:trHeight w:val="229"/>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6,136</w:t>
            </w:r>
          </w:p>
        </w:tc>
        <w:tc>
          <w:tcPr>
            <w:tcW w:w="180" w:type="dxa"/>
            <w:vAlign w:val="bottom"/>
            <w:shd w:val="clear" w:color="auto" w:fill="D1D2D4"/>
          </w:tcPr>
          <w:p>
            <w:pPr>
              <w:spacing w:after="0"/>
              <w:rPr>
                <w:sz w:val="19"/>
                <w:szCs w:val="19"/>
                <w:color w:val="auto"/>
              </w:rPr>
            </w:pPr>
          </w:p>
        </w:tc>
        <w:tc>
          <w:tcPr>
            <w:tcW w:w="9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3,654</w:t>
            </w:r>
          </w:p>
        </w:tc>
        <w:tc>
          <w:tcPr>
            <w:tcW w:w="20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D1D2D4"/>
          </w:tcPr>
          <w:p>
            <w:pPr>
              <w:spacing w:after="0"/>
              <w:rPr>
                <w:sz w:val="19"/>
                <w:szCs w:val="19"/>
                <w:color w:val="auto"/>
              </w:rPr>
            </w:pP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6,419</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3,955</w:t>
            </w:r>
          </w:p>
        </w:tc>
        <w:tc>
          <w:tcPr>
            <w:tcW w:w="18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2,394</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45.0 %</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32.3 %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25.0 %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47.0 %</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35.0 %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27.5 %</w:t>
            </w:r>
          </w:p>
        </w:tc>
      </w:tr>
      <w:tr>
        <w:trPr>
          <w:trHeight w:val="230"/>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5,240</w:t>
            </w:r>
          </w:p>
        </w:tc>
        <w:tc>
          <w:tcPr>
            <w:tcW w:w="180" w:type="dxa"/>
            <w:vAlign w:val="bottom"/>
            <w:shd w:val="clear" w:color="auto" w:fill="D1D2D4"/>
          </w:tcPr>
          <w:p>
            <w:pPr>
              <w:spacing w:after="0"/>
              <w:rPr>
                <w:sz w:val="19"/>
                <w:szCs w:val="19"/>
                <w:color w:val="auto"/>
              </w:rPr>
            </w:pPr>
          </w:p>
        </w:tc>
        <w:tc>
          <w:tcPr>
            <w:tcW w:w="9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3,201</w:t>
            </w:r>
          </w:p>
        </w:tc>
        <w:tc>
          <w:tcPr>
            <w:tcW w:w="20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D1D2D4"/>
          </w:tcPr>
          <w:p>
            <w:pPr>
              <w:spacing w:after="0"/>
              <w:rPr>
                <w:sz w:val="19"/>
                <w:szCs w:val="19"/>
                <w:color w:val="auto"/>
              </w:rPr>
            </w:pP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5,482</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3,469</w:t>
            </w:r>
          </w:p>
        </w:tc>
        <w:tc>
          <w:tcPr>
            <w:tcW w:w="18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2,037</w:t>
            </w:r>
          </w:p>
        </w:tc>
      </w:tr>
      <w:tr>
        <w:trPr>
          <w:trHeight w:val="239"/>
        </w:trPr>
        <w:tc>
          <w:tcPr>
            <w:tcW w:w="42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4.78</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1.79</w:t>
            </w:r>
          </w:p>
        </w:tc>
      </w:tr>
    </w:tbl>
    <w:p>
      <w:pPr>
        <w:spacing w:after="0" w:line="200" w:lineRule="exact"/>
        <w:rPr>
          <w:sz w:val="20"/>
          <w:szCs w:val="20"/>
          <w:color w:val="auto"/>
        </w:rPr>
      </w:pPr>
    </w:p>
    <w:p>
      <w:pPr>
        <w:spacing w:after="0" w:line="35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For the first quarter of 2026, 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$4.5 billion and adjusted free cash flow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$3.9 billion. Micron ended the year with cash, marketable investments, and restricted cash of $12.0 billion. On December 17, 2025, Micron’s Board of Directors declared a quarterly dividend of $0.115 per share, payable in cash on January 14, 2026, to shareholders of record as of the close of business on December 29, 2025.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Quarterly Business Unit Financial Results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FQ1-26</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FQ4-25</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FQ1-25</w:t>
            </w:r>
          </w:p>
        </w:tc>
      </w:tr>
      <w:tr>
        <w:trPr>
          <w:trHeight w:val="34"/>
        </w:trPr>
        <w:tc>
          <w:tcPr>
            <w:tcW w:w="5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Cloud Memory Business Unit</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5,284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4,543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2,648</w:t>
            </w: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0"/>
        </w:trPr>
        <w:tc>
          <w:tcPr>
            <w:tcW w:w="5620" w:type="dxa"/>
            <w:vAlign w:val="bottom"/>
            <w:shd w:val="clear" w:color="auto" w:fill="D1D2D4"/>
          </w:tcPr>
          <w:p>
            <w:pPr>
              <w:spacing w:after="0"/>
              <w:rPr>
                <w:sz w:val="23"/>
                <w:szCs w:val="23"/>
                <w:color w:val="auto"/>
              </w:rPr>
            </w:pPr>
          </w:p>
        </w:tc>
        <w:tc>
          <w:tcPr>
            <w:tcW w:w="222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Core Data Center Business Unit</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2,379</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1,577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2,292</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38 %</w:t>
            </w:r>
          </w:p>
        </w:tc>
      </w:tr>
      <w:tr>
        <w:trPr>
          <w:trHeight w:val="270"/>
        </w:trPr>
        <w:tc>
          <w:tcPr>
            <w:tcW w:w="56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Mobile and Client Business Unit</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4,255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3,760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2,608</w:t>
            </w: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0"/>
        </w:trPr>
        <w:tc>
          <w:tcPr>
            <w:tcW w:w="5620" w:type="dxa"/>
            <w:vAlign w:val="bottom"/>
            <w:shd w:val="clear" w:color="auto" w:fill="D1D2D4"/>
          </w:tcPr>
          <w:p>
            <w:pPr>
              <w:spacing w:after="0"/>
              <w:rPr>
                <w:sz w:val="23"/>
                <w:szCs w:val="23"/>
                <w:color w:val="auto"/>
              </w:rPr>
            </w:pPr>
          </w:p>
        </w:tc>
        <w:tc>
          <w:tcPr>
            <w:tcW w:w="222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Automotive and Embedded Business Unit</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1,720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1,434</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1,158</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7 %</w:t>
            </w:r>
          </w:p>
        </w:tc>
      </w:tr>
    </w:tbl>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42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48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451"/>
        </w:trPr>
        <w:tc>
          <w:tcPr>
            <w:tcW w:w="642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second quarter of 2026:</w:t>
            </w:r>
          </w:p>
        </w:tc>
        <w:tc>
          <w:tcPr>
            <w:tcW w:w="24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53"/>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FQ2-26</w:t>
            </w:r>
          </w:p>
        </w:tc>
        <w:tc>
          <w:tcPr>
            <w:tcW w:w="2480" w:type="dxa"/>
            <w:vAlign w:val="bottom"/>
            <w:tcBorders>
              <w:bottom w:val="single" w:sz="8" w:color="auto"/>
            </w:tcBorders>
          </w:tcPr>
          <w:p>
            <w:pPr>
              <w:jc w:val="right"/>
              <w:ind w:right="490"/>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340" w:type="dxa"/>
            <w:vAlign w:val="bottom"/>
            <w:tcBorders>
              <w:bottom w:val="single" w:sz="8" w:color="auto"/>
            </w:tcBorders>
          </w:tcPr>
          <w:p>
            <w:pPr>
              <w:jc w:val="right"/>
              <w:ind w:right="210"/>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0"/>
        </w:trPr>
        <w:tc>
          <w:tcPr>
            <w:tcW w:w="6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$18.70 billion ± $400 million</w:t>
            </w:r>
          </w:p>
        </w:tc>
        <w:tc>
          <w:tcPr>
            <w:tcW w:w="2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$18.70 billion ± $400 million</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67.0% ± 1.0%</w:t>
            </w:r>
          </w:p>
        </w:tc>
        <w:tc>
          <w:tcPr>
            <w:tcW w:w="2340" w:type="dxa"/>
            <w:vAlign w:val="bottom"/>
          </w:tcPr>
          <w:p>
            <w:pPr>
              <w:jc w:val="right"/>
              <w:spacing w:after="0"/>
              <w:rPr>
                <w:sz w:val="20"/>
                <w:szCs w:val="20"/>
                <w:color w:val="auto"/>
              </w:rPr>
            </w:pPr>
            <w:r>
              <w:rPr>
                <w:rFonts w:ascii="Arial" w:cs="Arial" w:eastAsia="Arial" w:hAnsi="Arial"/>
                <w:sz w:val="18"/>
                <w:szCs w:val="18"/>
                <w:color w:val="auto"/>
              </w:rPr>
              <w:t>68.0% ± 1.0%</w:t>
            </w:r>
          </w:p>
        </w:tc>
      </w:tr>
      <w:tr>
        <w:trPr>
          <w:trHeight w:val="230"/>
        </w:trPr>
        <w:tc>
          <w:tcPr>
            <w:tcW w:w="6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24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$1.56 billion ± $20 million</w:t>
            </w:r>
          </w:p>
        </w:tc>
        <w:tc>
          <w:tcPr>
            <w:tcW w:w="2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 billion ± $20 million</w:t>
            </w:r>
          </w:p>
        </w:tc>
      </w:tr>
      <w:tr>
        <w:trPr>
          <w:trHeight w:val="239"/>
        </w:trPr>
        <w:tc>
          <w:tcPr>
            <w:tcW w:w="64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$8.19 ± $0.20</w:t>
            </w:r>
          </w:p>
        </w:tc>
        <w:tc>
          <w:tcPr>
            <w:tcW w:w="2340" w:type="dxa"/>
            <w:vAlign w:val="bottom"/>
          </w:tcPr>
          <w:p>
            <w:pPr>
              <w:jc w:val="right"/>
              <w:spacing w:after="0"/>
              <w:rPr>
                <w:sz w:val="20"/>
                <w:szCs w:val="20"/>
                <w:color w:val="auto"/>
              </w:rPr>
            </w:pPr>
            <w:r>
              <w:rPr>
                <w:rFonts w:ascii="Arial" w:cs="Arial" w:eastAsia="Arial" w:hAnsi="Arial"/>
                <w:sz w:val="18"/>
                <w:szCs w:val="18"/>
                <w:color w:val="auto"/>
              </w:rPr>
              <w:t>$8.42 ± $0.20</w:t>
            </w:r>
          </w:p>
        </w:tc>
      </w:tr>
    </w:tbl>
    <w:p>
      <w:pPr>
        <w:spacing w:after="0" w:line="296"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BD03F7"/>
        </w:rPr>
        <w:t>investors.micron.com</w:t>
      </w:r>
      <w:r>
        <w:rPr>
          <w:rFonts w:ascii="Arial" w:cs="Arial" w:eastAsia="Arial" w:hAnsi="Arial"/>
          <w:sz w:val="18"/>
          <w:szCs w:val="18"/>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Micron will host a conference call on Wednesday, December 17, 2025 at 2:30 p.m. Mountain Time to discuss its first quarter financial results and provide forward-looking guidance for its second quarter. A live webcast of the call will be available online at </w:t>
      </w:r>
      <w:r>
        <w:rPr>
          <w:rFonts w:ascii="Arial" w:cs="Arial" w:eastAsia="Arial" w:hAnsi="Arial"/>
          <w:sz w:val="18"/>
          <w:szCs w:val="18"/>
          <w:u w:val="single" w:color="auto"/>
          <w:color w:val="BD03F7"/>
        </w:rPr>
        <w:t>investors.micron.com</w:t>
      </w:r>
      <w:r>
        <w:rPr>
          <w:rFonts w:ascii="Arial" w:cs="Arial" w:eastAsia="Arial" w:hAnsi="Arial"/>
          <w:sz w:val="18"/>
          <w:szCs w:val="18"/>
          <w:color w:val="auto"/>
        </w:rPr>
        <w:t>. A webcast replay will be available for one year after the call.</w:t>
      </w:r>
    </w:p>
    <w:p>
      <w:pPr>
        <w:spacing w:after="0" w:line="184"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We encourage you to visit our website at micron.com throughout the quarter for the most current information on the company, including information on financial conferences that we may be attending. You can also follow us on LinkedIn, X (@MicronTech) and YouTube (@MicronTechnology).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 xml:space="preserve">Micron Technology, Inc. is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BD03F7"/>
        </w:rPr>
        <w:t>micron.com</w:t>
      </w:r>
      <w:r>
        <w:rPr>
          <w:rFonts w:ascii="Arial" w:cs="Arial" w:eastAsia="Arial" w:hAnsi="Arial"/>
          <w:sz w:val="18"/>
          <w:szCs w:val="18"/>
          <w:color w:val="auto"/>
        </w:rPr>
        <w:t>.</w:t>
      </w:r>
    </w:p>
    <w:p>
      <w:pPr>
        <w:spacing w:after="0" w:line="211" w:lineRule="exact"/>
        <w:rPr>
          <w:sz w:val="20"/>
          <w:szCs w:val="20"/>
          <w:color w:val="auto"/>
        </w:rPr>
      </w:pPr>
    </w:p>
    <w:p>
      <w:pPr>
        <w:ind w:right="520" w:firstLine="8"/>
        <w:spacing w:after="0" w:line="285"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2025 Micron Technology, Inc. All rights reserved. Micron, the Micron logo, and all other Micron trademarks are the property of Micron Technology, Inc. All other trademarks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and our financial and operating results, including our guidance for the second quarter of 2026.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BD03F7"/>
        </w:rPr>
        <w:t>investors.micron.com/risk-factor</w:t>
      </w:r>
      <w:r>
        <w:rPr>
          <w:rFonts w:ascii="Arial" w:cs="Arial" w:eastAsia="Arial" w:hAnsi="Arial"/>
          <w:sz w:val="18"/>
          <w:szCs w:val="18"/>
          <w:color w:val="000000"/>
        </w:rPr>
        <w:t>. Although we believe that the expectations reflected in the forward-looking statements are reasonable, we</w:t>
      </w:r>
      <w:r>
        <w:rPr>
          <w:rFonts w:ascii="Arial" w:cs="Arial" w:eastAsia="Arial" w:hAnsi="Arial"/>
          <w:sz w:val="18"/>
          <w:szCs w:val="18"/>
          <w:color w:val="BD03F7"/>
        </w:rPr>
        <w:t xml:space="preserve"> </w:t>
      </w:r>
      <w:r>
        <w:rPr>
          <w:rFonts w:ascii="Arial" w:cs="Arial" w:eastAsia="Arial" w:hAnsi="Arial"/>
          <w:sz w:val="18"/>
          <w:szCs w:val="18"/>
          <w:color w:val="000000"/>
        </w:rPr>
        <w:t>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24"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5"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investments in capital expenditures, net;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6" w:name="page7"/>
    <w:bookmarkEnd w:id="6"/>
    <w:p>
      <w:pPr>
        <w:jc w:val="center"/>
        <w:ind w:right="6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1st Qtr.</w:t>
            </w:r>
          </w:p>
        </w:tc>
        <w:tc>
          <w:tcPr>
            <w:tcW w:w="160" w:type="dxa"/>
            <w:vAlign w:val="bottom"/>
          </w:tcPr>
          <w:p>
            <w:pPr>
              <w:spacing w:after="0"/>
              <w:rPr>
                <w:sz w:val="19"/>
                <w:szCs w:val="19"/>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4th Qtr.</w:t>
            </w:r>
          </w:p>
        </w:tc>
        <w:tc>
          <w:tcPr>
            <w:tcW w:w="2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1st Qtr.</w:t>
            </w:r>
          </w:p>
        </w:tc>
      </w:tr>
      <w:tr>
        <w:trPr>
          <w:trHeight w:val="181"/>
        </w:trPr>
        <w:tc>
          <w:tcPr>
            <w:tcW w:w="7120" w:type="dxa"/>
            <w:vAlign w:val="bottom"/>
          </w:tcPr>
          <w:p>
            <w:pPr>
              <w:spacing w:after="0"/>
              <w:rPr>
                <w:sz w:val="15"/>
                <w:szCs w:val="15"/>
                <w:color w:val="auto"/>
              </w:rPr>
            </w:pPr>
          </w:p>
        </w:tc>
        <w:tc>
          <w:tcPr>
            <w:tcW w:w="13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27,</w:t>
            </w:r>
          </w:p>
        </w:tc>
        <w:tc>
          <w:tcPr>
            <w:tcW w:w="160" w:type="dxa"/>
            <w:vAlign w:val="bottom"/>
          </w:tcPr>
          <w:p>
            <w:pPr>
              <w:spacing w:after="0"/>
              <w:rPr>
                <w:sz w:val="15"/>
                <w:szCs w:val="15"/>
                <w:color w:val="auto"/>
              </w:rPr>
            </w:pPr>
          </w:p>
        </w:tc>
        <w:tc>
          <w:tcPr>
            <w:tcW w:w="118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9"/>
              </w:rPr>
              <w:t>August 28,</w:t>
            </w:r>
          </w:p>
        </w:tc>
        <w:tc>
          <w:tcPr>
            <w:tcW w:w="13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28,</w:t>
            </w:r>
          </w:p>
        </w:tc>
      </w:tr>
      <w:tr>
        <w:trPr>
          <w:trHeight w:val="243"/>
        </w:trPr>
        <w:tc>
          <w:tcPr>
            <w:tcW w:w="7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2025</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2025</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2024</w:t>
            </w:r>
          </w:p>
        </w:tc>
      </w:tr>
      <w:tr>
        <w:trPr>
          <w:trHeight w:val="34"/>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13,643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11,315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8,709</w:t>
            </w:r>
          </w:p>
        </w:tc>
      </w:tr>
      <w:tr>
        <w:trPr>
          <w:trHeight w:val="230"/>
        </w:trPr>
        <w:tc>
          <w:tcPr>
            <w:tcW w:w="71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r>
      <w:tr>
        <w:trPr>
          <w:trHeight w:val="223"/>
        </w:trPr>
        <w:tc>
          <w:tcPr>
            <w:tcW w:w="71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7,646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5,054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3,348</w:t>
            </w:r>
          </w:p>
        </w:tc>
      </w:tr>
      <w:tr>
        <w:trPr>
          <w:trHeight w:val="257"/>
        </w:trPr>
        <w:tc>
          <w:tcPr>
            <w:tcW w:w="7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1,171</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12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6,136</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3,654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56"/>
        </w:trPr>
        <w:tc>
          <w:tcPr>
            <w:tcW w:w="71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71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1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6,061</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3,631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2,152</w:t>
            </w:r>
          </w:p>
        </w:tc>
      </w:tr>
      <w:tr>
        <w:trPr>
          <w:trHeight w:val="257"/>
        </w:trPr>
        <w:tc>
          <w:tcPr>
            <w:tcW w:w="7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71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12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5,240</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3,201</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1,870</w:t>
            </w:r>
          </w:p>
        </w:tc>
      </w:tr>
      <w:tr>
        <w:trPr>
          <w:trHeight w:val="20"/>
        </w:trPr>
        <w:tc>
          <w:tcPr>
            <w:tcW w:w="71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7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29"/>
        </w:trPr>
        <w:tc>
          <w:tcPr>
            <w:tcW w:w="7120" w:type="dxa"/>
            <w:vAlign w:val="bottom"/>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71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w:t>
            </w:r>
          </w:p>
        </w:tc>
      </w:tr>
      <w:tr>
        <w:trPr>
          <w:trHeight w:val="257"/>
        </w:trPr>
        <w:tc>
          <w:tcPr>
            <w:tcW w:w="7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30"/>
        </w:trPr>
        <w:tc>
          <w:tcPr>
            <w:tcW w:w="7120" w:type="dxa"/>
            <w:vAlign w:val="bottom"/>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30"/>
        </w:trPr>
        <w:tc>
          <w:tcPr>
            <w:tcW w:w="71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80" w:top="890"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As of</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27,</w:t>
            </w:r>
          </w:p>
        </w:tc>
        <w:tc>
          <w:tcPr>
            <w:tcW w:w="160" w:type="dxa"/>
            <w:vAlign w:val="bottom"/>
          </w:tcPr>
          <w:p>
            <w:pPr>
              <w:spacing w:after="0"/>
              <w:rPr>
                <w:sz w:val="17"/>
                <w:szCs w:val="17"/>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28,</w:t>
            </w:r>
          </w:p>
        </w:tc>
        <w:tc>
          <w:tcPr>
            <w:tcW w:w="0" w:type="dxa"/>
            <w:vAlign w:val="bottom"/>
          </w:tcPr>
          <w:p>
            <w:pPr>
              <w:spacing w:after="0"/>
              <w:rPr>
                <w:sz w:val="1"/>
                <w:szCs w:val="1"/>
                <w:color w:val="auto"/>
              </w:rPr>
            </w:pPr>
          </w:p>
        </w:tc>
      </w:tr>
      <w:tr>
        <w:trPr>
          <w:trHeight w:val="243"/>
        </w:trPr>
        <w:tc>
          <w:tcPr>
            <w:tcW w:w="85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34"/>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20" w:type="dxa"/>
            <w:vAlign w:val="bottom"/>
            <w:shd w:val="clear" w:color="auto" w:fill="D1D2D4"/>
          </w:tcPr>
          <w:p>
            <w:pPr>
              <w:spacing w:after="0"/>
              <w:rPr>
                <w:sz w:val="20"/>
                <w:szCs w:val="20"/>
                <w:color w:val="auto"/>
              </w:rPr>
            </w:pPr>
            <w:r>
              <w:rPr>
                <w:rFonts w:ascii="Arial" w:cs="Arial" w:eastAsia="Arial" w:hAnsi="Arial"/>
                <w:sz w:val="18"/>
                <w:szCs w:val="18"/>
                <w:b w:val="1"/>
                <w:bCs w:val="1"/>
                <w:color w:val="auto"/>
                <w:highlight w:val="lightGray"/>
              </w:rPr>
              <w:t>Assets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Cash and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9,731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9,642</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10,184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9,265</w:t>
            </w:r>
          </w:p>
        </w:tc>
        <w:tc>
          <w:tcPr>
            <w:tcW w:w="0" w:type="dxa"/>
            <w:vAlign w:val="bottom"/>
          </w:tcPr>
          <w:p>
            <w:pPr>
              <w:spacing w:after="0"/>
              <w:rPr>
                <w:sz w:val="1"/>
                <w:szCs w:val="1"/>
                <w:color w:val="auto"/>
              </w:rPr>
            </w:pPr>
          </w:p>
        </w:tc>
      </w:tr>
      <w:tr>
        <w:trPr>
          <w:trHeight w:val="229"/>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8,205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D1D2D4"/>
            </w:tcBorders>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23"/>
        </w:trPr>
        <w:tc>
          <w:tcPr>
            <w:tcW w:w="8520" w:type="dxa"/>
            <w:vAlign w:val="bottom"/>
            <w:shd w:val="clear" w:color="auto" w:fill="D1D2D4"/>
          </w:tcPr>
          <w:p>
            <w:pPr>
              <w:ind w:left="2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29,665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28,841</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Long-term marketable investments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9"/>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48,477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46,590</w:t>
            </w: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D1D2D4"/>
            </w:tcBorders>
          </w:tcPr>
          <w:p>
            <w:pPr>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D1D2D4"/>
            </w:tcBorders>
            <w:shd w:val="clear" w:color="auto" w:fill="D1D2D4"/>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85,971</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82,798</w:t>
            </w:r>
          </w:p>
        </w:tc>
        <w:tc>
          <w:tcPr>
            <w:tcW w:w="0" w:type="dxa"/>
            <w:vAlign w:val="bottom"/>
          </w:tcPr>
          <w:p>
            <w:pPr>
              <w:spacing w:after="0"/>
              <w:rPr>
                <w:sz w:val="1"/>
                <w:szCs w:val="1"/>
                <w:color w:val="auto"/>
              </w:rPr>
            </w:pPr>
          </w:p>
        </w:tc>
      </w:tr>
      <w:tr>
        <w:trPr>
          <w:trHeight w:val="20"/>
        </w:trPr>
        <w:tc>
          <w:tcPr>
            <w:tcW w:w="852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9,796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9,649</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Current debt</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D1D2D4"/>
            </w:tcBorders>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3"/>
        </w:trPr>
        <w:tc>
          <w:tcPr>
            <w:tcW w:w="8520" w:type="dxa"/>
            <w:vAlign w:val="bottom"/>
            <w:shd w:val="clear" w:color="auto" w:fill="D1D2D4"/>
          </w:tcPr>
          <w:p>
            <w:pPr>
              <w:ind w:left="2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12,060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11,187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14,017</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Noncurrent unearned government incentives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2,101</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D1D2D4"/>
            </w:tcBorders>
          </w:tcPr>
          <w:p>
            <w:pPr>
              <w:ind w:left="3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28,633</w:t>
            </w:r>
          </w:p>
        </w:tc>
        <w:tc>
          <w:tcPr>
            <w:tcW w:w="0" w:type="dxa"/>
            <w:vAlign w:val="bottom"/>
          </w:tcPr>
          <w:p>
            <w:pPr>
              <w:spacing w:after="0"/>
              <w:rPr>
                <w:sz w:val="1"/>
                <w:szCs w:val="1"/>
                <w:color w:val="auto"/>
              </w:rPr>
            </w:pPr>
          </w:p>
        </w:tc>
      </w:tr>
      <w:tr>
        <w:trPr>
          <w:trHeight w:val="196"/>
        </w:trPr>
        <w:tc>
          <w:tcPr>
            <w:tcW w:w="8520" w:type="dxa"/>
            <w:vAlign w:val="bottom"/>
            <w:shd w:val="clear" w:color="auto" w:fill="D1D2D4"/>
          </w:tcPr>
          <w:p>
            <w:pPr>
              <w:spacing w:after="0"/>
              <w:rPr>
                <w:sz w:val="17"/>
                <w:szCs w:val="17"/>
                <w:color w:val="auto"/>
              </w:rPr>
            </w:pPr>
          </w:p>
        </w:tc>
        <w:tc>
          <w:tcPr>
            <w:tcW w:w="28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ind w:left="8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8520" w:type="dxa"/>
            <w:vAlign w:val="bottom"/>
          </w:tcPr>
          <w:p>
            <w:pPr>
              <w:ind w:left="80"/>
              <w:spacing w:after="0"/>
              <w:rPr>
                <w:sz w:val="20"/>
                <w:szCs w:val="20"/>
                <w:color w:val="auto"/>
              </w:rPr>
            </w:pPr>
            <w:r>
              <w:rPr>
                <w:rFonts w:ascii="Arial" w:cs="Arial" w:eastAsia="Arial" w:hAnsi="Arial"/>
                <w:sz w:val="18"/>
                <w:szCs w:val="18"/>
                <w:color w:val="auto"/>
              </w:rPr>
              <w:t>Additional capital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13,610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13,339</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ind w:left="8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53,344</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48,583</w:t>
            </w:r>
          </w:p>
        </w:tc>
        <w:tc>
          <w:tcPr>
            <w:tcW w:w="0" w:type="dxa"/>
            <w:vAlign w:val="bottom"/>
          </w:tcPr>
          <w:p>
            <w:pPr>
              <w:spacing w:after="0"/>
              <w:rPr>
                <w:sz w:val="1"/>
                <w:szCs w:val="1"/>
                <w:color w:val="auto"/>
              </w:rPr>
            </w:pPr>
          </w:p>
        </w:tc>
      </w:tr>
      <w:tr>
        <w:trPr>
          <w:trHeight w:val="230"/>
        </w:trPr>
        <w:tc>
          <w:tcPr>
            <w:tcW w:w="8520" w:type="dxa"/>
            <w:vAlign w:val="bottom"/>
          </w:tcPr>
          <w:p>
            <w:pPr>
              <w:ind w:left="80"/>
              <w:spacing w:after="0"/>
              <w:rPr>
                <w:sz w:val="20"/>
                <w:szCs w:val="20"/>
                <w:color w:val="auto"/>
              </w:rPr>
            </w:pPr>
            <w:r>
              <w:rPr>
                <w:rFonts w:ascii="Arial" w:cs="Arial" w:eastAsia="Arial" w:hAnsi="Arial"/>
                <w:sz w:val="18"/>
                <w:szCs w:val="18"/>
                <w:color w:val="auto"/>
              </w:rPr>
              <w:t>Treasury stock</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ind w:left="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D1D2D4"/>
            </w:tcBorders>
          </w:tcPr>
          <w:p>
            <w:pPr>
              <w:ind w:left="3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58,806</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54,165</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D1D2D4"/>
            </w:tcBorders>
            <w:shd w:val="clear" w:color="auto" w:fill="D1D2D4"/>
          </w:tcPr>
          <w:p>
            <w:pPr>
              <w:ind w:left="50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85,971</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82,798</w:t>
            </w:r>
          </w:p>
        </w:tc>
        <w:tc>
          <w:tcPr>
            <w:tcW w:w="0" w:type="dxa"/>
            <w:vAlign w:val="bottom"/>
          </w:tcPr>
          <w:p>
            <w:pPr>
              <w:spacing w:after="0"/>
              <w:rPr>
                <w:sz w:val="1"/>
                <w:szCs w:val="1"/>
                <w:color w:val="auto"/>
              </w:rPr>
            </w:pPr>
          </w:p>
        </w:tc>
      </w:tr>
      <w:tr>
        <w:trPr>
          <w:trHeight w:val="20"/>
        </w:trPr>
        <w:tc>
          <w:tcPr>
            <w:tcW w:w="852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6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27,</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5,240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8360" w:type="dxa"/>
            <w:vAlign w:val="bottom"/>
          </w:tcPr>
          <w:p>
            <w:pPr>
              <w:ind w:left="46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60"/>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8,411</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(5,389)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used for investing activities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(4,594)</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(2,943)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withholdings on employee equity awards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used for financing activities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9,732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6,697</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9" w:name="page10"/>
    <w:bookmarkEnd w:id="9"/>
    <w:p>
      <w:pPr>
        <w:ind w:left="4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 millions,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c>
          <w:tcPr>
            <w:tcW w:w="16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4th Qtr.</w:t>
            </w:r>
          </w:p>
        </w:tc>
        <w:tc>
          <w:tcPr>
            <w:tcW w:w="2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1st Qtr.</w:t>
            </w:r>
          </w:p>
        </w:tc>
      </w:tr>
      <w:tr>
        <w:trPr>
          <w:trHeight w:val="181"/>
        </w:trPr>
        <w:tc>
          <w:tcPr>
            <w:tcW w:w="7260" w:type="dxa"/>
            <w:vAlign w:val="bottom"/>
          </w:tcPr>
          <w:p>
            <w:pPr>
              <w:spacing w:after="0"/>
              <w:rPr>
                <w:sz w:val="15"/>
                <w:szCs w:val="15"/>
                <w:color w:val="auto"/>
              </w:rPr>
            </w:pPr>
          </w:p>
        </w:tc>
        <w:tc>
          <w:tcPr>
            <w:tcW w:w="13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27,</w:t>
            </w:r>
          </w:p>
        </w:tc>
        <w:tc>
          <w:tcPr>
            <w:tcW w:w="160" w:type="dxa"/>
            <w:vAlign w:val="bottom"/>
          </w:tcPr>
          <w:p>
            <w:pPr>
              <w:spacing w:after="0"/>
              <w:rPr>
                <w:sz w:val="15"/>
                <w:szCs w:val="15"/>
                <w:color w:val="auto"/>
              </w:rPr>
            </w:pPr>
          </w:p>
        </w:tc>
        <w:tc>
          <w:tcPr>
            <w:tcW w:w="114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August 28,</w:t>
            </w:r>
          </w:p>
        </w:tc>
        <w:tc>
          <w:tcPr>
            <w:tcW w:w="1340" w:type="dxa"/>
            <w:vAlign w:val="bottom"/>
            <w:gridSpan w:val="3"/>
          </w:tcPr>
          <w:p>
            <w:pPr>
              <w:jc w:val="center"/>
              <w:spacing w:after="0" w:line="181" w:lineRule="exact"/>
              <w:rPr>
                <w:sz w:val="20"/>
                <w:szCs w:val="20"/>
                <w:color w:val="auto"/>
              </w:rPr>
            </w:pPr>
            <w:r>
              <w:rPr>
                <w:rFonts w:ascii="Arial" w:cs="Arial" w:eastAsia="Arial" w:hAnsi="Arial"/>
                <w:sz w:val="18"/>
                <w:szCs w:val="18"/>
                <w:b w:val="1"/>
                <w:bCs w:val="1"/>
                <w:color w:val="auto"/>
                <w:w w:val="99"/>
              </w:rPr>
              <w:t>November 28,</w:t>
            </w:r>
          </w:p>
        </w:tc>
      </w:tr>
      <w:tr>
        <w:trPr>
          <w:trHeight w:val="243"/>
        </w:trPr>
        <w:tc>
          <w:tcPr>
            <w:tcW w:w="7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2025</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2025</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2024</w:t>
            </w:r>
          </w:p>
        </w:tc>
        <w:tc>
          <w:tcPr>
            <w:tcW w:w="20" w:type="dxa"/>
            <w:vAlign w:val="bottom"/>
          </w:tcPr>
          <w:p>
            <w:pPr>
              <w:spacing w:after="0"/>
              <w:rPr>
                <w:sz w:val="21"/>
                <w:szCs w:val="21"/>
                <w:color w:val="auto"/>
              </w:rPr>
            </w:pPr>
          </w:p>
        </w:tc>
      </w:tr>
      <w:tr>
        <w:trPr>
          <w:trHeight w:val="34"/>
        </w:trPr>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726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GAAP gross margin</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7,646</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5,054</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3,348</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r>
      <w:tr>
        <w:trPr>
          <w:trHeight w:val="229"/>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gross margin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b w:val="1"/>
                <w:bCs w:val="1"/>
                <w:color w:val="auto"/>
              </w:rPr>
              <w:t>GAAP operating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1,510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Non-GAAP operating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b w:val="1"/>
                <w:bCs w:val="1"/>
                <w:color w:val="auto"/>
              </w:rPr>
              <w:t>GAAP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6,136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3,654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2,174</w:t>
            </w:r>
          </w:p>
        </w:tc>
        <w:tc>
          <w:tcPr>
            <w:tcW w:w="20" w:type="dxa"/>
            <w:vAlign w:val="bottom"/>
          </w:tcPr>
          <w:p>
            <w:pPr>
              <w:spacing w:after="0"/>
              <w:rPr>
                <w:sz w:val="19"/>
                <w:szCs w:val="19"/>
                <w:color w:val="auto"/>
              </w:rPr>
            </w:pPr>
          </w:p>
        </w:tc>
      </w:tr>
      <w:tr>
        <w:trPr>
          <w:trHeight w:val="229"/>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operating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b w:val="1"/>
                <w:bCs w:val="1"/>
                <w:color w:val="auto"/>
              </w:rPr>
              <w:t>GAAP 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5,240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3,201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1,870</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r>
      <w:tr>
        <w:trPr>
          <w:trHeight w:val="230"/>
        </w:trPr>
        <w:tc>
          <w:tcPr>
            <w:tcW w:w="7260" w:type="dxa"/>
            <w:vAlign w:val="bottom"/>
          </w:tcPr>
          <w:p>
            <w:pPr>
              <w:ind w:left="12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Loss on debt prepayments</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60" w:type="dxa"/>
            <w:vAlign w:val="bottom"/>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Estimated tax effects of above and other tax adjustments</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Adjustment for stock-based compensation</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b w:val="1"/>
                <w:bCs w:val="1"/>
                <w:color w:val="auto"/>
              </w:rPr>
              <w:t>GAAP diluted earnings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Effects of the above adjustments</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diluted earnings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1"/>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00"/>
          </w:cols>
          <w:pgMar w:left="360" w:top="890" w:right="339" w:bottom="1440" w:gutter="0" w:footer="0" w:header="0"/>
        </w:sectPr>
      </w:pPr>
    </w:p>
    <w:bookmarkStart w:id="10" w:name="page11"/>
    <w:bookmarkEnd w:id="1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8700" w:type="dxa"/>
            <w:vAlign w:val="bottom"/>
            <w:gridSpan w:val="4"/>
          </w:tcPr>
          <w:p>
            <w:pPr>
              <w:ind w:left="286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82"/>
        </w:trPr>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c>
          <w:tcPr>
            <w:tcW w:w="160" w:type="dxa"/>
            <w:vAlign w:val="bottom"/>
          </w:tcPr>
          <w:p>
            <w:pPr>
              <w:spacing w:after="0"/>
              <w:rPr>
                <w:sz w:val="24"/>
                <w:szCs w:val="24"/>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4th Qtr.</w:t>
            </w:r>
          </w:p>
        </w:tc>
        <w:tc>
          <w:tcPr>
            <w:tcW w:w="24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r>
      <w:tr>
        <w:trPr>
          <w:trHeight w:val="181"/>
        </w:trPr>
        <w:tc>
          <w:tcPr>
            <w:tcW w:w="7240" w:type="dxa"/>
            <w:vAlign w:val="bottom"/>
          </w:tcPr>
          <w:p>
            <w:pPr>
              <w:spacing w:after="0"/>
              <w:rPr>
                <w:sz w:val="15"/>
                <w:szCs w:val="15"/>
                <w:color w:val="auto"/>
              </w:rPr>
            </w:pPr>
          </w:p>
        </w:tc>
        <w:tc>
          <w:tcPr>
            <w:tcW w:w="13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27,</w:t>
            </w:r>
          </w:p>
        </w:tc>
        <w:tc>
          <w:tcPr>
            <w:tcW w:w="160" w:type="dxa"/>
            <w:vAlign w:val="bottom"/>
          </w:tcPr>
          <w:p>
            <w:pPr>
              <w:spacing w:after="0"/>
              <w:rPr>
                <w:sz w:val="15"/>
                <w:szCs w:val="15"/>
                <w:color w:val="auto"/>
              </w:rPr>
            </w:pPr>
          </w:p>
        </w:tc>
        <w:tc>
          <w:tcPr>
            <w:tcW w:w="114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August 28,</w:t>
            </w:r>
          </w:p>
        </w:tc>
        <w:tc>
          <w:tcPr>
            <w:tcW w:w="13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28,</w:t>
            </w:r>
          </w:p>
        </w:tc>
      </w:tr>
      <w:tr>
        <w:trPr>
          <w:trHeight w:val="243"/>
        </w:trPr>
        <w:tc>
          <w:tcPr>
            <w:tcW w:w="7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2025</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2025</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2024</w:t>
            </w:r>
          </w:p>
        </w:tc>
      </w:tr>
      <w:tr>
        <w:trPr>
          <w:trHeight w:val="34"/>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72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8,411</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5,730</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3,244</w:t>
            </w:r>
          </w:p>
        </w:tc>
      </w:tr>
      <w:tr>
        <w:trPr>
          <w:trHeight w:val="256"/>
        </w:trPr>
        <w:tc>
          <w:tcPr>
            <w:tcW w:w="7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7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(5,389)</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(5,658)</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(3,206)</w:t>
            </w:r>
          </w:p>
        </w:tc>
      </w:tr>
      <w:tr>
        <w:trPr>
          <w:trHeight w:val="229"/>
        </w:trPr>
        <w:tc>
          <w:tcPr>
            <w:tcW w:w="7240" w:type="dxa"/>
            <w:vAlign w:val="bottom"/>
          </w:tcPr>
          <w:p>
            <w:pPr>
              <w:ind w:left="180"/>
              <w:spacing w:after="0"/>
              <w:rPr>
                <w:sz w:val="20"/>
                <w:szCs w:val="20"/>
                <w:color w:val="auto"/>
              </w:rPr>
            </w:pPr>
            <w:r>
              <w:rPr>
                <w:rFonts w:ascii="Arial" w:cs="Arial" w:eastAsia="Arial" w:hAnsi="Arial"/>
                <w:sz w:val="18"/>
                <w:szCs w:val="18"/>
                <w:color w:val="auto"/>
              </w:rPr>
              <w:t>Proceeds from sales of property, plant, and equipment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711</w:t>
            </w:r>
          </w:p>
        </w:tc>
        <w:tc>
          <w:tcPr>
            <w:tcW w:w="24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7240" w:type="dxa"/>
            <w:vAlign w:val="bottom"/>
            <w:tcBorders>
              <w:bottom w:val="single" w:sz="8" w:color="DBDBDB"/>
            </w:tcBorders>
          </w:tcPr>
          <w:p>
            <w:pPr>
              <w:ind w:left="180"/>
              <w:spacing w:after="0"/>
              <w:rPr>
                <w:sz w:val="20"/>
                <w:szCs w:val="20"/>
                <w:color w:val="auto"/>
              </w:rPr>
            </w:pPr>
            <w:r>
              <w:rPr>
                <w:rFonts w:ascii="Arial" w:cs="Arial" w:eastAsia="Arial" w:hAnsi="Arial"/>
                <w:sz w:val="18"/>
                <w:szCs w:val="18"/>
                <w:b w:val="1"/>
                <w:bCs w:val="1"/>
                <w:color w:val="auto"/>
              </w:rPr>
              <w:t>Investments in capital expenditures,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r>
      <w:tr>
        <w:trPr>
          <w:trHeight w:val="248"/>
        </w:trPr>
        <w:tc>
          <w:tcPr>
            <w:tcW w:w="7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2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3,906</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diluted shares, diluted earnings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as applicable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prepayments;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 and</w:t>
      </w:r>
    </w:p>
    <w:p>
      <w:pPr>
        <w:spacing w:after="0" w:line="9" w:lineRule="exact"/>
        <w:rPr>
          <w:rFonts w:ascii="Arial" w:cs="Arial" w:eastAsia="Arial" w:hAnsi="Arial"/>
          <w:sz w:val="18"/>
          <w:szCs w:val="18"/>
          <w:color w:val="auto"/>
        </w:rPr>
      </w:pPr>
    </w:p>
    <w:p>
      <w:pPr>
        <w:ind w:left="660" w:right="4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 The divergence between our GAAP and non-GAAP income tax (provision) benefit relates to the difference in our GAAP and non-GAAP estimated annual effective tax rates, which are computed separately.</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FQ2-26</w:t>
            </w:r>
          </w:p>
        </w:tc>
        <w:tc>
          <w:tcPr>
            <w:tcW w:w="3260" w:type="dxa"/>
            <w:vAlign w:val="bottom"/>
            <w:gridSpan w:val="2"/>
          </w:tcPr>
          <w:p>
            <w:pPr>
              <w:ind w:left="1340"/>
              <w:spacing w:after="0"/>
              <w:rPr>
                <w:sz w:val="20"/>
                <w:szCs w:val="20"/>
                <w:color w:val="auto"/>
              </w:rPr>
            </w:pPr>
            <w:r>
              <w:rPr>
                <w:rFonts w:ascii="Arial" w:cs="Arial" w:eastAsia="Arial" w:hAnsi="Arial"/>
                <w:sz w:val="18"/>
                <w:szCs w:val="18"/>
                <w:b w:val="1"/>
                <w:bCs w:val="1"/>
                <w:color w:val="auto"/>
              </w:rPr>
              <w:t>GAAP Outlook</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Adjustments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jc w:val="right"/>
              <w:ind w:right="27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20" w:type="dxa"/>
            <w:vAlign w:val="bottom"/>
          </w:tcPr>
          <w:p>
            <w:pPr>
              <w:spacing w:after="0"/>
              <w:rPr>
                <w:sz w:val="2"/>
                <w:szCs w:val="2"/>
                <w:color w:val="auto"/>
              </w:rPr>
            </w:pPr>
          </w:p>
        </w:tc>
        <w:tc>
          <w:tcPr>
            <w:tcW w:w="3180" w:type="dxa"/>
            <w:vAlign w:val="bottom"/>
            <w:tcBorders>
              <w:top w:val="single" w:sz="8" w:color="auto"/>
            </w:tcBorders>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D1D2D4"/>
          </w:tcPr>
          <w:p>
            <w:pPr>
              <w:spacing w:after="0"/>
              <w:rPr>
                <w:sz w:val="20"/>
                <w:szCs w:val="20"/>
                <w:color w:val="auto"/>
              </w:rPr>
            </w:pPr>
            <w:r>
              <w:rPr>
                <w:rFonts w:ascii="Arial" w:cs="Arial" w:eastAsia="Arial" w:hAnsi="Arial"/>
                <w:sz w:val="18"/>
                <w:szCs w:val="18"/>
                <w:color w:val="auto"/>
              </w:rPr>
              <w:t>Revenue</w:t>
            </w:r>
          </w:p>
        </w:tc>
        <w:tc>
          <w:tcPr>
            <w:tcW w:w="326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$18.70 billion ± $400 million</w:t>
            </w:r>
          </w:p>
        </w:tc>
        <w:tc>
          <w:tcPr>
            <w:tcW w:w="2380" w:type="dxa"/>
            <w:vAlign w:val="bottom"/>
            <w:gridSpan w:val="2"/>
            <w:shd w:val="clear" w:color="auto" w:fill="D1D2D4"/>
          </w:tcPr>
          <w:p>
            <w:pPr>
              <w:jc w:val="center"/>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D1D2D4"/>
          </w:tcPr>
          <w:p>
            <w:pPr>
              <w:spacing w:after="0"/>
              <w:rPr>
                <w:sz w:val="19"/>
                <w:szCs w:val="19"/>
                <w:color w:val="auto"/>
              </w:rPr>
            </w:pPr>
          </w:p>
        </w:tc>
        <w:tc>
          <w:tcPr>
            <w:tcW w:w="226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w w:val="99"/>
              </w:rPr>
              <w:t>$18.70 billion ± $400 million</w:t>
            </w:r>
          </w:p>
        </w:tc>
      </w:tr>
      <w:tr>
        <w:trPr>
          <w:trHeight w:val="229"/>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Gross margin</w:t>
            </w:r>
          </w:p>
        </w:tc>
        <w:tc>
          <w:tcPr>
            <w:tcW w:w="3160" w:type="dxa"/>
            <w:vAlign w:val="bottom"/>
          </w:tcPr>
          <w:p>
            <w:pPr>
              <w:jc w:val="right"/>
              <w:spacing w:after="0"/>
              <w:rPr>
                <w:sz w:val="20"/>
                <w:szCs w:val="20"/>
                <w:color w:val="auto"/>
              </w:rPr>
            </w:pPr>
            <w:r>
              <w:rPr>
                <w:rFonts w:ascii="Arial" w:cs="Arial" w:eastAsia="Arial" w:hAnsi="Arial"/>
                <w:sz w:val="18"/>
                <w:szCs w:val="18"/>
                <w:color w:val="auto"/>
              </w:rPr>
              <w:t>67.0% ± 1.0%</w:t>
            </w:r>
          </w:p>
        </w:tc>
        <w:tc>
          <w:tcPr>
            <w:tcW w:w="100" w:type="dxa"/>
            <w:vAlign w:val="bottom"/>
          </w:tcPr>
          <w:p>
            <w:pPr>
              <w:spacing w:after="0"/>
              <w:rPr>
                <w:sz w:val="19"/>
                <w:szCs w:val="19"/>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 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68.0% ± 1.0%</w:t>
            </w:r>
          </w:p>
        </w:tc>
      </w:tr>
      <w:tr>
        <w:trPr>
          <w:trHeight w:val="229"/>
        </w:trPr>
        <w:tc>
          <w:tcPr>
            <w:tcW w:w="20" w:type="dxa"/>
            <w:vAlign w:val="bottom"/>
          </w:tcPr>
          <w:p>
            <w:pPr>
              <w:spacing w:after="0"/>
              <w:rPr>
                <w:sz w:val="19"/>
                <w:szCs w:val="19"/>
                <w:color w:val="auto"/>
              </w:rPr>
            </w:pPr>
          </w:p>
        </w:tc>
        <w:tc>
          <w:tcPr>
            <w:tcW w:w="3180" w:type="dxa"/>
            <w:vAlign w:val="bottom"/>
            <w:shd w:val="clear" w:color="auto" w:fill="D1D2D4"/>
          </w:tcPr>
          <w:p>
            <w:pPr>
              <w:spacing w:after="0"/>
              <w:rPr>
                <w:sz w:val="20"/>
                <w:szCs w:val="20"/>
                <w:color w:val="auto"/>
              </w:rPr>
            </w:pPr>
            <w:r>
              <w:rPr>
                <w:rFonts w:ascii="Arial" w:cs="Arial" w:eastAsia="Arial" w:hAnsi="Arial"/>
                <w:sz w:val="18"/>
                <w:szCs w:val="18"/>
                <w:color w:val="auto"/>
              </w:rPr>
              <w:t>Operating expenses</w:t>
            </w:r>
          </w:p>
        </w:tc>
        <w:tc>
          <w:tcPr>
            <w:tcW w:w="326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$1.56 billion ± $20 million</w:t>
            </w:r>
          </w:p>
        </w:tc>
        <w:tc>
          <w:tcPr>
            <w:tcW w:w="2380" w:type="dxa"/>
            <w:vAlign w:val="bottom"/>
            <w:gridSpan w:val="2"/>
            <w:shd w:val="clear" w:color="auto" w:fill="D1D2D4"/>
          </w:tcPr>
          <w:p>
            <w:pPr>
              <w:ind w:left="320"/>
              <w:spacing w:after="0"/>
              <w:rPr>
                <w:sz w:val="20"/>
                <w:szCs w:val="20"/>
                <w:color w:val="auto"/>
              </w:rPr>
            </w:pPr>
            <w:r>
              <w:rPr>
                <w:rFonts w:ascii="Arial" w:cs="Arial" w:eastAsia="Arial" w:hAnsi="Arial"/>
                <w:sz w:val="18"/>
                <w:szCs w:val="18"/>
                <w:color w:val="auto"/>
              </w:rPr>
              <w:t>$180 million B</w:t>
            </w:r>
          </w:p>
        </w:tc>
        <w:tc>
          <w:tcPr>
            <w:tcW w:w="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2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 billion ± $20 million</w:t>
            </w:r>
          </w:p>
        </w:tc>
      </w:tr>
      <w:tr>
        <w:trPr>
          <w:trHeight w:val="311"/>
        </w:trPr>
        <w:tc>
          <w:tcPr>
            <w:tcW w:w="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3160" w:type="dxa"/>
            <w:vAlign w:val="bottom"/>
          </w:tcPr>
          <w:p>
            <w:pPr>
              <w:jc w:val="right"/>
              <w:spacing w:after="0"/>
              <w:rPr>
                <w:sz w:val="20"/>
                <w:szCs w:val="20"/>
                <w:color w:val="auto"/>
              </w:rPr>
            </w:pPr>
            <w:r>
              <w:rPr>
                <w:rFonts w:ascii="Arial" w:cs="Arial" w:eastAsia="Arial" w:hAnsi="Arial"/>
                <w:sz w:val="18"/>
                <w:szCs w:val="18"/>
                <w:color w:val="auto"/>
              </w:rPr>
              <w:t>$8.19 ± $0.20</w:t>
            </w:r>
          </w:p>
        </w:tc>
        <w:tc>
          <w:tcPr>
            <w:tcW w:w="100" w:type="dxa"/>
            <w:vAlign w:val="bottom"/>
          </w:tcPr>
          <w:p>
            <w:pPr>
              <w:spacing w:after="0"/>
              <w:rPr>
                <w:sz w:val="24"/>
                <w:szCs w:val="24"/>
                <w:color w:val="auto"/>
              </w:rPr>
            </w:pPr>
          </w:p>
        </w:tc>
        <w:tc>
          <w:tcPr>
            <w:tcW w:w="2380" w:type="dxa"/>
            <w:vAlign w:val="bottom"/>
            <w:gridSpan w:val="2"/>
          </w:tcPr>
          <w:p>
            <w:pPr>
              <w:ind w:left="820"/>
              <w:spacing w:after="0"/>
              <w:rPr>
                <w:sz w:val="20"/>
                <w:szCs w:val="20"/>
                <w:color w:val="auto"/>
              </w:rPr>
            </w:pPr>
            <w:r>
              <w:rPr>
                <w:rFonts w:ascii="Arial" w:cs="Arial" w:eastAsia="Arial" w:hAnsi="Arial"/>
                <w:sz w:val="18"/>
                <w:szCs w:val="18"/>
                <w:color w:val="auto"/>
              </w:rPr>
              <w:t>$0.23 A, B, C</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$8.42 ± $0.20</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40"/>
        </w:trPr>
        <w:tc>
          <w:tcPr>
            <w:tcW w:w="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3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r>
      <w:tr>
        <w:trPr>
          <w:trHeight w:val="37"/>
        </w:trPr>
        <w:tc>
          <w:tcPr>
            <w:tcW w:w="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30"/>
        </w:trPr>
        <w:tc>
          <w:tcPr>
            <w:tcW w:w="20" w:type="dxa"/>
            <w:vAlign w:val="bottom"/>
            <w:shd w:val="clear" w:color="auto" w:fill="D1D2D4"/>
          </w:tcPr>
          <w:p>
            <w:pPr>
              <w:spacing w:after="0"/>
              <w:rPr>
                <w:sz w:val="19"/>
                <w:szCs w:val="19"/>
                <w:color w:val="auto"/>
              </w:rPr>
            </w:pPr>
          </w:p>
        </w:tc>
        <w:tc>
          <w:tcPr>
            <w:tcW w:w="6440" w:type="dxa"/>
            <w:vAlign w:val="bottom"/>
            <w:gridSpan w:val="3"/>
            <w:shd w:val="clear" w:color="auto" w:fill="D1D2D4"/>
          </w:tcPr>
          <w:p>
            <w:pPr>
              <w:spacing w:after="0"/>
              <w:rPr>
                <w:sz w:val="20"/>
                <w:szCs w:val="20"/>
                <w:color w:val="auto"/>
              </w:rPr>
            </w:pPr>
            <w:r>
              <w:rPr>
                <w:rFonts w:ascii="Arial" w:cs="Arial" w:eastAsia="Arial" w:hAnsi="Arial"/>
                <w:sz w:val="18"/>
                <w:szCs w:val="18"/>
                <w:color w:val="auto"/>
              </w:rPr>
              <w:t>A  Stock-based compensation – cost of goods sold</w:t>
            </w:r>
          </w:p>
        </w:tc>
        <w:tc>
          <w:tcPr>
            <w:tcW w:w="22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gridSpan w:val="2"/>
            <w:shd w:val="clear" w:color="auto" w:fill="D1D2D4"/>
          </w:tcPr>
          <w:p>
            <w:pPr>
              <w:ind w:left="12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20" w:type="dxa"/>
            <w:vAlign w:val="bottom"/>
          </w:tcPr>
          <w:p>
            <w:pPr>
              <w:spacing w:after="0"/>
              <w:rPr>
                <w:sz w:val="19"/>
                <w:szCs w:val="19"/>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B  Stock-based compensation – research and development</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20" w:type="dxa"/>
            <w:vAlign w:val="bottom"/>
            <w:shd w:val="clear" w:color="auto" w:fill="D1D2D4"/>
          </w:tcPr>
          <w:p>
            <w:pPr>
              <w:spacing w:after="0"/>
              <w:rPr>
                <w:sz w:val="19"/>
                <w:szCs w:val="19"/>
                <w:color w:val="auto"/>
              </w:rPr>
            </w:pPr>
          </w:p>
        </w:tc>
        <w:tc>
          <w:tcPr>
            <w:tcW w:w="6440" w:type="dxa"/>
            <w:vAlign w:val="bottom"/>
            <w:gridSpan w:val="3"/>
            <w:shd w:val="clear" w:color="auto" w:fill="D1D2D4"/>
          </w:tcPr>
          <w:p>
            <w:pPr>
              <w:spacing w:after="0"/>
              <w:rPr>
                <w:sz w:val="20"/>
                <w:szCs w:val="20"/>
                <w:color w:val="auto"/>
              </w:rPr>
            </w:pPr>
            <w:r>
              <w:rPr>
                <w:rFonts w:ascii="Arial" w:cs="Arial" w:eastAsia="Arial" w:hAnsi="Arial"/>
                <w:sz w:val="18"/>
                <w:szCs w:val="18"/>
                <w:color w:val="auto"/>
              </w:rPr>
              <w:t>B  Stock-based compensation – sales, general, and administrative</w:t>
            </w:r>
          </w:p>
        </w:tc>
        <w:tc>
          <w:tcPr>
            <w:tcW w:w="22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2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20" w:type="dxa"/>
            <w:vAlign w:val="bottom"/>
            <w:tcBorders>
              <w:bottom w:val="single" w:sz="8" w:color="D1D2D4"/>
            </w:tcBorders>
          </w:tcPr>
          <w:p>
            <w:pPr>
              <w:spacing w:after="0"/>
              <w:rPr>
                <w:sz w:val="19"/>
                <w:szCs w:val="19"/>
                <w:color w:val="auto"/>
              </w:rPr>
            </w:pPr>
          </w:p>
        </w:tc>
        <w:tc>
          <w:tcPr>
            <w:tcW w:w="6440" w:type="dxa"/>
            <w:vAlign w:val="bottom"/>
            <w:tcBorders>
              <w:bottom w:val="single" w:sz="8" w:color="D1D2D4"/>
            </w:tcBorders>
            <w:gridSpan w:val="3"/>
          </w:tcPr>
          <w:p>
            <w:pPr>
              <w:spacing w:after="0"/>
              <w:rPr>
                <w:sz w:val="20"/>
                <w:szCs w:val="20"/>
                <w:color w:val="auto"/>
              </w:rPr>
            </w:pPr>
            <w:r>
              <w:rPr>
                <w:rFonts w:ascii="Arial" w:cs="Arial" w:eastAsia="Arial" w:hAnsi="Arial"/>
                <w:sz w:val="18"/>
                <w:szCs w:val="18"/>
                <w:color w:val="auto"/>
              </w:rPr>
              <w:t>C  Tax effects of the above items and other tax adjustments</w:t>
            </w:r>
          </w:p>
        </w:tc>
        <w:tc>
          <w:tcPr>
            <w:tcW w:w="2280" w:type="dxa"/>
            <w:vAlign w:val="bottom"/>
            <w:tcBorders>
              <w:bottom w:val="single" w:sz="8" w:color="D1D2D4"/>
            </w:tcBorders>
          </w:tcPr>
          <w:p>
            <w:pPr>
              <w:spacing w:after="0"/>
              <w:rPr>
                <w:sz w:val="19"/>
                <w:szCs w:val="19"/>
                <w:color w:val="auto"/>
              </w:rPr>
            </w:pPr>
          </w:p>
        </w:tc>
        <w:tc>
          <w:tcPr>
            <w:tcW w:w="100" w:type="dxa"/>
            <w:vAlign w:val="bottom"/>
            <w:tcBorders>
              <w:bottom w:val="single" w:sz="8" w:color="D1D2D4"/>
            </w:tcBorders>
          </w:tcPr>
          <w:p>
            <w:pPr>
              <w:spacing w:after="0"/>
              <w:rPr>
                <w:sz w:val="19"/>
                <w:szCs w:val="19"/>
                <w:color w:val="auto"/>
              </w:rPr>
            </w:pPr>
          </w:p>
        </w:tc>
        <w:tc>
          <w:tcPr>
            <w:tcW w:w="100" w:type="dxa"/>
            <w:vAlign w:val="bottom"/>
            <w:tcBorders>
              <w:bottom w:val="single" w:sz="8" w:color="D1D2D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48"/>
        </w:trPr>
        <w:tc>
          <w:tcPr>
            <w:tcW w:w="20" w:type="dxa"/>
            <w:vAlign w:val="bottom"/>
            <w:tcBorders>
              <w:bottom w:val="single" w:sz="8" w:color="D1D2D4"/>
            </w:tcBorders>
            <w:shd w:val="clear" w:color="auto" w:fill="D1D2D4"/>
          </w:tcPr>
          <w:p>
            <w:pPr>
              <w:spacing w:after="0"/>
              <w:rPr>
                <w:sz w:val="21"/>
                <w:szCs w:val="21"/>
                <w:color w:val="auto"/>
              </w:rPr>
            </w:pPr>
          </w:p>
        </w:tc>
        <w:tc>
          <w:tcPr>
            <w:tcW w:w="3180" w:type="dxa"/>
            <w:vAlign w:val="bottom"/>
            <w:tcBorders>
              <w:bottom w:val="single" w:sz="8" w:color="D1D2D4"/>
            </w:tcBorders>
            <w:shd w:val="clear" w:color="auto" w:fill="D1D2D4"/>
          </w:tcPr>
          <w:p>
            <w:pPr>
              <w:spacing w:after="0"/>
              <w:rPr>
                <w:sz w:val="21"/>
                <w:szCs w:val="21"/>
                <w:color w:val="auto"/>
              </w:rPr>
            </w:pPr>
          </w:p>
        </w:tc>
        <w:tc>
          <w:tcPr>
            <w:tcW w:w="3160" w:type="dxa"/>
            <w:vAlign w:val="bottom"/>
            <w:tcBorders>
              <w:bottom w:val="single" w:sz="8" w:color="D1D2D4"/>
            </w:tcBorders>
            <w:shd w:val="clear" w:color="auto" w:fill="D1D2D4"/>
          </w:tcPr>
          <w:p>
            <w:pPr>
              <w:spacing w:after="0"/>
              <w:rPr>
                <w:sz w:val="21"/>
                <w:szCs w:val="21"/>
                <w:color w:val="auto"/>
              </w:rPr>
            </w:pPr>
          </w:p>
        </w:tc>
        <w:tc>
          <w:tcPr>
            <w:tcW w:w="100" w:type="dxa"/>
            <w:vAlign w:val="bottom"/>
            <w:tcBorders>
              <w:bottom w:val="single" w:sz="8" w:color="D1D2D4"/>
            </w:tcBorders>
            <w:shd w:val="clear" w:color="auto" w:fill="D1D2D4"/>
          </w:tcPr>
          <w:p>
            <w:pPr>
              <w:spacing w:after="0"/>
              <w:rPr>
                <w:sz w:val="21"/>
                <w:szCs w:val="21"/>
                <w:color w:val="auto"/>
              </w:rPr>
            </w:pPr>
          </w:p>
        </w:tc>
        <w:tc>
          <w:tcPr>
            <w:tcW w:w="2280" w:type="dxa"/>
            <w:vAlign w:val="bottom"/>
            <w:tcBorders>
              <w:bottom w:val="single" w:sz="8" w:color="D1D2D4"/>
            </w:tcBorders>
            <w:shd w:val="clear" w:color="auto" w:fill="D1D2D4"/>
          </w:tcPr>
          <w:p>
            <w:pPr>
              <w:spacing w:after="0"/>
              <w:rPr>
                <w:sz w:val="21"/>
                <w:szCs w:val="21"/>
                <w:color w:val="auto"/>
              </w:rPr>
            </w:pPr>
          </w:p>
        </w:tc>
        <w:tc>
          <w:tcPr>
            <w:tcW w:w="100" w:type="dxa"/>
            <w:vAlign w:val="bottom"/>
            <w:tcBorders>
              <w:bottom w:val="single" w:sz="8" w:color="D1D2D4"/>
            </w:tcBorders>
            <w:shd w:val="clear" w:color="auto" w:fill="D1D2D4"/>
          </w:tcPr>
          <w:p>
            <w:pPr>
              <w:spacing w:after="0"/>
              <w:rPr>
                <w:sz w:val="21"/>
                <w:szCs w:val="21"/>
                <w:color w:val="auto"/>
              </w:rPr>
            </w:pPr>
          </w:p>
        </w:tc>
        <w:tc>
          <w:tcPr>
            <w:tcW w:w="100" w:type="dxa"/>
            <w:vAlign w:val="bottom"/>
            <w:tcBorders>
              <w:bottom w:val="single" w:sz="8" w:color="D1D2D4"/>
            </w:tcBorders>
            <w:shd w:val="clear" w:color="auto" w:fill="D1D2D4"/>
          </w:tcPr>
          <w:p>
            <w:pPr>
              <w:spacing w:after="0"/>
              <w:rPr>
                <w:sz w:val="21"/>
                <w:szCs w:val="21"/>
                <w:color w:val="auto"/>
              </w:rPr>
            </w:pPr>
          </w:p>
        </w:tc>
        <w:tc>
          <w:tcPr>
            <w:tcW w:w="16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257</w:t>
            </w:r>
          </w:p>
        </w:tc>
      </w:tr>
      <w:tr>
        <w:trPr>
          <w:trHeight w:val="20"/>
        </w:trPr>
        <w:tc>
          <w:tcPr>
            <w:tcW w:w="20" w:type="dxa"/>
            <w:vAlign w:val="bottom"/>
            <w:tcBorders>
              <w:top w:val="single" w:sz="8" w:color="D1D2D4"/>
            </w:tcBorders>
          </w:tcPr>
          <w:p>
            <w:pPr>
              <w:spacing w:after="0" w:line="20" w:lineRule="exact"/>
              <w:rPr>
                <w:sz w:val="1"/>
                <w:szCs w:val="1"/>
                <w:color w:val="auto"/>
              </w:rPr>
            </w:pPr>
          </w:p>
        </w:tc>
        <w:tc>
          <w:tcPr>
            <w:tcW w:w="3180" w:type="dxa"/>
            <w:vAlign w:val="bottom"/>
            <w:tcBorders>
              <w:top w:val="single" w:sz="8" w:color="D1D2D4"/>
            </w:tcBorders>
          </w:tcPr>
          <w:p>
            <w:pPr>
              <w:spacing w:after="0" w:line="20" w:lineRule="exact"/>
              <w:rPr>
                <w:sz w:val="1"/>
                <w:szCs w:val="1"/>
                <w:color w:val="auto"/>
              </w:rPr>
            </w:pPr>
          </w:p>
        </w:tc>
        <w:tc>
          <w:tcPr>
            <w:tcW w:w="316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8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2100" w:type="dxa"/>
            <w:vAlign w:val="bottom"/>
            <w:tcBorders>
              <w:top w:val="single" w:sz="8" w:color="D1D2D4"/>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right="60" w:hanging="332"/>
        <w:spacing w:after="0" w:line="231"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1.14 billion diluted shares and non-GAAP earnings per share based on approximately 1.15 billion diluted shares.</w:t>
      </w:r>
    </w:p>
    <w:p>
      <w:pPr>
        <w:spacing w:after="0" w:line="22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2025-12-17T15:12:20Z</dcterms:created>
  <dcterms:modified xsi:type="dcterms:W3CDTF">2025-12-17T15:12:20Z</dcterms:modified>
</cp:coreProperties>
</file>