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0001242654</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MEHROTRA SANJAY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11 Madison Avenue</w:t>
      </w:r>
    </w:p>
    <w:p>
      <w:pPr>
        <w:ind w:left="2500"/>
        <w:spacing w:after="0" w:line="231" w:lineRule="auto"/>
        <w:rPr>
          <w:sz w:val="20"/>
          <w:szCs w:val="20"/>
          <w:color w:val="auto"/>
        </w:rPr>
      </w:pPr>
      <w:r>
        <w:rPr>
          <w:rFonts w:ascii="Times New Roman" w:cs="Times New Roman" w:eastAsia="Times New Roman" w:hAnsi="Times New Roman"/>
          <w:sz w:val="22"/>
          <w:szCs w:val="22"/>
          <w:color w:val="auto"/>
        </w:rPr>
        <w:t>4th Floor</w:t>
      </w:r>
    </w:p>
    <w:p>
      <w:pPr>
        <w:ind w:left="250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w w:val="95"/>
              </w:rPr>
              <w:t>7500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1200300.00</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1119125101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09/15/2025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10/13/2024 RSU/PSU Release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7500</w:t>
      </w:r>
      <w:r>
        <w:rPr>
          <w:sz w:val="20"/>
          <w:szCs w:val="20"/>
          <w:color w:val="auto"/>
        </w:rPr>
        <w:tab/>
      </w:r>
      <w:r>
        <w:rPr>
          <w:rFonts w:ascii="Times New Roman" w:cs="Times New Roman" w:eastAsia="Times New Roman" w:hAnsi="Times New Roman"/>
          <w:sz w:val="21"/>
          <w:szCs w:val="21"/>
          <w:color w:val="auto"/>
        </w:rPr>
        <w:t>10/13/2024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06/16/2025 2290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275498.91</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06/17/2025 5210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632222.04</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09/05/2025 7500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981201.75</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09/10/2025 7500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1054374.75</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09/11/2025 7500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1142031.75</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The shares covered by this filing are being sold under the Mehrotra Family Trust dtd 04/29/1997.</w:t>
      </w:r>
    </w:p>
    <w:p>
      <w:pPr>
        <w:spacing w:after="0"/>
        <w:rPr>
          <w:sz w:val="20"/>
          <w:szCs w:val="20"/>
          <w:color w:val="auto"/>
        </w:rPr>
      </w:pPr>
      <w:r>
        <w:rPr>
          <w:rFonts w:ascii="Times New Roman" w:cs="Times New Roman" w:eastAsia="Times New Roman" w:hAnsi="Times New Roman"/>
          <w:sz w:val="22"/>
          <w:szCs w:val="22"/>
          <w:color w:val="auto"/>
        </w:rPr>
        <w:t>09/15/2025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08/08/2024</w:t>
      </w:r>
    </w:p>
    <w:p>
      <w:pPr>
        <w:spacing w:after="0" w:line="612" w:lineRule="exact"/>
        <w:rPr>
          <w:sz w:val="20"/>
          <w:szCs w:val="20"/>
          <w:color w:val="auto"/>
        </w:rPr>
      </w:pPr>
    </w:p>
    <w:p>
      <w:pPr>
        <w:sectPr>
          <w:pgSz w:w="11900" w:h="16838" w:orient="portrait"/>
          <w:cols w:equalWidth="0" w:num="2">
            <w:col w:w="4360" w:space="540"/>
            <w:col w:w="6340"/>
          </w:cols>
          <w:pgMar w:left="320" w:top="10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8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1"/>
          <w:szCs w:val="21"/>
          <w:color w:val="auto"/>
        </w:rPr>
        <w:t>/s/ UBS Financial Services Inc., as attorney-in-fact for Sanjay Mehrotra</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0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2025-09-15T15:23:38Z</dcterms:created>
  <dcterms:modified xsi:type="dcterms:W3CDTF">2025-09-15T15:23:38Z</dcterms:modified>
</cp:coreProperties>
</file>