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980" w:type="dxa"/>
        <w:tblCellMar>
          <w:top w:w="0" w:type="dxa"/>
          <w:left w:w="0" w:type="dxa"/>
          <w:bottom w:w="0" w:type="dxa"/>
          <w:right w:w="0" w:type="dxa"/>
        </w:tblCellMar>
      </w:tblPr>
      <w:tr>
        <w:trPr>
          <w:trHeight w:val="264"/>
        </w:trPr>
        <w:tc>
          <w:tcPr>
            <w:tcW w:w="5280" w:type="dxa"/>
            <w:vAlign w:val="bottom"/>
            <w:tcBorders>
              <w:right w:val="single" w:sz="8" w:color="auto"/>
            </w:tcBorders>
          </w:tcPr>
          <w:p>
            <w:pPr>
              <w:jc w:val="center"/>
              <w:ind w:right="1301"/>
              <w:spacing w:after="0"/>
              <w:rPr>
                <w:sz w:val="20"/>
                <w:szCs w:val="20"/>
                <w:color w:val="auto"/>
              </w:rPr>
            </w:pPr>
            <w:r>
              <w:rPr>
                <w:rFonts w:ascii="Arial" w:cs="Arial" w:eastAsia="Arial" w:hAnsi="Arial"/>
                <w:sz w:val="18"/>
                <w:szCs w:val="18"/>
                <w:b w:val="1"/>
                <w:bCs w:val="1"/>
                <w:color w:val="auto"/>
                <w:w w:val="97"/>
              </w:rPr>
              <w:t>UNITED STATES</w:t>
            </w:r>
          </w:p>
        </w:tc>
        <w:tc>
          <w:tcPr>
            <w:tcW w:w="2700" w:type="dxa"/>
            <w:vAlign w:val="bottom"/>
            <w:tcBorders>
              <w:top w:val="single" w:sz="8" w:color="auto"/>
              <w:bottom w:val="single" w:sz="8" w:color="auto"/>
              <w:right w:val="single" w:sz="8" w:color="auto"/>
            </w:tcBorders>
            <w:gridSpan w:val="2"/>
          </w:tcPr>
          <w:p>
            <w:pPr>
              <w:ind w:left="70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230"/>
        </w:trPr>
        <w:tc>
          <w:tcPr>
            <w:tcW w:w="5280" w:type="dxa"/>
            <w:vAlign w:val="bottom"/>
            <w:tcBorders>
              <w:right w:val="single" w:sz="8" w:color="auto"/>
            </w:tcBorders>
          </w:tcPr>
          <w:p>
            <w:pPr>
              <w:jc w:val="center"/>
              <w:ind w:right="1301"/>
              <w:spacing w:after="0"/>
              <w:rPr>
                <w:sz w:val="20"/>
                <w:szCs w:val="20"/>
                <w:color w:val="auto"/>
              </w:rPr>
            </w:pPr>
            <w:r>
              <w:rPr>
                <w:rFonts w:ascii="Arial" w:cs="Arial" w:eastAsia="Arial" w:hAnsi="Arial"/>
                <w:sz w:val="18"/>
                <w:szCs w:val="18"/>
                <w:b w:val="1"/>
                <w:bCs w:val="1"/>
                <w:color w:val="auto"/>
              </w:rPr>
              <w:t>SECURITIES AND EXCHANGE COMMISSION</w:t>
            </w:r>
          </w:p>
        </w:tc>
        <w:tc>
          <w:tcPr>
            <w:tcW w:w="1700" w:type="dxa"/>
            <w:vAlign w:val="bottom"/>
          </w:tcPr>
          <w:p>
            <w:pPr>
              <w:spacing w:after="0"/>
              <w:rPr>
                <w:sz w:val="20"/>
                <w:szCs w:val="20"/>
                <w:color w:val="auto"/>
              </w:rPr>
            </w:pPr>
            <w:r>
              <w:rPr>
                <w:rFonts w:ascii="Arial" w:cs="Arial" w:eastAsia="Arial" w:hAnsi="Arial"/>
                <w:sz w:val="16"/>
                <w:szCs w:val="16"/>
                <w:color w:val="auto"/>
              </w:rPr>
              <w:t>OMB Number:</w:t>
            </w: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3235-0167</w:t>
            </w:r>
          </w:p>
        </w:tc>
        <w:tc>
          <w:tcPr>
            <w:tcW w:w="0" w:type="dxa"/>
            <w:vAlign w:val="bottom"/>
          </w:tcPr>
          <w:p>
            <w:pPr>
              <w:spacing w:after="0"/>
              <w:rPr>
                <w:sz w:val="1"/>
                <w:szCs w:val="1"/>
                <w:color w:val="auto"/>
              </w:rPr>
            </w:pPr>
          </w:p>
        </w:tc>
      </w:tr>
      <w:tr>
        <w:trPr>
          <w:trHeight w:val="270"/>
        </w:trPr>
        <w:tc>
          <w:tcPr>
            <w:tcW w:w="5280" w:type="dxa"/>
            <w:vAlign w:val="bottom"/>
            <w:tcBorders>
              <w:right w:val="single" w:sz="8" w:color="auto"/>
            </w:tcBorders>
          </w:tcPr>
          <w:p>
            <w:pPr>
              <w:jc w:val="center"/>
              <w:ind w:right="1281"/>
              <w:spacing w:after="0"/>
              <w:rPr>
                <w:sz w:val="20"/>
                <w:szCs w:val="20"/>
                <w:color w:val="auto"/>
              </w:rPr>
            </w:pPr>
            <w:r>
              <w:rPr>
                <w:rFonts w:ascii="Arial" w:cs="Arial" w:eastAsia="Arial" w:hAnsi="Arial"/>
                <w:sz w:val="18"/>
                <w:szCs w:val="18"/>
                <w:b w:val="1"/>
                <w:bCs w:val="1"/>
                <w:color w:val="auto"/>
                <w:w w:val="91"/>
              </w:rPr>
              <w:t>Washington, D.C. 20549</w:t>
            </w:r>
          </w:p>
        </w:tc>
        <w:tc>
          <w:tcPr>
            <w:tcW w:w="1700" w:type="dxa"/>
            <w:vAlign w:val="bottom"/>
          </w:tcPr>
          <w:p>
            <w:pPr>
              <w:spacing w:after="0"/>
              <w:rPr>
                <w:sz w:val="20"/>
                <w:szCs w:val="20"/>
                <w:color w:val="auto"/>
              </w:rPr>
            </w:pPr>
            <w:r>
              <w:rPr>
                <w:rFonts w:ascii="Arial" w:cs="Arial" w:eastAsia="Arial" w:hAnsi="Arial"/>
                <w:sz w:val="16"/>
                <w:szCs w:val="16"/>
                <w:color w:val="auto"/>
              </w:rPr>
              <w:t>Expires:</w:t>
            </w:r>
          </w:p>
        </w:tc>
        <w:tc>
          <w:tcPr>
            <w:tcW w:w="10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w w:val="90"/>
              </w:rPr>
              <w:t>May 31, 2021</w:t>
            </w:r>
          </w:p>
        </w:tc>
        <w:tc>
          <w:tcPr>
            <w:tcW w:w="0" w:type="dxa"/>
            <w:vAlign w:val="bottom"/>
          </w:tcPr>
          <w:p>
            <w:pPr>
              <w:spacing w:after="0"/>
              <w:rPr>
                <w:sz w:val="1"/>
                <w:szCs w:val="1"/>
                <w:color w:val="auto"/>
              </w:rPr>
            </w:pPr>
          </w:p>
        </w:tc>
      </w:tr>
      <w:tr>
        <w:trPr>
          <w:trHeight w:val="264"/>
        </w:trPr>
        <w:tc>
          <w:tcPr>
            <w:tcW w:w="5280" w:type="dxa"/>
            <w:vAlign w:val="bottom"/>
            <w:tcBorders>
              <w:right w:val="single" w:sz="8" w:color="auto"/>
            </w:tcBorders>
            <w:vMerge w:val="restart"/>
          </w:tcPr>
          <w:p>
            <w:pPr>
              <w:jc w:val="center"/>
              <w:ind w:right="1301"/>
              <w:spacing w:after="0"/>
              <w:rPr>
                <w:sz w:val="20"/>
                <w:szCs w:val="20"/>
                <w:color w:val="auto"/>
              </w:rPr>
            </w:pPr>
            <w:r>
              <w:rPr>
                <w:rFonts w:ascii="Arial" w:cs="Arial" w:eastAsia="Arial" w:hAnsi="Arial"/>
                <w:sz w:val="25"/>
                <w:szCs w:val="25"/>
                <w:b w:val="1"/>
                <w:bCs w:val="1"/>
                <w:color w:val="auto"/>
                <w:w w:val="99"/>
              </w:rPr>
              <w:t>FORM 15</w:t>
            </w:r>
          </w:p>
        </w:tc>
        <w:tc>
          <w:tcPr>
            <w:tcW w:w="1700" w:type="dxa"/>
            <w:vAlign w:val="bottom"/>
          </w:tcPr>
          <w:p>
            <w:pPr>
              <w:spacing w:after="0"/>
              <w:rPr>
                <w:sz w:val="20"/>
                <w:szCs w:val="20"/>
                <w:color w:val="auto"/>
              </w:rPr>
            </w:pPr>
            <w:r>
              <w:rPr>
                <w:rFonts w:ascii="Arial" w:cs="Arial" w:eastAsia="Arial" w:hAnsi="Arial"/>
                <w:sz w:val="16"/>
                <w:szCs w:val="16"/>
                <w:color w:val="auto"/>
                <w:w w:val="89"/>
              </w:rPr>
              <w:t>Estimated average burden</w:t>
            </w:r>
          </w:p>
        </w:tc>
        <w:tc>
          <w:tcPr>
            <w:tcW w:w="10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7"/>
        </w:trPr>
        <w:tc>
          <w:tcPr>
            <w:tcW w:w="5280" w:type="dxa"/>
            <w:vAlign w:val="bottom"/>
            <w:tcBorders>
              <w:right w:val="single" w:sz="8" w:color="auto"/>
            </w:tcBorders>
            <w:vMerge w:val="continue"/>
          </w:tcPr>
          <w:p>
            <w:pPr>
              <w:spacing w:after="0"/>
              <w:rPr>
                <w:sz w:val="24"/>
                <w:szCs w:val="24"/>
                <w:color w:val="auto"/>
              </w:rPr>
            </w:pPr>
          </w:p>
        </w:tc>
        <w:tc>
          <w:tcPr>
            <w:tcW w:w="17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hours per response</w:t>
            </w:r>
          </w:p>
        </w:tc>
        <w:tc>
          <w:tcPr>
            <w:tcW w:w="1000" w:type="dxa"/>
            <w:vAlign w:val="bottom"/>
            <w:tcBorders>
              <w:bottom w:val="single" w:sz="8" w:color="auto"/>
              <w:right w:val="single" w:sz="8" w:color="auto"/>
            </w:tcBorders>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bl>
    <w:p>
      <w:pPr>
        <w:spacing w:after="0" w:line="202" w:lineRule="exact"/>
        <w:rPr>
          <w:sz w:val="24"/>
          <w:szCs w:val="24"/>
          <w:color w:val="auto"/>
        </w:rPr>
      </w:pPr>
    </w:p>
    <w:p>
      <w:pPr>
        <w:jc w:val="center"/>
        <w:ind w:left="220" w:right="200"/>
        <w:spacing w:after="0" w:line="256" w:lineRule="auto"/>
        <w:rPr>
          <w:sz w:val="20"/>
          <w:szCs w:val="20"/>
          <w:color w:val="auto"/>
        </w:rPr>
      </w:pPr>
      <w:r>
        <w:rPr>
          <w:rFonts w:ascii="Arial" w:cs="Arial" w:eastAsia="Arial" w:hAnsi="Arial"/>
          <w:sz w:val="22"/>
          <w:szCs w:val="22"/>
          <w:b w:val="1"/>
          <w:bCs w:val="1"/>
          <w:color w:val="231F20"/>
        </w:rPr>
        <w:t>CERTIFICATION AND NOTICE OF TERMINATION OF REGISTRATION UNDER SECTION 12(g) OF THE SECURITIES EXCHANGE ACT OF 1934 OR SUSPENSION OF DUTY TO FILE REPORTS UNDER SECTIONS 13 AND 15(d) OF THE SECURITIES EXCHANGE ACT OF 1934.</w:t>
      </w:r>
    </w:p>
    <w:p>
      <w:pPr>
        <w:spacing w:after="0" w:line="176" w:lineRule="exact"/>
        <w:rPr>
          <w:sz w:val="24"/>
          <w:szCs w:val="24"/>
          <w:color w:val="auto"/>
        </w:rPr>
      </w:pPr>
    </w:p>
    <w:p>
      <w:pPr>
        <w:jc w:val="right"/>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001-10658</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Issuer as specified in its charter)</w:t>
      </w: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8000 South Federal Way, Boise, Idaho 83716-9632</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22860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Purchase Rights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each class of securities covered by this Form)</w:t>
      </w:r>
    </w:p>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$0.10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2"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all other classes of securities for which a duty to file reports under section 13(a) or 15(d) remains)</w:t>
      </w:r>
    </w:p>
    <w:p>
      <w:pPr>
        <w:spacing w:after="0" w:line="235" w:lineRule="exact"/>
        <w:rPr>
          <w:sz w:val="24"/>
          <w:szCs w:val="24"/>
          <w:color w:val="auto"/>
        </w:rPr>
      </w:pPr>
    </w:p>
    <w:p>
      <w:pPr>
        <w:ind w:left="380"/>
        <w:spacing w:after="0"/>
        <w:rPr>
          <w:sz w:val="20"/>
          <w:szCs w:val="20"/>
          <w:color w:val="auto"/>
        </w:rPr>
      </w:pPr>
      <w:r>
        <w:rPr>
          <w:rFonts w:ascii="Arial" w:cs="Arial" w:eastAsia="Arial" w:hAnsi="Arial"/>
          <w:sz w:val="18"/>
          <w:szCs w:val="18"/>
          <w:color w:val="231F20"/>
        </w:rPr>
        <w:t>Please place an X in the box(es) to designate the appropriate rule provision(s) relied upon to terminate or suspend the duty to file reports:</w:t>
      </w:r>
    </w:p>
    <w:p>
      <w:pPr>
        <w:sectPr>
          <w:pgSz w:w="11900" w:h="16838" w:orient="portrait"/>
          <w:cols w:equalWidth="0" w:num="1">
            <w:col w:w="11420"/>
          </w:cols>
          <w:pgMar w:left="240" w:top="822" w:right="239" w:bottom="1440" w:gutter="0" w:footer="0" w:header="0"/>
        </w:sectPr>
      </w:pPr>
    </w:p>
    <w:p>
      <w:pPr>
        <w:spacing w:after="0" w:line="38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Rule 12g-4(a)(1)</w:t>
      </w:r>
    </w:p>
    <w:p>
      <w:pPr>
        <w:spacing w:after="0" w:line="63"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Rule 12g-4(a)(2)</w:t>
      </w:r>
    </w:p>
    <w:p>
      <w:pPr>
        <w:spacing w:after="0" w:line="63" w:lineRule="exact"/>
        <w:rPr>
          <w:sz w:val="24"/>
          <w:szCs w:val="24"/>
          <w:color w:val="auto"/>
        </w:rPr>
      </w:pPr>
    </w:p>
    <w:p>
      <w:pPr>
        <w:ind w:left="1340"/>
        <w:spacing w:after="0"/>
        <w:rPr>
          <w:sz w:val="20"/>
          <w:szCs w:val="20"/>
          <w:color w:val="auto"/>
        </w:rPr>
      </w:pPr>
      <w:r>
        <w:rPr>
          <w:rFonts w:ascii="Arial" w:cs="Arial" w:eastAsia="Arial" w:hAnsi="Arial"/>
          <w:sz w:val="17"/>
          <w:szCs w:val="17"/>
          <w:color w:val="auto"/>
        </w:rPr>
        <w:t>Rule 12h-3(b)(1)(i)</w:t>
      </w:r>
    </w:p>
    <w:p>
      <w:pPr>
        <w:spacing w:after="0" w:line="75" w:lineRule="exact"/>
        <w:rPr>
          <w:sz w:val="24"/>
          <w:szCs w:val="24"/>
          <w:color w:val="auto"/>
        </w:rPr>
      </w:pPr>
    </w:p>
    <w:p>
      <w:pPr>
        <w:ind w:left="1340"/>
        <w:spacing w:after="0"/>
        <w:rPr>
          <w:sz w:val="20"/>
          <w:szCs w:val="20"/>
          <w:color w:val="auto"/>
        </w:rPr>
      </w:pPr>
      <w:r>
        <w:rPr>
          <w:rFonts w:ascii="Arial" w:cs="Arial" w:eastAsia="Arial" w:hAnsi="Arial"/>
          <w:sz w:val="17"/>
          <w:szCs w:val="17"/>
          <w:color w:val="auto"/>
        </w:rPr>
        <w:t>Rule 12h-3(b)(1)(ii)</w:t>
      </w:r>
    </w:p>
    <w:p>
      <w:pPr>
        <w:spacing w:after="0" w:line="75"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Rule 15d-6</w:t>
      </w:r>
    </w:p>
    <w:p>
      <w:pPr>
        <w:spacing w:after="0" w:line="63"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3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o</w:t>
      </w:r>
    </w:p>
    <w:p>
      <w:pPr>
        <w:spacing w:after="0" w:line="200" w:lineRule="exact"/>
        <w:rPr>
          <w:sz w:val="24"/>
          <w:szCs w:val="24"/>
          <w:color w:val="auto"/>
        </w:rPr>
      </w:pPr>
    </w:p>
    <w:p>
      <w:pPr>
        <w:sectPr>
          <w:pgSz w:w="11900" w:h="16838" w:orient="portrait"/>
          <w:cols w:equalWidth="0" w:num="2">
            <w:col w:w="2780" w:space="340"/>
            <w:col w:w="8300"/>
          </w:cols>
          <w:pgMar w:left="240" w:top="822" w:right="239" w:bottom="1440" w:gutter="0" w:footer="0" w:header="0"/>
          <w:type w:val="continuous"/>
        </w:sectPr>
      </w:pPr>
    </w:p>
    <w:p>
      <w:pPr>
        <w:spacing w:after="0" w:line="52" w:lineRule="exact"/>
        <w:rPr>
          <w:sz w:val="24"/>
          <w:szCs w:val="24"/>
          <w:color w:val="auto"/>
        </w:rPr>
      </w:pPr>
    </w:p>
    <w:p>
      <w:pPr>
        <w:ind w:left="300"/>
        <w:spacing w:after="0"/>
        <w:rPr>
          <w:sz w:val="20"/>
          <w:szCs w:val="20"/>
          <w:color w:val="auto"/>
        </w:rPr>
      </w:pPr>
      <w:r>
        <w:rPr>
          <w:rFonts w:ascii="Arial" w:cs="Arial" w:eastAsia="Arial" w:hAnsi="Arial"/>
          <w:sz w:val="18"/>
          <w:szCs w:val="18"/>
          <w:color w:val="auto"/>
        </w:rPr>
        <w:t>Approximate number of holders of record as of the certification or notice date: None</w:t>
      </w:r>
    </w:p>
    <w:p>
      <w:pPr>
        <w:spacing w:after="0" w:line="225" w:lineRule="exact"/>
        <w:rPr>
          <w:sz w:val="24"/>
          <w:szCs w:val="24"/>
          <w:color w:val="auto"/>
        </w:rPr>
      </w:pPr>
    </w:p>
    <w:p>
      <w:pPr>
        <w:ind w:right="420" w:firstLine="297"/>
        <w:spacing w:after="0" w:line="277" w:lineRule="auto"/>
        <w:rPr>
          <w:sz w:val="20"/>
          <w:szCs w:val="20"/>
          <w:color w:val="auto"/>
        </w:rPr>
      </w:pPr>
      <w:r>
        <w:rPr>
          <w:rFonts w:ascii="Arial" w:cs="Arial" w:eastAsia="Arial" w:hAnsi="Arial"/>
          <w:sz w:val="18"/>
          <w:szCs w:val="18"/>
          <w:color w:val="auto"/>
        </w:rPr>
        <w:t>Pursuant to the requirements of the Securities Exchange Act of 1934, Micron Technology, Inc. has caused this certification/notice to be signed on its behalf by the undersigned duly authorized person.</w:t>
      </w:r>
    </w:p>
    <w:p>
      <w:pPr>
        <w:spacing w:after="0" w:line="333" w:lineRule="exact"/>
        <w:rPr>
          <w:sz w:val="24"/>
          <w:szCs w:val="24"/>
          <w:color w:val="auto"/>
        </w:rPr>
      </w:pPr>
    </w:p>
    <w:tbl>
      <w:tblPr>
        <w:tblLayout w:type="fixed"/>
        <w:tblInd w:w="60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August 15, 2019</w:t>
            </w:r>
          </w:p>
        </w:tc>
        <w:tc>
          <w:tcPr>
            <w:tcW w:w="6680" w:type="dxa"/>
            <w:vAlign w:val="bottom"/>
            <w:gridSpan w:val="2"/>
          </w:tcPr>
          <w:p>
            <w:pPr>
              <w:ind w:left="1780"/>
              <w:spacing w:after="0"/>
              <w:rPr>
                <w:sz w:val="20"/>
                <w:szCs w:val="20"/>
                <w:color w:val="auto"/>
              </w:rPr>
            </w:pPr>
            <w:r>
              <w:rPr>
                <w:rFonts w:ascii="Arial" w:cs="Arial" w:eastAsia="Arial" w:hAnsi="Arial"/>
                <w:sz w:val="18"/>
                <w:szCs w:val="18"/>
                <w:color w:val="auto"/>
              </w:rPr>
              <w:t>By: /s/ David A. Zinsner</w:t>
            </w:r>
          </w:p>
        </w:tc>
      </w:tr>
      <w:tr>
        <w:trPr>
          <w:trHeight w:val="27"/>
        </w:trPr>
        <w:tc>
          <w:tcPr>
            <w:tcW w:w="3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620" w:type="dxa"/>
            <w:vAlign w:val="bottom"/>
            <w:tcBorders>
              <w:bottom w:val="single" w:sz="8" w:color="auto"/>
            </w:tcBorders>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David A. Zinsner</w:t>
            </w:r>
          </w:p>
        </w:tc>
      </w:tr>
      <w:tr>
        <w:trPr>
          <w:trHeight w:val="270"/>
        </w:trPr>
        <w:tc>
          <w:tcPr>
            <w:tcW w:w="358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46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1" w:lineRule="exact"/>
        <w:rPr>
          <w:sz w:val="24"/>
          <w:szCs w:val="24"/>
          <w:color w:val="auto"/>
        </w:rPr>
      </w:pPr>
    </w:p>
    <w:sectPr>
      <w:pgSz w:w="11900" w:h="16838" w:orient="portrait"/>
      <w:cols w:equalWidth="0" w:num="1">
        <w:col w:w="11420"/>
      </w:cols>
      <w:pgMar w:left="240" w:top="822"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2019-12-19T21:25:29Z</dcterms:created>
  <dcterms:modified xsi:type="dcterms:W3CDTF">2019-12-19T21:25:29Z</dcterms:modified>
</cp:coreProperties>
</file>